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C3811">
      <w:pPr>
        <w:jc w:val="left"/>
        <w:rPr>
          <w:rFonts w:ascii="宋体" w:hAnsi="宋体" w:cs="宋体"/>
          <w:b/>
          <w:sz w:val="36"/>
          <w:szCs w:val="36"/>
        </w:rPr>
      </w:pPr>
      <w:bookmarkStart w:id="0" w:name="_Toc417896502"/>
      <w:bookmarkStart w:id="1" w:name="_Toc416702955"/>
      <w:bookmarkStart w:id="2" w:name="_Toc417896685"/>
      <w:bookmarkStart w:id="3" w:name="_Toc417895952"/>
      <w:bookmarkStart w:id="4" w:name="_Toc416703361"/>
      <w:r>
        <w:rPr>
          <w:rFonts w:hint="eastAsia" w:ascii="宋体" w:hAnsi="宋体" w:cs="宋体"/>
          <w:b/>
          <w:sz w:val="36"/>
          <w:szCs w:val="36"/>
        </w:rPr>
        <w:t>项目名称：</w:t>
      </w:r>
      <w:r>
        <w:rPr>
          <w:rFonts w:hint="eastAsia" w:cs="宋体"/>
          <w:b/>
          <w:sz w:val="32"/>
          <w:szCs w:val="36"/>
          <w:lang w:val="en-US" w:eastAsia="zh-CN"/>
        </w:rPr>
        <w:t>大渡口安全综合提升改造（第三次）</w:t>
      </w:r>
    </w:p>
    <w:p w14:paraId="307A50D0">
      <w:pPr>
        <w:ind w:left="1807" w:hanging="1807" w:hangingChars="500"/>
        <w:rPr>
          <w:rFonts w:hint="default" w:ascii="宋体" w:hAnsi="宋体" w:eastAsia="宋体" w:cs="宋体"/>
          <w:b/>
          <w:sz w:val="36"/>
          <w:szCs w:val="36"/>
          <w:lang w:val="en-US" w:eastAsia="zh-CN"/>
        </w:rPr>
      </w:pPr>
      <w:r>
        <w:rPr>
          <w:rFonts w:hint="eastAsia" w:ascii="宋体" w:hAnsi="宋体" w:cs="宋体"/>
          <w:b/>
          <w:sz w:val="36"/>
          <w:szCs w:val="36"/>
        </w:rPr>
        <w:t>采购编号：</w:t>
      </w:r>
      <w:r>
        <w:rPr>
          <w:rFonts w:hint="eastAsia" w:ascii="宋体" w:hAnsi="宋体" w:cs="宋体"/>
          <w:b/>
          <w:sz w:val="36"/>
          <w:szCs w:val="36"/>
          <w:lang w:val="en-US" w:eastAsia="zh-CN"/>
        </w:rPr>
        <w:t>CPIC-GCXMCG-2025-049</w:t>
      </w:r>
    </w:p>
    <w:bookmarkEnd w:id="0"/>
    <w:bookmarkEnd w:id="1"/>
    <w:bookmarkEnd w:id="2"/>
    <w:bookmarkEnd w:id="3"/>
    <w:bookmarkEnd w:id="4"/>
    <w:p w14:paraId="591F7097">
      <w:pPr>
        <w:rPr>
          <w:rFonts w:ascii="宋体" w:hAnsi="宋体"/>
        </w:rPr>
      </w:pPr>
    </w:p>
    <w:p w14:paraId="5E4018DD">
      <w:pPr>
        <w:spacing w:line="360" w:lineRule="auto"/>
        <w:jc w:val="center"/>
        <w:rPr>
          <w:rFonts w:ascii="宋体" w:hAnsi="宋体"/>
          <w:b/>
          <w:bCs/>
          <w:sz w:val="128"/>
          <w:szCs w:val="128"/>
        </w:rPr>
      </w:pPr>
    </w:p>
    <w:p w14:paraId="60807882">
      <w:pPr>
        <w:spacing w:line="360" w:lineRule="auto"/>
        <w:jc w:val="center"/>
        <w:rPr>
          <w:rFonts w:ascii="宋体" w:hAnsi="宋体"/>
          <w:b/>
          <w:bCs/>
          <w:sz w:val="96"/>
          <w:szCs w:val="120"/>
        </w:rPr>
      </w:pPr>
      <w:r>
        <w:rPr>
          <w:rFonts w:hint="eastAsia" w:ascii="宋体" w:hAnsi="宋体"/>
          <w:b/>
          <w:bCs/>
          <w:sz w:val="96"/>
          <w:szCs w:val="120"/>
        </w:rPr>
        <w:t>竞争性谈判文件</w:t>
      </w:r>
    </w:p>
    <w:p w14:paraId="17DAB22F">
      <w:pPr>
        <w:rPr>
          <w:rFonts w:ascii="宋体" w:hAnsi="宋体"/>
          <w:b/>
          <w:bCs/>
          <w:szCs w:val="21"/>
        </w:rPr>
      </w:pPr>
    </w:p>
    <w:p w14:paraId="54DF9627">
      <w:pPr>
        <w:rPr>
          <w:rFonts w:ascii="宋体" w:hAnsi="宋体"/>
          <w:b/>
          <w:bCs/>
          <w:szCs w:val="21"/>
        </w:rPr>
      </w:pPr>
    </w:p>
    <w:p w14:paraId="2C939E07">
      <w:pPr>
        <w:autoSpaceDE w:val="0"/>
        <w:autoSpaceDN w:val="0"/>
        <w:adjustRightInd w:val="0"/>
        <w:snapToGrid w:val="0"/>
        <w:spacing w:line="360" w:lineRule="auto"/>
        <w:jc w:val="left"/>
        <w:rPr>
          <w:rFonts w:ascii="宋体" w:hAnsi="宋体" w:cs="宋体"/>
          <w:b/>
          <w:bCs/>
          <w:sz w:val="36"/>
          <w:szCs w:val="36"/>
        </w:rPr>
      </w:pPr>
      <w:bookmarkStart w:id="5" w:name="_Toc230773922"/>
    </w:p>
    <w:p w14:paraId="01FBF971">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0C220D02">
      <w:pPr>
        <w:autoSpaceDE w:val="0"/>
        <w:autoSpaceDN w:val="0"/>
        <w:adjustRightInd w:val="0"/>
        <w:snapToGrid w:val="0"/>
        <w:spacing w:line="360" w:lineRule="auto"/>
        <w:jc w:val="center"/>
        <w:rPr>
          <w:rFonts w:ascii="宋体" w:hAnsi="宋体" w:cs="宋体"/>
          <w:kern w:val="0"/>
          <w:sz w:val="20"/>
          <w:szCs w:val="20"/>
        </w:rPr>
      </w:pPr>
    </w:p>
    <w:p w14:paraId="404D1C27">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w:t>
      </w:r>
      <w:r>
        <w:rPr>
          <w:rFonts w:hint="eastAsia" w:ascii="宋体" w:hAnsi="宋体" w:cs="宋体"/>
          <w:b/>
          <w:w w:val="95"/>
          <w:kern w:val="0"/>
          <w:sz w:val="32"/>
          <w:szCs w:val="32"/>
          <w:lang w:val="en-US" w:eastAsia="zh-CN"/>
        </w:rPr>
        <w:t>五</w:t>
      </w:r>
      <w:r>
        <w:rPr>
          <w:rFonts w:hint="eastAsia" w:ascii="宋体" w:hAnsi="宋体" w:cs="宋体"/>
          <w:b/>
          <w:w w:val="95"/>
          <w:kern w:val="0"/>
          <w:sz w:val="32"/>
          <w:szCs w:val="32"/>
        </w:rPr>
        <w:t>年</w:t>
      </w:r>
      <w:r>
        <w:rPr>
          <w:rFonts w:hint="eastAsia" w:ascii="宋体" w:hAnsi="宋体" w:cs="宋体"/>
          <w:b/>
          <w:w w:val="95"/>
          <w:kern w:val="0"/>
          <w:sz w:val="32"/>
          <w:szCs w:val="32"/>
          <w:lang w:val="en-US" w:eastAsia="zh-CN"/>
        </w:rPr>
        <w:t>九</w:t>
      </w:r>
      <w:r>
        <w:rPr>
          <w:rFonts w:hint="eastAsia" w:ascii="宋体" w:hAnsi="宋体" w:cs="宋体"/>
          <w:b/>
          <w:w w:val="95"/>
          <w:kern w:val="0"/>
          <w:sz w:val="32"/>
          <w:szCs w:val="32"/>
        </w:rPr>
        <w:t>月</w:t>
      </w:r>
    </w:p>
    <w:p w14:paraId="62C74A66">
      <w:pPr>
        <w:rPr>
          <w:rFonts w:hint="eastAsia"/>
          <w:lang w:val="en-US" w:eastAsia="zh-CN"/>
        </w:rPr>
      </w:pPr>
    </w:p>
    <w:p w14:paraId="20F12DC7">
      <w:pPr>
        <w:rPr>
          <w:rFonts w:hint="eastAsia"/>
          <w:lang w:val="en-US" w:eastAsia="zh-CN"/>
        </w:rPr>
      </w:pPr>
    </w:p>
    <w:p w14:paraId="576EF411">
      <w:pPr>
        <w:rPr>
          <w:rFonts w:hint="eastAsia"/>
          <w:lang w:val="en-US" w:eastAsia="zh-CN"/>
        </w:rPr>
      </w:pPr>
    </w:p>
    <w:p w14:paraId="60C7F49E">
      <w:pPr>
        <w:ind w:firstLine="2560" w:firstLineChars="800"/>
        <w:rPr>
          <w:rFonts w:hint="eastAsia"/>
          <w:sz w:val="32"/>
          <w:szCs w:val="32"/>
          <w:lang w:val="en-US" w:eastAsia="zh-CN"/>
        </w:rPr>
      </w:pPr>
    </w:p>
    <w:p w14:paraId="0039E1E2">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r>
        <w:rPr>
          <w:rFonts w:hint="eastAsia" w:ascii="宋体" w:hAnsi="宋体" w:eastAsia="宋体" w:cs="宋体"/>
          <w:b/>
          <w:w w:val="95"/>
          <w:kern w:val="0"/>
          <w:sz w:val="32"/>
          <w:szCs w:val="32"/>
        </w:rPr>
        <w:t>技术及技术评分编写</w:t>
      </w:r>
    </w:p>
    <w:p w14:paraId="21BC7137">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p>
    <w:p w14:paraId="51E95C25">
      <w:pPr>
        <w:pStyle w:val="15"/>
        <w:tabs>
          <w:tab w:val="right" w:leader="dot" w:pos="8609"/>
        </w:tabs>
        <w:ind w:left="0" w:leftChars="0" w:firstLine="954"/>
        <w:rPr>
          <w:rFonts w:hint="eastAsia" w:ascii="宋体" w:hAnsi="宋体" w:eastAsia="宋体" w:cs="宋体"/>
          <w:sz w:val="32"/>
          <w:szCs w:val="32"/>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29F63D26">
      <w:pPr>
        <w:pStyle w:val="15"/>
        <w:tabs>
          <w:tab w:val="right" w:leader="dot" w:pos="8609"/>
        </w:tabs>
        <w:ind w:left="0" w:leftChars="0" w:firstLine="1166"/>
        <w:rPr>
          <w:rFonts w:hint="eastAsia" w:ascii="宋体" w:hAnsi="宋体" w:eastAsia="宋体" w:cs="宋体"/>
          <w:bCs/>
          <w:kern w:val="0"/>
          <w:sz w:val="32"/>
          <w:szCs w:val="32"/>
        </w:rPr>
      </w:pPr>
    </w:p>
    <w:p w14:paraId="69A863AE">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r>
        <w:rPr>
          <w:rFonts w:hint="eastAsia" w:ascii="宋体" w:hAnsi="宋体" w:eastAsia="宋体" w:cs="宋体"/>
          <w:b/>
          <w:w w:val="95"/>
          <w:kern w:val="0"/>
          <w:sz w:val="32"/>
          <w:szCs w:val="32"/>
        </w:rPr>
        <w:t>商务及商务评分编写</w:t>
      </w:r>
    </w:p>
    <w:p w14:paraId="56A6B503">
      <w:pPr>
        <w:ind w:firstLine="954"/>
        <w:rPr>
          <w:rFonts w:hint="eastAsia" w:ascii="宋体" w:hAnsi="宋体" w:eastAsia="宋体" w:cs="宋体"/>
          <w:sz w:val="32"/>
          <w:szCs w:val="32"/>
          <w:u w:val="single"/>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707EAD29">
      <w:pPr>
        <w:pStyle w:val="61"/>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2B57D614">
      <w:pPr>
        <w:pStyle w:val="14"/>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395E78FF">
      <w:pPr>
        <w:pStyle w:val="14"/>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52658383">
      <w:pPr>
        <w:spacing w:line="520" w:lineRule="exact"/>
        <w:rPr>
          <w:rFonts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3E0240CD">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2705ABC7">
      <w:pPr>
        <w:rPr>
          <w:rFonts w:ascii="宋体" w:hAnsi="宋体"/>
          <w:b/>
          <w:sz w:val="28"/>
          <w:szCs w:val="28"/>
        </w:rPr>
      </w:pPr>
    </w:p>
    <w:p w14:paraId="5698605D">
      <w:pPr>
        <w:rPr>
          <w:rFonts w:ascii="宋体" w:hAnsi="宋体"/>
          <w:b/>
          <w:sz w:val="28"/>
          <w:szCs w:val="28"/>
        </w:rPr>
      </w:pPr>
    </w:p>
    <w:p w14:paraId="5FDBEB4D">
      <w:pPr>
        <w:widowControl/>
        <w:jc w:val="left"/>
        <w:rPr>
          <w:rFonts w:ascii="宋体" w:hAnsi="宋体"/>
          <w:b/>
          <w:sz w:val="28"/>
          <w:szCs w:val="28"/>
        </w:rPr>
      </w:pPr>
      <w:r>
        <w:rPr>
          <w:rFonts w:ascii="宋体" w:hAnsi="宋体"/>
          <w:b/>
          <w:sz w:val="28"/>
          <w:szCs w:val="28"/>
        </w:rPr>
        <w:br w:type="page"/>
      </w:r>
    </w:p>
    <w:bookmarkEnd w:id="5"/>
    <w:p w14:paraId="4F948F92">
      <w:pPr>
        <w:pStyle w:val="2"/>
        <w:spacing w:before="240" w:beforeLines="100" w:after="360" w:afterLines="150" w:line="276" w:lineRule="auto"/>
        <w:jc w:val="center"/>
        <w:rPr>
          <w:rFonts w:ascii="宋体" w:hAnsi="宋体"/>
          <w:b w:val="0"/>
        </w:rPr>
      </w:pPr>
      <w:r>
        <w:rPr>
          <w:rFonts w:ascii="宋体" w:hAnsi="宋体"/>
        </w:rPr>
        <w:t xml:space="preserve">第一章 </w:t>
      </w:r>
      <w:r>
        <w:rPr>
          <w:rFonts w:hint="eastAsia" w:ascii="宋体" w:hAnsi="宋体"/>
        </w:rPr>
        <w:t>竞争性谈判公告</w:t>
      </w:r>
    </w:p>
    <w:p w14:paraId="4DB788A9">
      <w:pPr>
        <w:jc w:val="center"/>
        <w:rPr>
          <w:rFonts w:ascii="宋体" w:hAnsi="宋体"/>
          <w:color w:val="000000"/>
          <w:sz w:val="32"/>
          <w:szCs w:val="32"/>
        </w:rPr>
      </w:pPr>
      <w:bookmarkStart w:id="6" w:name="OLE_LINK4"/>
      <w:bookmarkStart w:id="7" w:name="OLE_LINK7"/>
      <w:bookmarkStart w:id="8" w:name="_Toc440556695"/>
      <w:bookmarkStart w:id="9" w:name="_Toc415675642"/>
      <w:bookmarkStart w:id="10" w:name="OLE_LINK1"/>
      <w:bookmarkStart w:id="11" w:name="_Toc415675120"/>
      <w:r>
        <w:rPr>
          <w:rFonts w:hint="eastAsia" w:cs="宋体"/>
          <w:b/>
          <w:sz w:val="32"/>
          <w:szCs w:val="36"/>
          <w:u w:val="single"/>
          <w:lang w:val="en-US" w:eastAsia="zh-CN"/>
        </w:rPr>
        <w:t>大渡口安全综合提升改造（第三次）</w:t>
      </w:r>
      <w:r>
        <w:rPr>
          <w:rFonts w:hint="eastAsia" w:ascii="宋体" w:hAnsi="宋体" w:cs="宋体"/>
          <w:b/>
          <w:sz w:val="32"/>
          <w:szCs w:val="32"/>
        </w:rPr>
        <w:t>采购</w:t>
      </w:r>
    </w:p>
    <w:p w14:paraId="0F308C2A">
      <w:pPr>
        <w:spacing w:line="360" w:lineRule="auto"/>
        <w:jc w:val="left"/>
        <w:outlineLvl w:val="0"/>
        <w:rPr>
          <w:rFonts w:ascii="宋体" w:hAnsi="宋体"/>
          <w:b/>
          <w:snapToGrid w:val="0"/>
          <w:kern w:val="0"/>
          <w:sz w:val="28"/>
          <w:szCs w:val="28"/>
        </w:rPr>
      </w:pPr>
      <w:bookmarkStart w:id="12" w:name="_Toc26356"/>
      <w:bookmarkStart w:id="13" w:name="_Toc10497"/>
      <w:bookmarkStart w:id="14" w:name="_Toc27508"/>
      <w:bookmarkStart w:id="15" w:name="_Toc4962"/>
      <w:bookmarkStart w:id="16" w:name="_Toc16466"/>
      <w:bookmarkStart w:id="17" w:name="_Toc5554"/>
      <w:bookmarkStart w:id="18" w:name="_Toc844"/>
      <w:bookmarkStart w:id="19" w:name="_Toc30279"/>
      <w:bookmarkStart w:id="20" w:name="_Toc14729"/>
      <w:bookmarkStart w:id="21" w:name="_Toc29382"/>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18B25287">
      <w:pPr>
        <w:spacing w:line="360" w:lineRule="auto"/>
        <w:ind w:firstLine="413" w:firstLineChars="197"/>
        <w:jc w:val="left"/>
        <w:outlineLvl w:val="0"/>
        <w:rPr>
          <w:rFonts w:ascii="宋体" w:hAnsi="宋体"/>
          <w:b/>
          <w:snapToGrid w:val="0"/>
          <w:kern w:val="0"/>
          <w:szCs w:val="21"/>
          <w:highlight w:val="none"/>
        </w:rPr>
      </w:pPr>
      <w:r>
        <w:rPr>
          <w:rFonts w:hint="eastAsia" w:ascii="宋体" w:hAnsi="宋体" w:cs="宋体"/>
          <w:kern w:val="0"/>
          <w:szCs w:val="21"/>
        </w:rPr>
        <w:t>本竞争性谈判项目为重庆国际复合</w:t>
      </w:r>
      <w:r>
        <w:rPr>
          <w:rFonts w:hint="eastAsia" w:ascii="宋体" w:hAnsi="宋体" w:cs="宋体"/>
          <w:kern w:val="0"/>
          <w:szCs w:val="21"/>
          <w:highlight w:val="none"/>
        </w:rPr>
        <w:t>材料股份有限公司“</w:t>
      </w:r>
      <w:r>
        <w:rPr>
          <w:rFonts w:hint="eastAsia" w:ascii="宋体" w:hAnsi="宋体" w:cs="宋体"/>
          <w:b/>
          <w:szCs w:val="21"/>
          <w:highlight w:val="none"/>
          <w:u w:val="single"/>
          <w:lang w:eastAsia="zh-CN"/>
        </w:rPr>
        <w:t>大渡口安全综合提升改造（第三次）</w:t>
      </w:r>
      <w:r>
        <w:rPr>
          <w:rFonts w:hint="eastAsia" w:ascii="宋体" w:hAnsi="宋体" w:cs="宋体"/>
          <w:b/>
          <w:szCs w:val="21"/>
          <w:highlight w:val="none"/>
          <w:u w:val="single"/>
        </w:rPr>
        <w:t>采购</w:t>
      </w:r>
      <w:r>
        <w:rPr>
          <w:rFonts w:hint="eastAsia" w:ascii="宋体" w:hAnsi="宋体" w:cs="宋体"/>
          <w:kern w:val="0"/>
          <w:szCs w:val="21"/>
          <w:highlight w:val="none"/>
        </w:rPr>
        <w:t>”，采购人为重庆国际复合材料股份有限公司，资金来源</w:t>
      </w:r>
      <w:r>
        <w:rPr>
          <w:rFonts w:hint="eastAsia" w:ascii="宋体" w:hAnsi="宋体" w:cs="宋体"/>
          <w:kern w:val="0"/>
          <w:szCs w:val="21"/>
          <w:highlight w:val="none"/>
          <w:u w:val="single"/>
        </w:rPr>
        <w:t>业主自筹</w:t>
      </w:r>
      <w:r>
        <w:rPr>
          <w:rFonts w:hint="eastAsia" w:ascii="宋体" w:hAnsi="宋体" w:cs="宋体"/>
          <w:kern w:val="0"/>
          <w:szCs w:val="21"/>
          <w:highlight w:val="none"/>
        </w:rPr>
        <w:t>，项目出资比例为</w:t>
      </w:r>
      <w:r>
        <w:rPr>
          <w:rFonts w:ascii="宋体" w:hAnsi="宋体" w:cs="宋体"/>
          <w:kern w:val="0"/>
          <w:szCs w:val="21"/>
          <w:highlight w:val="none"/>
          <w:u w:val="single"/>
        </w:rPr>
        <w:t>100%</w:t>
      </w:r>
      <w:r>
        <w:rPr>
          <w:rFonts w:hint="eastAsia" w:ascii="宋体" w:hAnsi="宋体" w:cs="宋体"/>
          <w:kern w:val="0"/>
          <w:szCs w:val="21"/>
          <w:highlight w:val="none"/>
          <w:u w:val="single"/>
        </w:rPr>
        <w:t>国有资金</w:t>
      </w:r>
      <w:r>
        <w:rPr>
          <w:rFonts w:hint="eastAsia" w:ascii="宋体" w:hAnsi="宋体" w:cs="宋体"/>
          <w:kern w:val="0"/>
          <w:szCs w:val="21"/>
          <w:highlight w:val="none"/>
        </w:rPr>
        <w:t>；本项目已具备竞争性谈判条件，现对重庆国际复合材料股份有限公司</w:t>
      </w:r>
      <w:r>
        <w:rPr>
          <w:rFonts w:hint="eastAsia" w:ascii="宋体" w:hAnsi="宋体" w:cs="宋体"/>
          <w:b/>
          <w:szCs w:val="21"/>
          <w:highlight w:val="none"/>
          <w:u w:val="single"/>
          <w:lang w:eastAsia="zh-CN"/>
        </w:rPr>
        <w:t>大渡口安全综合提升改造（第三次）</w:t>
      </w:r>
      <w:r>
        <w:rPr>
          <w:rFonts w:hint="eastAsia" w:ascii="宋体" w:hAnsi="宋体" w:cs="宋体"/>
          <w:kern w:val="0"/>
          <w:szCs w:val="21"/>
          <w:highlight w:val="none"/>
        </w:rPr>
        <w:t>进行公开竞争性谈判，特邀有兴趣的潜在单位参与竞争性谈判。</w:t>
      </w:r>
    </w:p>
    <w:p w14:paraId="7F81262E">
      <w:pPr>
        <w:spacing w:line="440" w:lineRule="exact"/>
        <w:jc w:val="left"/>
        <w:outlineLvl w:val="0"/>
        <w:rPr>
          <w:rFonts w:ascii="宋体" w:hAnsi="宋体"/>
          <w:b/>
          <w:snapToGrid w:val="0"/>
          <w:kern w:val="0"/>
          <w:szCs w:val="21"/>
        </w:rPr>
      </w:pPr>
      <w:bookmarkStart w:id="22" w:name="_Toc19590"/>
      <w:bookmarkStart w:id="23" w:name="_Toc16188"/>
      <w:bookmarkStart w:id="24" w:name="_Toc18911"/>
      <w:bookmarkStart w:id="25" w:name="_Toc20027"/>
      <w:bookmarkStart w:id="26" w:name="_Toc6552"/>
      <w:bookmarkStart w:id="27" w:name="_Toc17916"/>
      <w:bookmarkStart w:id="28" w:name="_Toc31685"/>
      <w:bookmarkStart w:id="29" w:name="_Toc29348"/>
      <w:bookmarkStart w:id="30" w:name="_Toc24224"/>
      <w:bookmarkStart w:id="31" w:name="_Toc8077"/>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20E2652C">
      <w:pPr>
        <w:widowControl/>
        <w:tabs>
          <w:tab w:val="left" w:pos="8208"/>
          <w:tab w:val="left" w:pos="9072"/>
        </w:tabs>
        <w:suppressAutoHyphens/>
        <w:spacing w:line="440" w:lineRule="exact"/>
        <w:rPr>
          <w:rFonts w:hint="eastAsia" w:ascii="宋体" w:hAnsi="宋体" w:eastAsia="宋体" w:cs="宋体"/>
          <w:bCs/>
          <w:kern w:val="0"/>
          <w:szCs w:val="21"/>
          <w:highlight w:val="none"/>
          <w:u w:val="single"/>
          <w:lang w:eastAsia="zh-CN"/>
        </w:rPr>
      </w:pPr>
      <w:r>
        <w:rPr>
          <w:rFonts w:hint="eastAsia" w:ascii="宋体" w:hAnsi="宋体" w:cs="宋体"/>
          <w:kern w:val="0"/>
          <w:szCs w:val="21"/>
        </w:rPr>
        <w:t>2.1 项目</w:t>
      </w:r>
      <w:r>
        <w:rPr>
          <w:rFonts w:hint="eastAsia" w:ascii="宋体" w:hAnsi="宋体" w:cs="宋体"/>
          <w:kern w:val="0"/>
          <w:szCs w:val="21"/>
          <w:highlight w:val="none"/>
        </w:rPr>
        <w:t>名称：</w:t>
      </w:r>
      <w:r>
        <w:rPr>
          <w:rFonts w:hint="eastAsia" w:ascii="宋体" w:hAnsi="宋体" w:cs="宋体"/>
          <w:kern w:val="0"/>
          <w:szCs w:val="21"/>
          <w:highlight w:val="none"/>
          <w:u w:val="single"/>
          <w:lang w:eastAsia="zh-CN"/>
        </w:rPr>
        <w:t>大渡口安全综合提升改造（第三次）</w:t>
      </w:r>
    </w:p>
    <w:p w14:paraId="4F6E87B0">
      <w:pPr>
        <w:topLinePunct/>
        <w:adjustRightInd w:val="0"/>
        <w:snapToGrid w:val="0"/>
        <w:spacing w:line="440" w:lineRule="exact"/>
        <w:rPr>
          <w:rFonts w:ascii="宋体" w:hAnsi="宋体"/>
          <w:color w:val="000000"/>
          <w:szCs w:val="21"/>
          <w:highlight w:val="none"/>
        </w:rPr>
      </w:pPr>
      <w:r>
        <w:rPr>
          <w:rFonts w:hint="eastAsia" w:ascii="宋体" w:hAnsi="宋体"/>
          <w:color w:val="000000"/>
          <w:szCs w:val="21"/>
          <w:highlight w:val="none"/>
        </w:rPr>
        <w:t>2.2 竞争性谈判范围：</w:t>
      </w:r>
      <w:r>
        <w:rPr>
          <w:rFonts w:hint="eastAsia" w:ascii="宋体" w:hAnsi="宋体" w:cs="宋体"/>
          <w:kern w:val="0"/>
          <w:szCs w:val="21"/>
          <w:highlight w:val="none"/>
          <w:u w:val="single"/>
        </w:rPr>
        <w:t>本次</w:t>
      </w:r>
      <w:r>
        <w:rPr>
          <w:rFonts w:hint="eastAsia" w:ascii="宋体" w:hAnsi="宋体" w:cs="宋体"/>
          <w:kern w:val="0"/>
          <w:szCs w:val="21"/>
          <w:highlight w:val="none"/>
          <w:u w:val="single"/>
          <w:lang w:eastAsia="zh-CN"/>
        </w:rPr>
        <w:t>竞争性谈判</w:t>
      </w:r>
      <w:r>
        <w:rPr>
          <w:rFonts w:hint="eastAsia" w:ascii="宋体" w:hAnsi="宋体" w:cs="宋体"/>
          <w:kern w:val="0"/>
          <w:szCs w:val="21"/>
          <w:highlight w:val="none"/>
          <w:u w:val="single"/>
        </w:rPr>
        <w:t>范围内规定的所有工程内容，具体详见相关施工图纸、图说及工程量清单。</w:t>
      </w:r>
    </w:p>
    <w:p w14:paraId="5C577973">
      <w:pPr>
        <w:topLinePunct/>
        <w:adjustRightInd w:val="0"/>
        <w:snapToGrid w:val="0"/>
        <w:spacing w:line="440" w:lineRule="exact"/>
        <w:rPr>
          <w:rFonts w:ascii="宋体" w:hAnsi="宋体"/>
          <w:szCs w:val="21"/>
          <w:highlight w:val="yellow"/>
        </w:rPr>
      </w:pPr>
      <w:r>
        <w:rPr>
          <w:rFonts w:hint="eastAsia" w:ascii="宋体" w:hAnsi="宋体"/>
          <w:szCs w:val="21"/>
        </w:rPr>
        <w:t xml:space="preserve">2.3 </w:t>
      </w:r>
      <w:r>
        <w:rPr>
          <w:rFonts w:hint="eastAsia" w:ascii="宋体" w:hAnsi="宋体"/>
          <w:szCs w:val="21"/>
          <w:lang w:val="en-US" w:eastAsia="zh-CN"/>
        </w:rPr>
        <w:t>施工</w:t>
      </w:r>
      <w:r>
        <w:rPr>
          <w:rFonts w:hint="eastAsia" w:ascii="宋体" w:hAnsi="宋体"/>
          <w:szCs w:val="21"/>
        </w:rPr>
        <w:t>时间：</w:t>
      </w:r>
      <w:r>
        <w:rPr>
          <w:rFonts w:hint="eastAsia" w:ascii="宋体" w:hAnsi="宋体" w:cs="宋体"/>
          <w:kern w:val="0"/>
          <w:szCs w:val="21"/>
          <w:highlight w:val="none"/>
          <w:u w:val="single"/>
          <w:lang w:val="en-US" w:eastAsia="zh-CN"/>
        </w:rPr>
        <w:t>合同签订后90日历天</w:t>
      </w:r>
    </w:p>
    <w:p w14:paraId="32CFC657">
      <w:pPr>
        <w:topLinePunct/>
        <w:adjustRightInd w:val="0"/>
        <w:snapToGrid w:val="0"/>
        <w:spacing w:line="440" w:lineRule="exact"/>
        <w:rPr>
          <w:rFonts w:hint="default" w:ascii="宋体" w:hAnsi="宋体"/>
          <w:szCs w:val="21"/>
          <w:lang w:val="en-US"/>
        </w:rPr>
      </w:pPr>
      <w:r>
        <w:rPr>
          <w:rFonts w:hint="eastAsia" w:ascii="宋体" w:hAnsi="宋体"/>
          <w:szCs w:val="21"/>
        </w:rPr>
        <w:t>2.</w:t>
      </w:r>
      <w:r>
        <w:rPr>
          <w:rFonts w:hint="eastAsia" w:ascii="宋体" w:hAnsi="宋体"/>
          <w:szCs w:val="21"/>
          <w:lang w:val="en-US" w:eastAsia="zh-CN"/>
        </w:rPr>
        <w:t>4施工</w:t>
      </w:r>
      <w:r>
        <w:rPr>
          <w:rFonts w:hint="eastAsia" w:ascii="宋体" w:hAnsi="宋体"/>
          <w:szCs w:val="21"/>
        </w:rPr>
        <w:t>地点：重庆国际复合材料股份有限公司</w:t>
      </w:r>
      <w:r>
        <w:rPr>
          <w:rFonts w:hint="eastAsia" w:ascii="宋体" w:hAnsi="宋体"/>
          <w:szCs w:val="21"/>
          <w:lang w:val="en-US" w:eastAsia="zh-CN"/>
        </w:rPr>
        <w:t>大渡口生产基地</w:t>
      </w:r>
    </w:p>
    <w:p w14:paraId="0B5BC7FC">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2.5 报价说明：</w:t>
      </w:r>
    </w:p>
    <w:p w14:paraId="1E8DFEB4">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1、报价范围：本次竞争性谈判范围内规定的所有工程内容，具体详见相关施工图纸、图说及工程量清单。</w:t>
      </w:r>
    </w:p>
    <w:p w14:paraId="6855C80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2、竞争性谈判报价文件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竞选人结合本企业的经营情况、自身实力、现场踏勘所获取的相关信息资料和企业发展策略以及市场行情和竞争性谈判文件对工程质量、工期的要求自主进行报价。</w:t>
      </w:r>
    </w:p>
    <w:p w14:paraId="09AED42E">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3、编制说明：</w:t>
      </w:r>
    </w:p>
    <w:p w14:paraId="03DB7C3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i.本工程量清单中的“项目特征”及“工程内容”描述不作为竞争性谈判报价文件的唯一依据，竞选人应根据分部分项工程项目清单计价表中“项目特征”及“工程内容”的描述结合竞争性谈判文件、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5E53EC36">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ii.除非合同中另有规定，竞选人在分部分项工程项目清单计价表中所报的综合单价和合价，以及投标总报价均包括了竞选人为实施和完成该工程竞争性谈判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竞选人的竞争性谈判报价文件视为是一个有经验的竞选人，在对工程充分了解及对风险充分估计后所作的完备报价。</w:t>
      </w:r>
    </w:p>
    <w:p w14:paraId="4348BDFC">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iii.工程量清单所列的工程量系估算的和暂定的数量，仅作为竞争性谈判报价文件的共同基础。付款以实际完成的合格工程量为依据。由中标人计量，采购人核实的实际完成工程量，按具有标价的工程量清单中所报的综合单价结算和支付。</w:t>
      </w:r>
    </w:p>
    <w:p w14:paraId="1BB07062">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iv.竞选人在编制竞争性谈判报价文件时不得改变采购人提供的分部分项工程项目清单中的项目编码、项目名称、项目特征、工程内容、计量单位、工程量，否则其竞争性谈判报价文件按否决投标处理。</w:t>
      </w:r>
    </w:p>
    <w:p w14:paraId="7A8A0ED2">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v.除非竞争性谈判文件予以修改，竞选人应按采购人提供的工程量清单填报《分部分项工程项目清单计价表》；填报《分部分项工程项目清单计价表》时，工程项目和工程量应逐项填报单价和合价，《分部分项工程项目清单计价表》中若有不报价或零报价或负报价的，竞争性谈判报价文件按否决投标处理。每一个项目只允许有一个报价，竞争性谈判报价文件中任何有选择的报价将不予接受。</w:t>
      </w:r>
    </w:p>
    <w:p w14:paraId="63F0AA4F">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vi.除非合同中另有规定，竞选人的投标总报价均包括完成该合同工程项目的全部费用，在工程实施时，必须按工程量清单中的项、量和监理工程师指令完成该项目工程内容。</w:t>
      </w:r>
    </w:p>
    <w:p w14:paraId="6A4CA4D3">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vii.投标总报价为竞选人在竞争性谈判报价文件中提出的各项支付金额的总和。分部分项工程项目清单中所列的工程量仅是提供竞选人作为报价的基础，投标函上的报价必须与商务部分所对应的报价一致，否则其竞争性谈判报价文件按否决投标处理。</w:t>
      </w:r>
    </w:p>
    <w:p w14:paraId="509E3F78">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viii.措施项目费清单包括施工组织措施项目清单和施工技术措施项目清单两部分。①施工组织措施项目清单：采购人给出的施工组织措施项目清单仅供竞选人参考，竞选人在竞争性谈判报价文件时可参照采购人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竞选人根据现场踏勘情况及本工程的实际情况结合自身施工组织设计，以项为单位自行报价。技术措施清单中以项目编码、项目名称、项目特征、工程内容、工程量及计量单位列项的项目，竞选人必须按采购人给出的施工技术措施项目清单进行报价，不得擅自变改采购人提供的施工技术措施项目清单中的序号、项目编码、项目名称、项目特征、工程内容、工程量及计量单位，否则视为对竞争性谈判文件不作实质性响应，其竞争性谈判报价文件按否决投标处理。但竞选人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1496A774">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ix.安全文明施工费：安全文明施工费由安全施工费、文明施工费、环境保护费及临时设施费组成。本项目安全文明施工费竞选人统一按</w:t>
      </w:r>
      <w:r>
        <w:rPr>
          <w:rFonts w:hint="eastAsia" w:ascii="宋体" w:hAnsi="宋体"/>
          <w:szCs w:val="21"/>
          <w:lang w:val="en-US" w:eastAsia="zh-CN"/>
        </w:rPr>
        <w:t>47578.31</w:t>
      </w:r>
      <w:r>
        <w:rPr>
          <w:rFonts w:hint="eastAsia" w:ascii="宋体" w:hAnsi="宋体" w:eastAsia="宋体"/>
          <w:szCs w:val="21"/>
          <w:lang w:val="en-US" w:eastAsia="zh-CN"/>
        </w:rPr>
        <w:t>元（大写：</w:t>
      </w:r>
      <w:r>
        <w:rPr>
          <w:rFonts w:hint="eastAsia" w:ascii="宋体" w:hAnsi="宋体"/>
          <w:szCs w:val="21"/>
          <w:lang w:val="en-US" w:eastAsia="zh-CN"/>
        </w:rPr>
        <w:t>肆万柒仟伍佰柒拾捌元叁角壹分</w:t>
      </w:r>
      <w:r>
        <w:rPr>
          <w:rFonts w:hint="eastAsia" w:ascii="宋体" w:hAnsi="宋体" w:eastAsia="宋体"/>
          <w:szCs w:val="21"/>
          <w:lang w:val="en-US" w:eastAsia="zh-CN"/>
        </w:rPr>
        <w:t>）计取，否则，其竞争性谈判报价文件作否决投标处理。</w:t>
      </w:r>
    </w:p>
    <w:p w14:paraId="79EB22E3">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《投标函》中的安全文明施工费必须填报，填报金额必须为</w:t>
      </w:r>
      <w:r>
        <w:rPr>
          <w:rFonts w:hint="eastAsia" w:ascii="宋体" w:hAnsi="宋体"/>
          <w:szCs w:val="21"/>
          <w:lang w:val="en-US" w:eastAsia="zh-CN"/>
        </w:rPr>
        <w:t>47578.31</w:t>
      </w:r>
      <w:r>
        <w:rPr>
          <w:rFonts w:hint="eastAsia" w:ascii="宋体" w:hAnsi="宋体" w:eastAsia="宋体"/>
          <w:szCs w:val="21"/>
          <w:lang w:val="en-US" w:eastAsia="zh-CN"/>
        </w:rPr>
        <w:t>元，否则，竞争性谈判报价文件作否决投标处理。结算时，安全文明施工费按《关于修订发布《重庆市建设工程安全文明施工费计取及使用管理规定》的通知》（渝建管〔2024〕38号）规定进行结算，即在结算时先减去投标时的暂列金额，再按渝建管〔2024〕38号结算。安全文明施工的要求与内容、提取支付方法以及违反约定造成损失的赔偿等条款，按照现行文件要求执行，做到专款专用。。</w:t>
      </w:r>
    </w:p>
    <w:p w14:paraId="2725702B">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 xml:space="preserve"> 根据渝建发【2011】607号文规定，中标人在施工过程中必须按《建筑工程施工围挡（Ⅱ）》（编号为 DJBT-062，图集号为11J03）标准设置施工围挡</w:t>
      </w:r>
    </w:p>
    <w:p w14:paraId="10581B69">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14:paraId="1DEE9707">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xi.本工程规费按2018年《重庆市建设工程费用定额》的标准计取否则视为对竞争性谈判文件不作实质性响应，其竞争性谈判报价文件按否决投标处理</w:t>
      </w:r>
    </w:p>
    <w:p w14:paraId="081970C8">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xii.工伤保险费按渝人社发［2015］197号文件执行</w:t>
      </w:r>
    </w:p>
    <w:p w14:paraId="65674724">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iii.竞选人在其竞争性谈判报价文件中应充分考虑各项措施费用包括但不限于：临时水、电、脚手架和仓储用地、用房、人员食宿、建筑垃圾清运、排污费、材料及半成品的二次或多次转运、成品保护、所拆除的建筑构件及材料场内二次或多次转运等所引起的费用纳入竞争性谈判报价文件中，采购人对此类费用不另行支付，施工现场不具备堆放物资、材料的条件，竞选人应根据发包人提供的航拍图对应的临时设施场地搭设临设，同时竞选人应将从临设至施工地点的材料、半成品、成品、设备等转运及其他可能产生的相关费用纳入竞争性谈判报价文件中，采购人对此不再另行支付费用。</w:t>
      </w:r>
    </w:p>
    <w:p w14:paraId="5D88B3C5">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iv.中标人自行负责施工用水（含水源）、用电（含电源）及其接口，其费用由竞选人纳入竞争性谈判报价文件中，结算时采购人不支付此类费用。中标人必须结合施工场地供水、供电的实际情况，负责接至各施工点并对安全负责，并根据实际情况配备必要发电设备和水压增压设备等。由此发生的所有费用（包括搭接费、水电费、协调费、设备设施费等）已包含在竞争性谈判报价文件中，工程结算时采购人不另行支付该费用。</w:t>
      </w:r>
    </w:p>
    <w:p w14:paraId="62C23A67">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v.包括但不限于建筑垃圾、余土石方、淤泥、混凝土浆、机械生产所需的汽油（机油）等按环保要求进行处理，并由中标人自行外运，由此所发生的一切费用（包括但不限于建筑垃圾的收集处理、弃土场道路的修建和维护、弃渣费、运输道路沿线的清扫、易撒漏物资密闭运输费以及措施费等）由竞选人纳入竞争性谈判报价文件中，中标后采购人不作任何调整。中标人由于余土石方及建筑垃圾的弃置所造成的一切赔偿由中标人自行负责并承担费用。</w:t>
      </w:r>
    </w:p>
    <w:p w14:paraId="4FBE8A38">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vi.中标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中标人自行承担，采购人不承担连带责任。</w:t>
      </w:r>
    </w:p>
    <w:p w14:paraId="4A625D8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vii.中标人应保持施工区域内及周边现有道路、周边企业建设的进出道路的畅通，以及对相关设施的保护等，请竞选人充分考虑，其费用全部纳入竞争性谈判报价文件中。因本工程场地受限，红线范围内不提供现场办公和生活区的搭建场地，竞选人应充分考虑现场实际情况，选址由竞选人自行解决，采购人不提供使用场地，所发生费用由竞选人综合考虑进入竞争性谈判报价文件中，不再另行计价。</w:t>
      </w:r>
    </w:p>
    <w:p w14:paraId="15B6ECF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viii.本工程施工期间中标人须保护施工场地范围内地上（地下）各种管线、施工现场周边的建、构筑物，中标单位所采取保护措施而发生的相关费用（包括人、材、机停窝工、管线保护费、作业方式的调整等）由中标人承担，若中标人对管线和建、构筑物造成损坏或破坏的，由中标人负责修复并承担所有经济责任和法律责任，采购人不承担任何连带责任。</w:t>
      </w:r>
    </w:p>
    <w:p w14:paraId="6802356C">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ix.竞选人应充分了解工地位置，若多家施工单位现场交叉作业时，中标人须无条件的服从采购人统一安排，否则立即无条件清离现场。一切损失由竞选人自行承担，因此给采购人造成的损失，竞选人必须承担赔偿。由于交叉作业增加的各种费用由竞选人纳入竞争性谈判报价文件中，采购人不另支付其它费用和调整中标价。</w:t>
      </w:r>
    </w:p>
    <w:p w14:paraId="58D5DC94">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若因采购人原因（如:工程设计变更、项目增减或征地拆迁不及时等）造成人、材、机停（窝）工、工期延长等，其相关费用由竞选人纳入竞争性谈判报价文件中，采购人不另行支付其它费用或调整中标单价，但影响的工期，采购人同意顺延。</w:t>
      </w:r>
    </w:p>
    <w:p w14:paraId="7C15BDA3">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xxi.若因中标人原因，造成总工期延误的，每延误一日历天则向采购人支付违约金5000元，依此类推，竞选人在投标投报价时充分考虑此因素。</w:t>
      </w:r>
    </w:p>
    <w:p w14:paraId="7790B42D">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ii.本工程因工期紧，任务重，中标人应根据工期要求，合理安排机械设备及人员的投入，本工程的施工重点：池窑车间、自动化物流相关车间的施工、厂房及设备基础施工方案；技术关键点：与设备供应商交叉施工配合措施、成品保护措施、各安装单位交叉作业的保障措施。以上所发生的一切费用由竞选人纳入竞争性谈判报价文件中 。</w:t>
      </w:r>
    </w:p>
    <w:p w14:paraId="42E91F83">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xxiii.材料：除竞争性谈判文件及其附件内明确的甲供材以外，其余材料为中标人供应。</w:t>
      </w:r>
    </w:p>
    <w:p w14:paraId="543BA863">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（1）材料价格按不含税价格确定，其进项税额按《重庆市住房和城乡建设委员会关于适用增值税新税率调整建设工程计价依据的通知》（渝建〔2019〕143号）执行。</w:t>
      </w:r>
    </w:p>
    <w:p w14:paraId="03B2779D">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（2）本工程的所有材料须先检测合格后方可施工，本项目建筑工程部分的质量检测按渝建 [2015]420 号文件规定执行；施工单位应为取样送检单位在施工现场开展有关工作提供条件，相关费用由竞选人自行考虑并包含在竞争性谈判报价文件中，不再调整。</w:t>
      </w:r>
    </w:p>
    <w:p w14:paraId="26E8F62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（3）竞选人在报价时应充分考虑整个施工期内材料、设备的涨价因素，根据重庆市城乡建设委员会关于进一步加强建筑安装材料价格风险管控的指导意见（渝建〔2018〕61 号文件）的精神，对施工期间主要材料价格变化幅度超过5%以上的部分的结算价格进行调整。主要材料价格变化幅度未超过（含）5%，主要材料结算价格按中标材料价确定；除主要材料外的其余材料及设备均由竞选人自主报价并采购，竞选人在报价时应充分考虑整个施工期内材料、设备的涨价因素，不因市场价格的变化而调整。</w:t>
      </w:r>
    </w:p>
    <w:p w14:paraId="3BD99019">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a.主要材料范围界定：《重庆工程造价信息》中各区县主要材料信息价中公布的主城区全部材料和重庆市材料信息价中公布的钢材。</w:t>
      </w:r>
    </w:p>
    <w:p w14:paraId="4F2031BD">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b.主要材料价格依据：以《重庆工程造价信息》中各区县主要材料信息价中公布的主城区材料价格和重庆市材料信息价中公布的钢材价格为准。</w:t>
      </w:r>
    </w:p>
    <w:p w14:paraId="00D2B4CE">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c.主要材料价格变化幅度 D=（施工期间材料价格算术平均值 B―2025年9月公布的主要材料价格 C）÷2025年9月公布的主要材料价格 C×100%。施工期间是指在合同协议书约定的承包人完成工程所需的期限，包括按照合同约定所作的期限变更；</w:t>
      </w:r>
    </w:p>
    <w:p w14:paraId="1C2AB334">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d.主要材料结算价格调整：D&gt;5%，调整后的主要材料结算价格=调差基准价 A＋C×（D―5%）；D＜-5%，调整后的主要材料结算价格=调差基准价 A＋C×（D＋5%）</w:t>
      </w:r>
    </w:p>
    <w:p w14:paraId="23B47FE5">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注： （1）调差基准价 A：中标材料价格与 2025年9月公布的主要材料价格比较，取较小值</w:t>
      </w:r>
    </w:p>
    <w:p w14:paraId="4A3AD7DA">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（2）承包人的竞争性谈判报价文件中同一规格型号的材料出现不同价格的，取较低值</w:t>
      </w:r>
    </w:p>
    <w:p w14:paraId="3277C610">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（3）主要材料消耗量：中标人竞争性谈判报价文件中的主要材料消耗量与重庆市 2018计价定额及配套文件中的主要材料消耗量相比，取较小值</w:t>
      </w:r>
    </w:p>
    <w:p w14:paraId="2705DECC">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4）因承包人原因导致工期延误的，在合同原定竣工时间之后，材料价格相比2025年9月公布的材料价格增加的，不予纳入施工期间材料价格算术平均值的计算；材料价格相比2025年9月公布的材料价格降低的，纳入施工期间材料价格算术平均值的计算</w:t>
      </w:r>
    </w:p>
    <w:p w14:paraId="448BD1EE">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iv.本工程风险：①竞选人应先到工地踏勘以充分了解工地位置、道路、储存空间、装卸限制等任何其它足以影响报价的情况，任何因忽视或误解工地情况而导致的索赔或工期延长申请将不获批准；②竞选人的竞争性谈判报价文件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采购人有权修改该工程的量、项等相关内容，中标人必须无条件接受，并不得因此要求采购人在竞争性谈判文件规定以外的计价原则另行计价，各竞选人须充分考虑由此产生的风险及费用</w:t>
      </w:r>
    </w:p>
    <w:p w14:paraId="737F7C08">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20AED19D">
      <w:pPr>
        <w:topLinePunct/>
        <w:adjustRightInd w:val="0"/>
        <w:snapToGrid w:val="0"/>
        <w:spacing w:line="440" w:lineRule="exact"/>
        <w:rPr>
          <w:rFonts w:hint="eastAsia" w:ascii="宋体" w:hAnsi="宋体" w:eastAsia="宋体"/>
          <w:szCs w:val="21"/>
          <w:lang w:val="en-US" w:eastAsia="zh-CN"/>
        </w:rPr>
      </w:pPr>
      <w:r>
        <w:rPr>
          <w:rFonts w:hint="eastAsia" w:ascii="宋体" w:hAnsi="宋体" w:eastAsia="宋体"/>
          <w:szCs w:val="21"/>
          <w:lang w:val="en-US" w:eastAsia="zh-CN"/>
        </w:rPr>
        <w:t>xxvi.本工程设置投标总报价最高限价，本工程投标总报价最高限价为：</w:t>
      </w:r>
      <w:r>
        <w:rPr>
          <w:rFonts w:hint="eastAsia" w:ascii="宋体" w:hAnsi="宋体"/>
          <w:szCs w:val="21"/>
          <w:u w:val="single"/>
          <w:lang w:val="en-US" w:eastAsia="zh-CN"/>
        </w:rPr>
        <w:t>843226.29</w:t>
      </w:r>
      <w:r>
        <w:rPr>
          <w:rFonts w:hint="eastAsia" w:ascii="宋体" w:hAnsi="宋体" w:eastAsia="宋体"/>
          <w:szCs w:val="21"/>
          <w:lang w:val="en-US" w:eastAsia="zh-CN"/>
        </w:rPr>
        <w:t>元（大写：</w:t>
      </w:r>
      <w:r>
        <w:rPr>
          <w:rFonts w:hint="eastAsia" w:ascii="宋体" w:hAnsi="宋体"/>
          <w:szCs w:val="21"/>
          <w:lang w:val="en-US" w:eastAsia="zh-CN"/>
        </w:rPr>
        <w:t>捌拾肆万叁仟贰佰贰拾陆元贰角玖分</w:t>
      </w:r>
      <w:r>
        <w:rPr>
          <w:rFonts w:hint="eastAsia" w:ascii="宋体" w:hAnsi="宋体" w:eastAsia="宋体"/>
          <w:szCs w:val="21"/>
          <w:lang w:val="en-US" w:eastAsia="zh-CN"/>
        </w:rPr>
        <w:t>）。大于竞争性谈判最高限价的为无效报价，其竞争性谈判报价文件作否决投标处理。</w:t>
      </w:r>
    </w:p>
    <w:p w14:paraId="0C645DEB">
      <w:pPr>
        <w:topLinePunct/>
        <w:adjustRightInd w:val="0"/>
        <w:snapToGrid w:val="0"/>
        <w:spacing w:line="440" w:lineRule="exact"/>
        <w:rPr>
          <w:rFonts w:ascii="宋体" w:hAnsi="宋体"/>
          <w:szCs w:val="21"/>
          <w:highlight w:val="yellow"/>
        </w:rPr>
      </w:pPr>
      <w:r>
        <w:rPr>
          <w:rFonts w:hint="eastAsia" w:ascii="宋体" w:hAnsi="宋体" w:eastAsia="宋体"/>
          <w:szCs w:val="21"/>
          <w:lang w:val="en-US" w:eastAsia="zh-CN"/>
        </w:rPr>
        <w:t>本工程竞争性谈判将设置全部工程量清单综合单价最高限价，竞选人的每项清单综合单价报价不得超过每项清单综合单价最高限价，所有分部分</w:t>
      </w:r>
      <w:r>
        <w:rPr>
          <w:rFonts w:hint="eastAsia" w:asciiTheme="minorEastAsia" w:hAnsiTheme="minorEastAsia" w:eastAsiaTheme="minorEastAsia" w:cstheme="minorEastAsia"/>
          <w:sz w:val="21"/>
          <w:szCs w:val="21"/>
          <w:lang w:val="en-US" w:eastAsia="zh-CN"/>
        </w:rPr>
        <w:t>项工程量清单综合单价报价最高限价详见附件。</w:t>
      </w:r>
    </w:p>
    <w:p w14:paraId="4928A748">
      <w:pPr>
        <w:topLinePunct/>
        <w:adjustRightInd w:val="0"/>
        <w:snapToGrid w:val="0"/>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szCs w:val="21"/>
        </w:rPr>
        <w:t>2.6 付款方式</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发包人应在签订结算定案表后的28 天内，累计支付至竣工结算价款的97%，余3%质保金，待保修期满后一次性付清。发包人的支付方式约定为银行承兑汇票或电汇付款（银行转账）。</w:t>
      </w:r>
    </w:p>
    <w:p w14:paraId="4C4A5CE7">
      <w:pPr>
        <w:spacing w:line="440" w:lineRule="exact"/>
        <w:jc w:val="left"/>
        <w:outlineLvl w:val="0"/>
        <w:rPr>
          <w:rFonts w:ascii="宋体" w:hAnsi="宋体"/>
          <w:b/>
          <w:snapToGrid w:val="0"/>
          <w:kern w:val="0"/>
          <w:szCs w:val="21"/>
        </w:rPr>
      </w:pPr>
      <w:bookmarkStart w:id="32" w:name="_Toc25935"/>
      <w:bookmarkStart w:id="33" w:name="_Toc20349"/>
      <w:bookmarkStart w:id="34" w:name="_Toc14373"/>
      <w:bookmarkStart w:id="35" w:name="_Toc21527"/>
      <w:bookmarkStart w:id="36" w:name="_Toc29166"/>
      <w:bookmarkStart w:id="37" w:name="_Toc18439"/>
      <w:bookmarkStart w:id="38" w:name="_Toc22086"/>
      <w:bookmarkStart w:id="39" w:name="_Toc8793"/>
      <w:bookmarkStart w:id="40" w:name="_Toc9431"/>
      <w:bookmarkStart w:id="41" w:name="_Toc25025"/>
      <w:r>
        <w:rPr>
          <w:rFonts w:hint="eastAsia" w:ascii="宋体" w:hAnsi="宋体"/>
          <w:b/>
          <w:snapToGrid w:val="0"/>
          <w:kern w:val="0"/>
          <w:szCs w:val="21"/>
        </w:rPr>
        <w:t>3. 供应商资格要求</w:t>
      </w:r>
    </w:p>
    <w:p w14:paraId="1452EEA8">
      <w:pPr>
        <w:topLinePunct/>
        <w:adjustRightInd w:val="0"/>
        <w:snapToGrid w:val="0"/>
        <w:spacing w:line="440" w:lineRule="exact"/>
        <w:rPr>
          <w:rFonts w:ascii="宋体" w:hAnsi="宋体"/>
          <w:szCs w:val="21"/>
        </w:rPr>
      </w:pPr>
      <w:r>
        <w:rPr>
          <w:rFonts w:hint="eastAsia" w:ascii="宋体" w:hAnsi="宋体"/>
          <w:szCs w:val="21"/>
        </w:rPr>
        <w:t>3.1本次竞争性谈判实行资格后审，供应商应满足下列资格条件：</w:t>
      </w:r>
    </w:p>
    <w:p w14:paraId="527EB771">
      <w:pPr>
        <w:topLinePunct/>
        <w:adjustRightInd w:val="0"/>
        <w:snapToGrid w:val="0"/>
        <w:spacing w:line="440" w:lineRule="exact"/>
        <w:rPr>
          <w:rFonts w:ascii="宋体" w:hAnsi="宋体"/>
          <w:color w:val="auto"/>
          <w:kern w:val="0"/>
          <w:szCs w:val="21"/>
          <w:highlight w:val="none"/>
        </w:rPr>
      </w:pPr>
      <w:r>
        <w:rPr>
          <w:rFonts w:hint="eastAsia" w:ascii="宋体" w:hAnsi="宋体"/>
          <w:color w:val="auto"/>
          <w:kern w:val="0"/>
          <w:szCs w:val="21"/>
          <w:highlight w:val="none"/>
        </w:rPr>
        <w:t>3.1.</w:t>
      </w:r>
      <w:r>
        <w:rPr>
          <w:rFonts w:hint="eastAsia" w:ascii="宋体" w:hAnsi="宋体"/>
          <w:color w:val="auto"/>
          <w:kern w:val="0"/>
          <w:szCs w:val="21"/>
          <w:highlight w:val="none"/>
          <w:lang w:val="en-US" w:eastAsia="zh-CN"/>
        </w:rPr>
        <w:t>1</w:t>
      </w:r>
      <w:r>
        <w:rPr>
          <w:rFonts w:ascii="宋体" w:hAnsi="宋体"/>
          <w:color w:val="auto"/>
          <w:kern w:val="0"/>
          <w:szCs w:val="21"/>
          <w:highlight w:val="none"/>
        </w:rPr>
        <w:t>具备工商行政主管部门颁发的经营期限内的营业执照</w:t>
      </w:r>
      <w:r>
        <w:rPr>
          <w:rFonts w:hint="eastAsia" w:ascii="宋体" w:hAnsi="宋体"/>
          <w:color w:val="auto"/>
          <w:kern w:val="0"/>
          <w:szCs w:val="21"/>
          <w:highlight w:val="none"/>
        </w:rPr>
        <w:t>（统一社会信用代码）提供有效的营业执照复印件，加盖供应商公章</w:t>
      </w:r>
      <w:r>
        <w:rPr>
          <w:rFonts w:ascii="宋体" w:hAnsi="宋体"/>
          <w:color w:val="auto"/>
          <w:kern w:val="0"/>
          <w:szCs w:val="21"/>
          <w:highlight w:val="none"/>
        </w:rPr>
        <w:t>。</w:t>
      </w:r>
    </w:p>
    <w:p w14:paraId="0F3E0D2D">
      <w:pPr>
        <w:topLinePunct/>
        <w:adjustRightInd w:val="0"/>
        <w:snapToGrid w:val="0"/>
        <w:spacing w:line="440" w:lineRule="exact"/>
        <w:rPr>
          <w:rFonts w:hint="default" w:ascii="宋体" w:hAnsi="宋体"/>
          <w:color w:val="auto"/>
          <w:kern w:val="0"/>
          <w:szCs w:val="21"/>
          <w:highlight w:val="none"/>
          <w:lang w:val="en-US" w:eastAsia="zh-CN"/>
        </w:rPr>
      </w:pPr>
      <w:r>
        <w:rPr>
          <w:rFonts w:hint="eastAsia" w:ascii="宋体" w:hAnsi="宋体"/>
          <w:color w:val="auto"/>
          <w:kern w:val="0"/>
          <w:szCs w:val="21"/>
          <w:highlight w:val="none"/>
        </w:rPr>
        <w:t>3</w:t>
      </w:r>
      <w:r>
        <w:rPr>
          <w:rFonts w:ascii="宋体" w:hAnsi="宋体"/>
          <w:color w:val="auto"/>
          <w:kern w:val="0"/>
          <w:szCs w:val="21"/>
          <w:highlight w:val="none"/>
        </w:rPr>
        <w:t>.1.</w:t>
      </w:r>
      <w:r>
        <w:rPr>
          <w:rFonts w:hint="eastAsia" w:ascii="宋体" w:hAnsi="宋体"/>
          <w:color w:val="auto"/>
          <w:kern w:val="0"/>
          <w:szCs w:val="21"/>
          <w:highlight w:val="none"/>
          <w:lang w:val="en-US" w:eastAsia="zh-CN"/>
        </w:rPr>
        <w:t>2具备建设行政主管部门颁发的有效的</w:t>
      </w:r>
      <w:r>
        <w:rPr>
          <w:rFonts w:hint="eastAsia" w:ascii="宋体" w:hAnsi="宋体"/>
          <w:color w:val="auto"/>
          <w:kern w:val="0"/>
          <w:szCs w:val="21"/>
          <w:highlight w:val="none"/>
          <w:u w:val="single"/>
          <w:lang w:val="en-US" w:eastAsia="zh-CN"/>
        </w:rPr>
        <w:t>建筑机电安装工程专业承包三级</w:t>
      </w:r>
      <w:r>
        <w:rPr>
          <w:rFonts w:hint="eastAsia" w:ascii="宋体" w:hAnsi="宋体"/>
          <w:color w:val="auto"/>
          <w:kern w:val="0"/>
          <w:szCs w:val="21"/>
          <w:highlight w:val="none"/>
          <w:lang w:val="en-US" w:eastAsia="zh-CN"/>
        </w:rPr>
        <w:t>及以上资质或</w:t>
      </w:r>
      <w:r>
        <w:rPr>
          <w:rFonts w:hint="eastAsia" w:ascii="宋体" w:hAnsi="宋体"/>
          <w:color w:val="auto"/>
          <w:kern w:val="0"/>
          <w:szCs w:val="21"/>
          <w:highlight w:val="none"/>
          <w:u w:val="single"/>
          <w:lang w:val="en-US" w:eastAsia="zh-CN"/>
        </w:rPr>
        <w:t>机电工程施工总承包三级</w:t>
      </w:r>
      <w:r>
        <w:rPr>
          <w:rFonts w:hint="eastAsia" w:ascii="宋体" w:hAnsi="宋体"/>
          <w:color w:val="auto"/>
          <w:kern w:val="0"/>
          <w:szCs w:val="21"/>
          <w:highlight w:val="none"/>
          <w:lang w:val="en-US" w:eastAsia="zh-CN"/>
        </w:rPr>
        <w:t>以上资质，具备建设行政主管部门颁发的有效的安全生产许可证。</w:t>
      </w:r>
    </w:p>
    <w:p w14:paraId="7464B0DD">
      <w:pPr>
        <w:topLinePunct/>
        <w:adjustRightInd w:val="0"/>
        <w:snapToGrid w:val="0"/>
        <w:spacing w:line="440" w:lineRule="exact"/>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.1.</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作业人员需持证上岗具备相关专业资质(焊工证、电工证、钳工证)，其中至少3名 焊工技师，2名电工技师，1名钳工技师;并提供作业人员 2025 年</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月-2025 年</w:t>
      </w:r>
      <w:r>
        <w:rPr>
          <w:rFonts w:hint="eastAsia" w:ascii="宋体" w:hAnsi="宋体"/>
          <w:color w:val="auto"/>
          <w:kern w:val="0"/>
          <w:szCs w:val="21"/>
          <w:highlight w:val="none"/>
          <w:lang w:val="en-US" w:eastAsia="zh-CN"/>
        </w:rPr>
        <w:t>9</w:t>
      </w:r>
      <w:r>
        <w:rPr>
          <w:rFonts w:hint="eastAsia" w:ascii="宋体" w:hAnsi="宋体"/>
          <w:color w:val="auto"/>
          <w:kern w:val="0"/>
          <w:szCs w:val="21"/>
          <w:highlight w:val="none"/>
        </w:rPr>
        <w:t>月社保凭证且加善公章。</w:t>
      </w:r>
    </w:p>
    <w:p w14:paraId="4E42C053">
      <w:pPr>
        <w:spacing w:line="440" w:lineRule="exact"/>
        <w:jc w:val="left"/>
        <w:outlineLvl w:val="0"/>
        <w:rPr>
          <w:rFonts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14:paraId="2060C417">
      <w:pPr>
        <w:topLinePunct/>
        <w:adjustRightInd w:val="0"/>
        <w:snapToGrid w:val="0"/>
        <w:spacing w:line="440" w:lineRule="exact"/>
        <w:rPr>
          <w:rFonts w:ascii="宋体" w:hAnsi="宋体"/>
          <w:color w:val="000000"/>
          <w:szCs w:val="21"/>
        </w:rPr>
      </w:pPr>
      <w:r>
        <w:rPr>
          <w:rFonts w:hint="eastAsia" w:ascii="宋体" w:hAnsi="宋体"/>
          <w:color w:val="000000"/>
          <w:szCs w:val="21"/>
        </w:rPr>
        <w:t>4.1谈判文件要求密封，并加盖供应商单位公章。</w:t>
      </w:r>
    </w:p>
    <w:p w14:paraId="5E03BB95">
      <w:pPr>
        <w:topLinePunct/>
        <w:adjustRightInd w:val="0"/>
        <w:snapToGrid w:val="0"/>
        <w:spacing w:line="440" w:lineRule="exact"/>
        <w:rPr>
          <w:rFonts w:ascii="宋体" w:hAnsi="宋体"/>
          <w:color w:val="000000"/>
          <w:szCs w:val="21"/>
        </w:rPr>
      </w:pPr>
      <w:r>
        <w:rPr>
          <w:rFonts w:hint="eastAsia" w:ascii="宋体" w:hAnsi="宋体"/>
          <w:color w:val="000000"/>
          <w:szCs w:val="21"/>
        </w:rPr>
        <w:t>4.2供应商</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14:paraId="501F8BEB">
      <w:pPr>
        <w:topLinePunct/>
        <w:adjustRightInd w:val="0"/>
        <w:snapToGrid w:val="0"/>
        <w:spacing w:line="440" w:lineRule="exact"/>
        <w:rPr>
          <w:rFonts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rPr>
        <w:t>应包含备件款、税金、运费、保险费、管理费等一切费用。</w:t>
      </w:r>
    </w:p>
    <w:p w14:paraId="3DC07F0D">
      <w:pPr>
        <w:pStyle w:val="17"/>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2CD94589">
      <w:pPr>
        <w:spacing w:line="440" w:lineRule="exact"/>
        <w:jc w:val="lef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14186"/>
      <w:bookmarkStart w:id="43" w:name="_Toc23380"/>
      <w:bookmarkStart w:id="44" w:name="_Toc5540"/>
      <w:bookmarkStart w:id="45" w:name="_Toc11777"/>
      <w:bookmarkStart w:id="46" w:name="_Toc7273"/>
      <w:bookmarkStart w:id="47" w:name="_Toc22256"/>
      <w:bookmarkStart w:id="48" w:name="_Toc19904"/>
      <w:bookmarkStart w:id="49" w:name="_Toc1277"/>
      <w:bookmarkStart w:id="50" w:name="_Toc27438"/>
      <w:bookmarkStart w:id="51" w:name="_Toc19404"/>
    </w:p>
    <w:p w14:paraId="58A1ABF5">
      <w:pPr>
        <w:numPr>
          <w:ilvl w:val="0"/>
          <w:numId w:val="2"/>
        </w:numPr>
        <w:spacing w:line="440" w:lineRule="exact"/>
        <w:jc w:val="left"/>
        <w:outlineLvl w:val="0"/>
        <w:rPr>
          <w:rFonts w:ascii="宋体" w:hAnsi="宋体"/>
          <w:b/>
          <w:snapToGrid w:val="0"/>
          <w:kern w:val="0"/>
          <w:szCs w:val="21"/>
        </w:rPr>
      </w:pPr>
      <w:r>
        <w:rPr>
          <w:rFonts w:hint="eastAsia" w:ascii="宋体" w:hAnsi="宋体"/>
          <w:b/>
          <w:snapToGrid w:val="0"/>
          <w:kern w:val="0"/>
          <w:szCs w:val="21"/>
        </w:rPr>
        <w:t>竞争性谈判办法</w:t>
      </w:r>
    </w:p>
    <w:p w14:paraId="2C8DB613">
      <w:pPr>
        <w:spacing w:after="24" w:afterLines="10" w:line="400" w:lineRule="exact"/>
        <w:ind w:left="420" w:leftChars="200"/>
        <w:jc w:val="left"/>
        <w:rPr>
          <w:rStyle w:val="24"/>
          <w:rFonts w:ascii="宋体" w:hAnsi="宋体" w:cs="宋体"/>
          <w:color w:val="auto"/>
          <w:kern w:val="0"/>
          <w:highlight w:val="none"/>
        </w:rPr>
      </w:pPr>
      <w:r>
        <w:rPr>
          <w:rFonts w:hint="eastAsia" w:ascii="宋体" w:hAnsi="宋体" w:cs="宋体"/>
          <w:color w:val="auto"/>
          <w:szCs w:val="21"/>
        </w:rPr>
        <w:t>5.1</w:t>
      </w:r>
      <w:r>
        <w:rPr>
          <w:rFonts w:hint="eastAsia" w:ascii="宋体" w:hAnsi="宋体" w:cs="Tahoma"/>
          <w:color w:val="auto"/>
          <w:szCs w:val="21"/>
        </w:rPr>
        <w:t>本次</w:t>
      </w:r>
      <w:r>
        <w:rPr>
          <w:rFonts w:hint="eastAsia" w:ascii="宋体" w:hAnsi="宋体" w:cs="Tahoma"/>
          <w:color w:val="auto"/>
          <w:szCs w:val="21"/>
          <w:highlight w:val="none"/>
        </w:rPr>
        <w:t>竞争性谈判采取</w:t>
      </w:r>
      <w:r>
        <w:rPr>
          <w:rStyle w:val="24"/>
          <w:rFonts w:ascii="宋体" w:hAnsi="宋体" w:cs="宋体"/>
          <w:color w:val="auto"/>
          <w:kern w:val="0"/>
          <w:highlight w:val="none"/>
        </w:rPr>
        <w:t>经评审的</w:t>
      </w:r>
      <w:r>
        <w:rPr>
          <w:rStyle w:val="24"/>
          <w:rFonts w:hint="eastAsia" w:ascii="宋体" w:hAnsi="宋体" w:cs="宋体"/>
          <w:color w:val="auto"/>
          <w:kern w:val="0"/>
          <w:highlight w:val="none"/>
        </w:rPr>
        <w:t>最低价法。</w:t>
      </w:r>
    </w:p>
    <w:p w14:paraId="4B027B3D">
      <w:pPr>
        <w:numPr>
          <w:ilvl w:val="0"/>
          <w:numId w:val="3"/>
        </w:numPr>
        <w:spacing w:after="24" w:afterLines="10" w:line="400" w:lineRule="exact"/>
        <w:jc w:val="left"/>
        <w:rPr>
          <w:rFonts w:ascii="宋体" w:hAnsi="宋体"/>
          <w:color w:val="auto"/>
          <w:kern w:val="0"/>
          <w:szCs w:val="21"/>
          <w:highlight w:val="none"/>
        </w:rPr>
      </w:pPr>
      <w:r>
        <w:rPr>
          <w:rFonts w:hint="eastAsia" w:ascii="宋体" w:hAnsi="宋体"/>
          <w:color w:val="auto"/>
          <w:kern w:val="0"/>
          <w:szCs w:val="21"/>
          <w:highlight w:val="none"/>
        </w:rPr>
        <w:t>对报价不高于最高限价的所有竞选人的谈判文件，按照报价由低到高的顺序排序。</w:t>
      </w:r>
    </w:p>
    <w:p w14:paraId="6FD60921">
      <w:pPr>
        <w:spacing w:after="24" w:afterLines="10" w:line="400" w:lineRule="exact"/>
        <w:jc w:val="left"/>
        <w:rPr>
          <w:rFonts w:ascii="宋体" w:hAnsi="宋体"/>
          <w:color w:val="auto"/>
          <w:kern w:val="0"/>
          <w:szCs w:val="21"/>
          <w:highlight w:val="none"/>
        </w:rPr>
      </w:pPr>
      <w:r>
        <w:rPr>
          <w:rFonts w:hint="eastAsia" w:ascii="宋体" w:hAnsi="宋体"/>
          <w:color w:val="auto"/>
          <w:kern w:val="0"/>
          <w:szCs w:val="21"/>
          <w:highlight w:val="none"/>
        </w:rPr>
        <w:t>　　（2）符合性审查合格的竞选人中，报价最低的成为第一成交候选人，报价次低的成为第二成交候选人，依次类推。</w:t>
      </w:r>
    </w:p>
    <w:p w14:paraId="74213281">
      <w:pPr>
        <w:spacing w:after="24" w:afterLines="10" w:line="400" w:lineRule="exact"/>
        <w:jc w:val="left"/>
        <w:rPr>
          <w:rFonts w:ascii="宋体" w:hAnsi="宋体" w:cs="宋体"/>
          <w:color w:val="auto"/>
          <w:szCs w:val="21"/>
          <w:highlight w:val="none"/>
        </w:rPr>
      </w:pPr>
      <w:r>
        <w:rPr>
          <w:rFonts w:hint="eastAsia" w:ascii="宋体" w:hAnsi="宋体"/>
          <w:color w:val="auto"/>
          <w:kern w:val="0"/>
          <w:szCs w:val="21"/>
          <w:highlight w:val="none"/>
        </w:rPr>
        <w:t>　　（3）因谈判小组作否决处理，导致有效供应商不足三个的，谈判小组应当否决所有谈判文件。</w:t>
      </w:r>
    </w:p>
    <w:p w14:paraId="57C2005E">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6.竞争性谈判文件的获取</w:t>
      </w:r>
      <w:bookmarkEnd w:id="42"/>
      <w:bookmarkEnd w:id="43"/>
      <w:bookmarkEnd w:id="44"/>
      <w:bookmarkEnd w:id="45"/>
      <w:bookmarkEnd w:id="46"/>
      <w:bookmarkEnd w:id="47"/>
      <w:bookmarkEnd w:id="48"/>
      <w:bookmarkEnd w:id="49"/>
      <w:bookmarkEnd w:id="50"/>
      <w:bookmarkEnd w:id="51"/>
    </w:p>
    <w:p w14:paraId="670ADD9A">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highlight w:val="none"/>
        </w:rPr>
      </w:pPr>
      <w:bookmarkStart w:id="52" w:name="_Toc24060"/>
      <w:bookmarkStart w:id="53" w:name="_Toc21446"/>
      <w:bookmarkStart w:id="54" w:name="_Toc784"/>
      <w:bookmarkStart w:id="55" w:name="_Toc4653"/>
      <w:bookmarkStart w:id="56" w:name="_Toc1075"/>
      <w:bookmarkStart w:id="57" w:name="_Toc5692"/>
      <w:r>
        <w:rPr>
          <w:rFonts w:hint="eastAsia" w:ascii="宋体" w:hAnsi="宋体" w:cs="宋体"/>
          <w:szCs w:val="21"/>
          <w:highlight w:val="none"/>
        </w:rPr>
        <w:t>6.1 凡有意参加竞争性谈判者，请于北京时间</w:t>
      </w:r>
      <w:r>
        <w:rPr>
          <w:rFonts w:hint="eastAsia" w:ascii="宋体" w:hAnsi="宋体" w:cs="宋体"/>
          <w:szCs w:val="21"/>
          <w:highlight w:val="none"/>
          <w:u w:val="single"/>
          <w:lang w:val="en-US" w:eastAsia="zh-CN"/>
        </w:rPr>
        <w:t>2025</w:t>
      </w:r>
      <w:r>
        <w:rPr>
          <w:rFonts w:hint="eastAsia" w:ascii="宋体" w:hAnsi="宋体" w:cs="宋体"/>
          <w:szCs w:val="21"/>
          <w:highlight w:val="none"/>
        </w:rPr>
        <w:t>年</w:t>
      </w:r>
      <w:r>
        <w:rPr>
          <w:rFonts w:hint="eastAsia" w:ascii="宋体" w:hAnsi="宋体" w:cs="宋体"/>
          <w:szCs w:val="21"/>
          <w:highlight w:val="none"/>
          <w:u w:val="single"/>
          <w:lang w:val="en-US" w:eastAsia="zh-CN"/>
        </w:rPr>
        <w:t>10</w:t>
      </w:r>
      <w:r>
        <w:rPr>
          <w:rFonts w:hint="eastAsia" w:ascii="宋体" w:hAnsi="宋体" w:cs="宋体"/>
          <w:szCs w:val="21"/>
          <w:highlight w:val="none"/>
        </w:rPr>
        <w:t xml:space="preserve">月 </w:t>
      </w:r>
      <w:r>
        <w:rPr>
          <w:rFonts w:hint="eastAsia" w:ascii="宋体" w:hAnsi="宋体" w:cs="宋体"/>
          <w:szCs w:val="21"/>
          <w:highlight w:val="none"/>
          <w:u w:val="single"/>
          <w:lang w:val="en-US" w:eastAsia="zh-CN"/>
        </w:rPr>
        <w:t>20</w:t>
      </w:r>
      <w:r>
        <w:rPr>
          <w:rFonts w:hint="eastAsia" w:ascii="宋体" w:hAnsi="宋体" w:cs="宋体"/>
          <w:szCs w:val="21"/>
          <w:highlight w:val="none"/>
        </w:rPr>
        <w:t>日至</w:t>
      </w:r>
      <w:r>
        <w:rPr>
          <w:rFonts w:hint="eastAsia" w:ascii="宋体" w:hAnsi="宋体" w:cs="宋体"/>
          <w:szCs w:val="21"/>
          <w:highlight w:val="none"/>
          <w:u w:val="single"/>
          <w:lang w:val="en-US" w:eastAsia="zh-CN"/>
        </w:rPr>
        <w:t>2025</w:t>
      </w:r>
      <w:r>
        <w:rPr>
          <w:rFonts w:hint="eastAsia" w:ascii="宋体" w:hAnsi="宋体" w:cs="宋体"/>
          <w:szCs w:val="21"/>
          <w:highlight w:val="none"/>
        </w:rPr>
        <w:t xml:space="preserve">年 </w:t>
      </w:r>
      <w:r>
        <w:rPr>
          <w:rFonts w:hint="eastAsia" w:ascii="宋体" w:hAnsi="宋体" w:cs="宋体"/>
          <w:szCs w:val="21"/>
          <w:highlight w:val="none"/>
          <w:u w:val="single"/>
          <w:lang w:val="en-US" w:eastAsia="zh-CN"/>
        </w:rPr>
        <w:t>10</w:t>
      </w:r>
      <w:r>
        <w:rPr>
          <w:rFonts w:hint="eastAsia" w:ascii="宋体" w:hAnsi="宋体" w:cs="宋体"/>
          <w:szCs w:val="21"/>
          <w:highlight w:val="none"/>
        </w:rPr>
        <w:t>月</w:t>
      </w:r>
      <w:r>
        <w:rPr>
          <w:rFonts w:hint="eastAsia" w:ascii="宋体" w:hAnsi="宋体" w:cs="宋体"/>
          <w:szCs w:val="21"/>
          <w:highlight w:val="none"/>
          <w:u w:val="single"/>
          <w:lang w:val="en-US" w:eastAsia="zh-CN"/>
        </w:rPr>
        <w:t>22</w:t>
      </w:r>
      <w:r>
        <w:rPr>
          <w:rFonts w:hint="eastAsia" w:ascii="宋体" w:hAnsi="宋体" w:cs="宋体"/>
          <w:szCs w:val="21"/>
          <w:highlight w:val="none"/>
        </w:rPr>
        <w:t>日，每日9:00时至17:00时通过6.2载明的方式获取竞争性谈判文件。</w:t>
      </w:r>
    </w:p>
    <w:p w14:paraId="4A9329C3">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highlight w:val="none"/>
        </w:rPr>
      </w:pPr>
      <w:r>
        <w:rPr>
          <w:rFonts w:hint="eastAsia" w:ascii="宋体" w:hAnsi="宋体" w:cs="宋体"/>
          <w:szCs w:val="21"/>
          <w:highlight w:val="none"/>
        </w:rPr>
        <w:t>6.2</w:t>
      </w:r>
      <w:r>
        <w:rPr>
          <w:rFonts w:ascii="宋体" w:hAnsi="宋体" w:cs="宋体"/>
          <w:szCs w:val="21"/>
          <w:highlight w:val="none"/>
        </w:rPr>
        <w:t xml:space="preserve"> </w:t>
      </w:r>
      <w:r>
        <w:rPr>
          <w:rFonts w:hint="eastAsia" w:ascii="宋体" w:hAnsi="宋体" w:cs="宋体"/>
          <w:szCs w:val="21"/>
          <w:highlight w:val="none"/>
        </w:rPr>
        <w:t>取得竞争性谈判文件的方式：</w:t>
      </w:r>
    </w:p>
    <w:p w14:paraId="262B4263">
      <w:pPr>
        <w:spacing w:line="440" w:lineRule="exact"/>
        <w:ind w:firstLine="424" w:firstLineChars="202"/>
        <w:rPr>
          <w:rFonts w:ascii="宋体" w:hAnsi="宋体"/>
          <w:szCs w:val="21"/>
          <w:highlight w:val="none"/>
        </w:rPr>
      </w:pPr>
      <w:r>
        <w:rPr>
          <w:rFonts w:hint="eastAsia" w:ascii="宋体" w:hAnsi="宋体"/>
          <w:szCs w:val="21"/>
          <w:highlight w:val="none"/>
        </w:rPr>
        <w:t>采   购</w:t>
      </w:r>
      <w:r>
        <w:rPr>
          <w:rFonts w:ascii="宋体" w:hAnsi="宋体"/>
          <w:szCs w:val="21"/>
          <w:highlight w:val="none"/>
        </w:rPr>
        <w:t xml:space="preserve">   人：</w:t>
      </w:r>
      <w:r>
        <w:rPr>
          <w:rFonts w:hint="eastAsia" w:ascii="宋体" w:hAnsi="宋体"/>
          <w:szCs w:val="21"/>
          <w:highlight w:val="none"/>
        </w:rPr>
        <w:t>重庆国际复合材料股份有限公司</w:t>
      </w:r>
    </w:p>
    <w:p w14:paraId="0D788BFD">
      <w:pPr>
        <w:spacing w:line="440" w:lineRule="exact"/>
        <w:ind w:firstLine="424" w:firstLineChars="202"/>
        <w:rPr>
          <w:rFonts w:ascii="宋体" w:hAnsi="宋体"/>
          <w:szCs w:val="21"/>
          <w:highlight w:val="none"/>
        </w:rPr>
      </w:pPr>
      <w:r>
        <w:rPr>
          <w:rFonts w:ascii="宋体" w:hAnsi="宋体"/>
          <w:szCs w:val="21"/>
          <w:highlight w:val="none"/>
        </w:rPr>
        <w:t xml:space="preserve">办 </w:t>
      </w:r>
      <w:r>
        <w:rPr>
          <w:rFonts w:hint="eastAsia" w:ascii="宋体" w:hAnsi="宋体"/>
          <w:szCs w:val="21"/>
          <w:highlight w:val="none"/>
        </w:rPr>
        <w:t xml:space="preserve"> </w:t>
      </w:r>
      <w:r>
        <w:rPr>
          <w:rFonts w:ascii="宋体" w:hAnsi="宋体"/>
          <w:szCs w:val="21"/>
          <w:highlight w:val="none"/>
        </w:rPr>
        <w:t>公 地 址：</w:t>
      </w:r>
      <w:r>
        <w:rPr>
          <w:rFonts w:hint="eastAsia" w:ascii="宋体" w:hAnsi="宋体"/>
          <w:szCs w:val="21"/>
          <w:highlight w:val="none"/>
        </w:rPr>
        <w:t>重庆市大渡口区建桥工业园</w:t>
      </w:r>
      <w:r>
        <w:rPr>
          <w:rFonts w:ascii="宋体" w:hAnsi="宋体"/>
          <w:szCs w:val="21"/>
          <w:highlight w:val="none"/>
        </w:rPr>
        <w:t>B</w:t>
      </w:r>
      <w:r>
        <w:rPr>
          <w:rFonts w:hint="eastAsia" w:ascii="宋体" w:hAnsi="宋体"/>
          <w:szCs w:val="21"/>
          <w:highlight w:val="none"/>
        </w:rPr>
        <w:t>区</w:t>
      </w:r>
    </w:p>
    <w:p w14:paraId="2A1BD39D">
      <w:pPr>
        <w:spacing w:line="440" w:lineRule="exact"/>
        <w:ind w:firstLine="424" w:firstLineChars="202"/>
        <w:rPr>
          <w:rFonts w:ascii="宋体" w:hAnsi="宋体" w:cs="宋体"/>
          <w:szCs w:val="21"/>
          <w:highlight w:val="none"/>
        </w:rPr>
      </w:pPr>
      <w:r>
        <w:rPr>
          <w:rFonts w:ascii="宋体" w:hAnsi="宋体"/>
          <w:szCs w:val="21"/>
          <w:highlight w:val="none"/>
        </w:rPr>
        <w:t>联   系   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杨老师</w:t>
      </w:r>
      <w:r>
        <w:rPr>
          <w:rFonts w:hint="eastAsia" w:ascii="宋体" w:hAnsi="宋体"/>
          <w:szCs w:val="21"/>
          <w:highlight w:val="none"/>
          <w:u w:val="single"/>
        </w:rPr>
        <w:t xml:space="preserve">    </w:t>
      </w:r>
      <w:r>
        <w:rPr>
          <w:rFonts w:hint="eastAsia" w:ascii="宋体" w:hAnsi="宋体"/>
          <w:szCs w:val="21"/>
          <w:highlight w:val="none"/>
        </w:rPr>
        <w:t xml:space="preserve"> </w:t>
      </w:r>
      <w:r>
        <w:rPr>
          <w:rFonts w:ascii="宋体" w:hAnsi="宋体"/>
          <w:szCs w:val="21"/>
          <w:highlight w:val="none"/>
        </w:rPr>
        <w:t>联系电话：</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18983993055</w:t>
      </w:r>
    </w:p>
    <w:p w14:paraId="70D840CF">
      <w:pPr>
        <w:spacing w:line="440" w:lineRule="exact"/>
        <w:ind w:firstLine="424" w:firstLineChars="202"/>
        <w:rPr>
          <w:rFonts w:ascii="宋体" w:hAnsi="宋体" w:cs="宋体"/>
          <w:szCs w:val="21"/>
          <w:highlight w:val="none"/>
        </w:rPr>
      </w:pPr>
      <w:r>
        <w:rPr>
          <w:rFonts w:hint="eastAsia" w:ascii="宋体" w:hAnsi="宋体" w:cs="宋体"/>
          <w:szCs w:val="21"/>
          <w:highlight w:val="none"/>
          <w:lang w:val="en-US" w:eastAsia="zh-CN"/>
        </w:rPr>
        <w:t>技 术 联系人：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刘波</w:t>
      </w:r>
      <w:r>
        <w:rPr>
          <w:rFonts w:hint="eastAsia" w:ascii="宋体" w:hAnsi="宋体"/>
          <w:szCs w:val="21"/>
          <w:highlight w:val="none"/>
          <w:u w:val="single"/>
        </w:rPr>
        <w:t xml:space="preserve">    </w:t>
      </w:r>
      <w:r>
        <w:rPr>
          <w:rFonts w:hint="eastAsia" w:ascii="宋体" w:hAnsi="宋体"/>
          <w:szCs w:val="21"/>
          <w:highlight w:val="none"/>
        </w:rPr>
        <w:t xml:space="preserve"> </w:t>
      </w:r>
      <w:r>
        <w:rPr>
          <w:rFonts w:ascii="宋体" w:hAnsi="宋体"/>
          <w:szCs w:val="21"/>
          <w:highlight w:val="none"/>
        </w:rPr>
        <w:t>联系电话</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17782330834</w:t>
      </w:r>
      <w:r>
        <w:rPr>
          <w:rFonts w:hint="eastAsia" w:ascii="宋体" w:hAnsi="宋体"/>
          <w:szCs w:val="21"/>
          <w:highlight w:val="none"/>
          <w:u w:val="single"/>
        </w:rPr>
        <w:t xml:space="preserve">     </w:t>
      </w:r>
    </w:p>
    <w:p w14:paraId="76F59087">
      <w:pPr>
        <w:spacing w:line="440" w:lineRule="exact"/>
        <w:jc w:val="left"/>
        <w:outlineLvl w:val="0"/>
        <w:rPr>
          <w:rFonts w:ascii="宋体" w:hAnsi="宋体"/>
          <w:b/>
          <w:snapToGrid w:val="0"/>
          <w:kern w:val="0"/>
          <w:szCs w:val="21"/>
        </w:rPr>
      </w:pPr>
      <w:bookmarkStart w:id="58" w:name="_Toc4279"/>
      <w:bookmarkStart w:id="59" w:name="_Toc20721"/>
      <w:bookmarkStart w:id="60" w:name="_Toc4674"/>
      <w:bookmarkStart w:id="61" w:name="_Toc1637"/>
      <w:r>
        <w:rPr>
          <w:rFonts w:hint="eastAsia" w:ascii="宋体" w:hAnsi="宋体"/>
          <w:b/>
          <w:snapToGrid w:val="0"/>
          <w:kern w:val="0"/>
          <w:szCs w:val="21"/>
        </w:rPr>
        <w:t>7. 谈判文件的递交</w:t>
      </w:r>
      <w:bookmarkEnd w:id="52"/>
      <w:bookmarkEnd w:id="53"/>
      <w:bookmarkEnd w:id="54"/>
      <w:bookmarkEnd w:id="55"/>
      <w:bookmarkEnd w:id="56"/>
      <w:bookmarkEnd w:id="57"/>
      <w:bookmarkEnd w:id="58"/>
      <w:bookmarkEnd w:id="59"/>
      <w:bookmarkEnd w:id="60"/>
      <w:bookmarkEnd w:id="61"/>
    </w:p>
    <w:p w14:paraId="0B7D92B7">
      <w:pPr>
        <w:tabs>
          <w:tab w:val="left" w:pos="1425"/>
        </w:tabs>
        <w:spacing w:line="440" w:lineRule="exact"/>
        <w:rPr>
          <w:rFonts w:ascii="宋体" w:hAnsi="宋体" w:cs="宋体"/>
          <w:color w:val="000000"/>
          <w:szCs w:val="21"/>
        </w:rPr>
      </w:pPr>
      <w:bookmarkStart w:id="62" w:name="_Toc18035"/>
      <w:bookmarkStart w:id="63" w:name="_Toc12357"/>
      <w:bookmarkStart w:id="64" w:name="_Toc3503"/>
      <w:bookmarkStart w:id="65" w:name="_Toc21549"/>
      <w:bookmarkStart w:id="66" w:name="_Toc4477"/>
      <w:bookmarkStart w:id="67" w:name="_Toc29375"/>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lang w:val="en-US" w:eastAsia="zh-CN"/>
        </w:rPr>
        <w:t>2025</w:t>
      </w:r>
      <w:r>
        <w:rPr>
          <w:rFonts w:hint="eastAsia" w:ascii="宋体" w:hAnsi="宋体" w:cs="宋体"/>
          <w:szCs w:val="21"/>
        </w:rPr>
        <w:t>年</w:t>
      </w:r>
      <w:r>
        <w:rPr>
          <w:rFonts w:hint="eastAsia" w:ascii="宋体" w:hAnsi="宋体" w:cs="宋体"/>
          <w:szCs w:val="21"/>
          <w:u w:val="single"/>
          <w:lang w:val="en-US" w:eastAsia="zh-CN"/>
        </w:rPr>
        <w:t>10</w:t>
      </w:r>
      <w:r>
        <w:rPr>
          <w:rFonts w:hint="eastAsia" w:ascii="宋体" w:hAnsi="宋体" w:cs="宋体"/>
          <w:szCs w:val="21"/>
        </w:rPr>
        <w:t xml:space="preserve">月 </w:t>
      </w:r>
      <w:r>
        <w:rPr>
          <w:rFonts w:hint="eastAsia" w:ascii="宋体" w:hAnsi="宋体" w:cs="宋体"/>
          <w:szCs w:val="21"/>
          <w:u w:val="single"/>
          <w:lang w:val="en-US" w:eastAsia="zh-CN"/>
        </w:rPr>
        <w:t>23</w:t>
      </w:r>
      <w:r>
        <w:rPr>
          <w:rFonts w:hint="eastAsia" w:ascii="宋体" w:hAnsi="宋体" w:cs="宋体"/>
          <w:szCs w:val="21"/>
        </w:rPr>
        <w:t>日</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ascii="宋体" w:hAnsi="宋体" w:cs="宋体"/>
          <w:szCs w:val="21"/>
        </w:rPr>
        <w:t>时</w:t>
      </w:r>
      <w:r>
        <w:rPr>
          <w:rFonts w:hint="eastAsia" w:ascii="宋体" w:hAnsi="宋体" w:cs="宋体"/>
          <w:szCs w:val="21"/>
          <w:u w:val="single"/>
          <w:lang w:val="en-US" w:eastAsia="zh-CN"/>
        </w:rPr>
        <w:t>00</w:t>
      </w:r>
      <w:r>
        <w:rPr>
          <w:rFonts w:hint="eastAsia" w:ascii="宋体" w:hAnsi="宋体" w:cs="宋体"/>
          <w:szCs w:val="21"/>
        </w:rPr>
        <w:t>分；递交地点为：重庆市大渡口区重庆国际复合材料股份有限公司。</w:t>
      </w:r>
    </w:p>
    <w:p w14:paraId="406E4162">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7.2 竞争性谈判时间：谈判文件截止之日后三个工作日内。</w:t>
      </w:r>
    </w:p>
    <w:p w14:paraId="350E7D03">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7.3</w:t>
      </w:r>
      <w:r>
        <w:rPr>
          <w:rFonts w:ascii="宋体" w:hAnsi="宋体" w:cs="宋体"/>
          <w:color w:val="auto"/>
          <w:szCs w:val="21"/>
        </w:rPr>
        <w:t xml:space="preserve"> </w:t>
      </w:r>
      <w:r>
        <w:rPr>
          <w:rFonts w:hint="eastAsia" w:ascii="宋体" w:hAnsi="宋体" w:cs="宋体"/>
          <w:color w:val="auto"/>
          <w:szCs w:val="21"/>
        </w:rPr>
        <w:t>竞争性谈判地点：重庆市大渡口区重庆国际复合材料股份有限公司。</w:t>
      </w:r>
    </w:p>
    <w:p w14:paraId="52D80ECE">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2"/>
    <w:bookmarkEnd w:id="63"/>
    <w:bookmarkEnd w:id="64"/>
    <w:bookmarkEnd w:id="65"/>
    <w:bookmarkEnd w:id="66"/>
    <w:bookmarkEnd w:id="67"/>
    <w:p w14:paraId="7EA1F7F9">
      <w:pPr>
        <w:spacing w:line="440" w:lineRule="exact"/>
        <w:jc w:val="left"/>
        <w:outlineLvl w:val="0"/>
        <w:rPr>
          <w:rFonts w:ascii="宋体" w:hAnsi="宋体"/>
          <w:b/>
          <w:snapToGrid w:val="0"/>
          <w:color w:val="auto"/>
          <w:kern w:val="0"/>
          <w:szCs w:val="21"/>
        </w:rPr>
      </w:pPr>
      <w:bookmarkStart w:id="68" w:name="_Toc9249"/>
      <w:bookmarkStart w:id="69" w:name="_Toc5392"/>
      <w:bookmarkStart w:id="70" w:name="_Toc27658"/>
      <w:bookmarkStart w:id="71" w:name="_Toc4764"/>
      <w:r>
        <w:rPr>
          <w:rFonts w:hint="eastAsia" w:ascii="宋体" w:hAnsi="宋体"/>
          <w:b/>
          <w:snapToGrid w:val="0"/>
          <w:color w:val="auto"/>
          <w:kern w:val="0"/>
          <w:szCs w:val="21"/>
        </w:rPr>
        <w:t>8. 发布公告的媒介</w:t>
      </w:r>
      <w:bookmarkEnd w:id="68"/>
      <w:bookmarkEnd w:id="69"/>
      <w:bookmarkEnd w:id="70"/>
      <w:bookmarkEnd w:id="71"/>
    </w:p>
    <w:p w14:paraId="182D5CA6">
      <w:pPr>
        <w:spacing w:line="440" w:lineRule="exact"/>
        <w:ind w:firstLine="420"/>
        <w:jc w:val="left"/>
        <w:rPr>
          <w:rFonts w:ascii="宋体" w:hAnsi="宋体"/>
          <w:color w:val="auto"/>
          <w:szCs w:val="21"/>
        </w:rPr>
      </w:pPr>
      <w:bookmarkStart w:id="72" w:name="_Toc29368"/>
      <w:bookmarkStart w:id="73" w:name="_Toc15091"/>
      <w:bookmarkStart w:id="74" w:name="_Toc15696"/>
      <w:bookmarkStart w:id="75" w:name="_Toc19026"/>
      <w:bookmarkStart w:id="76" w:name="_Toc17881"/>
      <w:bookmarkStart w:id="77" w:name="_Toc10099"/>
      <w:r>
        <w:rPr>
          <w:rFonts w:hint="eastAsia" w:ascii="宋体" w:hAnsi="宋体" w:cs="宋体"/>
          <w:snapToGrid w:val="0"/>
          <w:color w:val="auto"/>
          <w:kern w:val="0"/>
          <w:szCs w:val="21"/>
        </w:rPr>
        <w:t>本次竞争性谈判公告在</w:t>
      </w:r>
      <w:r>
        <w:rPr>
          <w:rFonts w:hint="eastAsia" w:ascii="宋体" w:hAnsi="宋体"/>
          <w:color w:val="auto"/>
          <w:szCs w:val="21"/>
        </w:rPr>
        <w:t>重庆国际复合材料</w:t>
      </w:r>
      <w:r>
        <w:rPr>
          <w:rFonts w:ascii="宋体" w:hAnsi="宋体"/>
          <w:color w:val="auto"/>
          <w:szCs w:val="21"/>
        </w:rPr>
        <w:t>股份有限公司（http://www.cpicfiber.com/）</w:t>
      </w:r>
      <w:bookmarkStart w:id="82" w:name="_GoBack"/>
      <w:r>
        <w:rPr>
          <w:rFonts w:ascii="宋体" w:hAnsi="宋体"/>
          <w:color w:val="auto"/>
          <w:szCs w:val="21"/>
        </w:rPr>
        <w:t>上发布。</w:t>
      </w:r>
    </w:p>
    <w:p w14:paraId="238E25F9">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9.特别注意</w:t>
      </w:r>
    </w:p>
    <w:p w14:paraId="0255158D">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　　单位负责人为同一人或者存在控股、管理关系的不同单位，不得同时参加本次竞争性谈判。</w:t>
      </w:r>
    </w:p>
    <w:p w14:paraId="358162AA">
      <w:pPr>
        <w:spacing w:line="440" w:lineRule="exact"/>
        <w:jc w:val="left"/>
        <w:outlineLvl w:val="0"/>
        <w:rPr>
          <w:rFonts w:ascii="宋体" w:hAnsi="宋体"/>
          <w:b/>
          <w:snapToGrid w:val="0"/>
          <w:kern w:val="0"/>
          <w:szCs w:val="21"/>
        </w:rPr>
      </w:pPr>
      <w:bookmarkStart w:id="78" w:name="_Toc29627"/>
      <w:bookmarkStart w:id="79" w:name="_Toc30129"/>
      <w:bookmarkStart w:id="80" w:name="_Toc11677"/>
      <w:bookmarkStart w:id="81" w:name="_Toc4445"/>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6889096D">
      <w:pPr>
        <w:spacing w:line="440" w:lineRule="exact"/>
        <w:ind w:firstLine="424" w:firstLineChars="202"/>
        <w:rPr>
          <w:rFonts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20E79D77">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5C44F9C1">
      <w:pPr>
        <w:spacing w:line="440" w:lineRule="exact"/>
        <w:ind w:firstLine="424" w:firstLineChars="202"/>
        <w:rPr>
          <w:rFonts w:hint="default" w:ascii="宋体" w:hAnsi="宋体" w:eastAsia="宋体"/>
          <w:szCs w:val="21"/>
          <w:lang w:val="en-US" w:eastAsia="zh-CN"/>
        </w:rPr>
      </w:pPr>
      <w:r>
        <w:rPr>
          <w:rFonts w:ascii="宋体" w:hAnsi="宋体"/>
          <w:szCs w:val="21"/>
        </w:rPr>
        <w:t>联系人：</w:t>
      </w:r>
      <w:bookmarkEnd w:id="6"/>
      <w:bookmarkEnd w:id="7"/>
      <w:bookmarkEnd w:id="8"/>
      <w:bookmarkEnd w:id="9"/>
      <w:bookmarkEnd w:id="10"/>
      <w:bookmarkEnd w:id="11"/>
      <w:r>
        <w:rPr>
          <w:rFonts w:hint="eastAsia" w:ascii="宋体" w:hAnsi="宋体"/>
          <w:szCs w:val="21"/>
          <w:lang w:val="en-US" w:eastAsia="zh-CN"/>
        </w:rPr>
        <w:t>杨老师</w:t>
      </w:r>
    </w:p>
    <w:p w14:paraId="090B4079">
      <w:pPr>
        <w:spacing w:line="440" w:lineRule="exact"/>
        <w:ind w:firstLine="424" w:firstLineChars="202"/>
        <w:rPr>
          <w:rFonts w:hint="default" w:ascii="宋体" w:hAnsi="宋体" w:eastAsia="宋体"/>
          <w:szCs w:val="21"/>
          <w:lang w:val="en-US" w:eastAsia="zh-CN"/>
        </w:rPr>
      </w:pPr>
      <w:r>
        <w:rPr>
          <w:rFonts w:ascii="宋体" w:hAnsi="宋体"/>
          <w:szCs w:val="21"/>
        </w:rPr>
        <w:t>联系电话：</w:t>
      </w:r>
      <w:r>
        <w:rPr>
          <w:rFonts w:hint="eastAsia" w:ascii="宋体" w:hAnsi="宋体"/>
          <w:szCs w:val="21"/>
          <w:lang w:val="en-US" w:eastAsia="zh-CN"/>
        </w:rPr>
        <w:t>18983993055</w:t>
      </w:r>
    </w:p>
    <w:p w14:paraId="76EB0ECB">
      <w:pPr>
        <w:spacing w:line="440" w:lineRule="exact"/>
        <w:ind w:firstLine="424" w:firstLineChars="202"/>
        <w:rPr>
          <w:rFonts w:hint="eastAsia" w:ascii="宋体" w:hAnsi="宋体"/>
          <w:szCs w:val="21"/>
        </w:rPr>
      </w:pPr>
      <w:r>
        <w:rPr>
          <w:rFonts w:hint="eastAsia" w:ascii="宋体" w:hAnsi="宋体"/>
          <w:szCs w:val="21"/>
        </w:rPr>
        <w:t>监督人：重庆国际复合材料股份有限公司</w:t>
      </w:r>
    </w:p>
    <w:p w14:paraId="2D7F0FD9">
      <w:pPr>
        <w:spacing w:line="440" w:lineRule="exact"/>
        <w:ind w:firstLine="424" w:firstLineChars="202"/>
        <w:rPr>
          <w:rFonts w:ascii="宋体" w:hAnsi="宋体"/>
          <w:szCs w:val="21"/>
        </w:rPr>
      </w:pPr>
      <w:r>
        <w:rPr>
          <w:rFonts w:hint="eastAsia" w:ascii="宋体" w:hAnsi="宋体"/>
          <w:szCs w:val="21"/>
        </w:rPr>
        <w:t>地址：重庆市大渡口区建桥工业园B区</w:t>
      </w:r>
    </w:p>
    <w:p w14:paraId="70DA56A2">
      <w:pPr>
        <w:spacing w:line="440" w:lineRule="exact"/>
        <w:ind w:firstLine="424" w:firstLineChars="202"/>
        <w:rPr>
          <w:rFonts w:ascii="宋体" w:hAnsi="宋体"/>
          <w:szCs w:val="21"/>
        </w:rPr>
      </w:pPr>
      <w:r>
        <w:rPr>
          <w:rFonts w:hint="eastAsia" w:ascii="宋体" w:hAnsi="宋体"/>
          <w:szCs w:val="21"/>
        </w:rPr>
        <w:t>联系人：</w:t>
      </w:r>
      <w:r>
        <w:rPr>
          <w:rFonts w:hint="eastAsia" w:ascii="宋体" w:hAnsi="宋体"/>
          <w:szCs w:val="21"/>
          <w:lang w:val="en-US" w:eastAsia="zh-CN"/>
        </w:rPr>
        <w:t>付</w:t>
      </w:r>
      <w:r>
        <w:rPr>
          <w:rFonts w:hint="eastAsia" w:ascii="宋体" w:hAnsi="宋体"/>
          <w:szCs w:val="21"/>
        </w:rPr>
        <w:t>老师</w:t>
      </w:r>
    </w:p>
    <w:p w14:paraId="49C61A73">
      <w:pPr>
        <w:spacing w:line="440" w:lineRule="exact"/>
        <w:ind w:firstLine="424" w:firstLineChars="202"/>
        <w:rPr>
          <w:rFonts w:hint="eastAsia" w:ascii="宋体" w:hAnsi="宋体"/>
          <w:szCs w:val="21"/>
          <w:lang w:val="en-US" w:eastAsia="zh-CN"/>
        </w:rPr>
      </w:pPr>
      <w:r>
        <w:rPr>
          <w:rFonts w:hint="eastAsia" w:ascii="宋体" w:hAnsi="宋体"/>
          <w:szCs w:val="21"/>
        </w:rPr>
        <w:t>联系电话：</w:t>
      </w:r>
      <w:r>
        <w:rPr>
          <w:rFonts w:hint="eastAsia" w:ascii="宋体" w:hAnsi="宋体"/>
          <w:szCs w:val="21"/>
          <w:lang w:val="en-US" w:eastAsia="zh-CN"/>
        </w:rPr>
        <w:t>023-</w:t>
      </w:r>
      <w:r>
        <w:rPr>
          <w:rFonts w:hint="eastAsia" w:ascii="宋体" w:hAnsi="宋体"/>
          <w:szCs w:val="21"/>
        </w:rPr>
        <w:t>685</w:t>
      </w:r>
      <w:r>
        <w:rPr>
          <w:rFonts w:hint="eastAsia" w:ascii="宋体" w:hAnsi="宋体"/>
          <w:szCs w:val="21"/>
          <w:lang w:val="en-US" w:eastAsia="zh-CN"/>
        </w:rPr>
        <w:t>36643</w:t>
      </w:r>
    </w:p>
    <w:p w14:paraId="2A21B7E2">
      <w:pPr>
        <w:spacing w:line="440" w:lineRule="exact"/>
        <w:ind w:firstLine="424" w:firstLineChars="202"/>
        <w:rPr>
          <w:rFonts w:hint="default" w:ascii="宋体" w:hAnsi="宋体"/>
          <w:szCs w:val="21"/>
          <w:lang w:val="en-US" w:eastAsia="zh-CN"/>
        </w:rPr>
      </w:pPr>
      <w:r>
        <w:rPr>
          <w:rFonts w:hint="eastAsia" w:ascii="宋体" w:hAnsi="宋体"/>
          <w:szCs w:val="21"/>
          <w:lang w:val="en-US" w:eastAsia="zh-CN"/>
        </w:rPr>
        <w:t>邮箱：</w:t>
      </w:r>
      <w:r>
        <w:rPr>
          <w:rFonts w:hint="eastAsia" w:ascii="宋体" w:hAnsi="宋体"/>
          <w:szCs w:val="21"/>
        </w:rPr>
        <w:t>fuwei4253@cpicfiber.com</w:t>
      </w:r>
    </w:p>
    <w:p w14:paraId="12A39BFF">
      <w:pPr>
        <w:rPr>
          <w:rFonts w:hint="eastAsia" w:ascii="宋体" w:hAnsi="宋体"/>
          <w:highlight w:val="yellow"/>
        </w:rPr>
      </w:pPr>
      <w:r>
        <w:rPr>
          <w:rFonts w:hint="eastAsia" w:ascii="宋体" w:hAnsi="宋体"/>
          <w:highlight w:val="yellow"/>
        </w:rPr>
        <w:br w:type="page"/>
      </w:r>
    </w:p>
    <w:bookmarkEnd w:id="82"/>
    <w:p w14:paraId="143BB2FE">
      <w:pPr>
        <w:pStyle w:val="2"/>
        <w:spacing w:before="240" w:beforeLines="100" w:after="360" w:afterLines="150" w:line="276" w:lineRule="auto"/>
        <w:jc w:val="center"/>
        <w:rPr>
          <w:rFonts w:ascii="宋体" w:hAnsi="宋体"/>
          <w:highlight w:val="none"/>
        </w:rPr>
      </w:pPr>
      <w:r>
        <w:rPr>
          <w:rFonts w:hint="eastAsia" w:ascii="宋体" w:hAnsi="宋体"/>
          <w:highlight w:val="none"/>
        </w:rPr>
        <w:t>第二章  采购内容</w:t>
      </w:r>
    </w:p>
    <w:p w14:paraId="607F5055">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1．项目概况</w:t>
      </w:r>
    </w:p>
    <w:p w14:paraId="1A6D66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宋体" w:hAnsi="宋体"/>
          <w:kern w:val="0"/>
          <w:sz w:val="24"/>
          <w:highlight w:val="none"/>
        </w:rPr>
      </w:pPr>
      <w:r>
        <w:rPr>
          <w:rFonts w:hint="eastAsia" w:cs="Times New Roman"/>
          <w:kern w:val="0"/>
          <w:sz w:val="24"/>
          <w:szCs w:val="24"/>
          <w:highlight w:val="none"/>
          <w:lang w:val="en-US" w:eastAsia="zh-CN" w:bidi="ar-SA"/>
        </w:rPr>
        <w:t>大渡口安全综合提升改造（第三次）</w:t>
      </w:r>
      <w:r>
        <w:rPr>
          <w:rFonts w:hint="eastAsia" w:ascii="宋体" w:hAnsi="宋体" w:eastAsia="宋体" w:cs="Times New Roman"/>
          <w:kern w:val="0"/>
          <w:sz w:val="24"/>
          <w:szCs w:val="24"/>
          <w:highlight w:val="none"/>
          <w:lang w:val="en-US" w:eastAsia="zh-CN" w:bidi="ar-SA"/>
        </w:rPr>
        <w:t>，主要为转动机构防护罩改造、楼梯改造、控制柜改造等，所有费用计入安全整改费用。</w:t>
      </w:r>
    </w:p>
    <w:p w14:paraId="58B12519">
      <w:pPr>
        <w:numPr>
          <w:ilvl w:val="0"/>
          <w:numId w:val="4"/>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项目建设地点</w:t>
      </w:r>
    </w:p>
    <w:p w14:paraId="40BA3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重庆市大渡口区建桥工业园B区重庆国际复合材料股份有限公司。</w:t>
      </w:r>
    </w:p>
    <w:p w14:paraId="3368E63C">
      <w:pPr>
        <w:numPr>
          <w:ilvl w:val="0"/>
          <w:numId w:val="4"/>
        </w:numPr>
        <w:spacing w:line="360" w:lineRule="auto"/>
        <w:ind w:left="0" w:leftChars="0" w:firstLine="480" w:firstLineChars="200"/>
        <w:rPr>
          <w:rFonts w:hint="eastAsia" w:ascii="宋体" w:hAnsi="宋体"/>
          <w:kern w:val="0"/>
          <w:sz w:val="24"/>
          <w:highlight w:val="none"/>
          <w:lang w:val="en-US" w:eastAsia="zh-CN"/>
        </w:rPr>
      </w:pPr>
      <w:r>
        <w:rPr>
          <w:rFonts w:hint="eastAsia" w:ascii="宋体" w:hAnsi="宋体"/>
          <w:kern w:val="0"/>
          <w:sz w:val="24"/>
          <w:highlight w:val="none"/>
          <w:lang w:val="en-US" w:eastAsia="zh-CN"/>
        </w:rPr>
        <w:t>技术要求</w:t>
      </w:r>
    </w:p>
    <w:p w14:paraId="06AC5A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楼梯、平台技术要求要求：</w:t>
      </w:r>
    </w:p>
    <w:p w14:paraId="11B8F4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设计与材料：</w:t>
      </w:r>
    </w:p>
    <w:p w14:paraId="11051F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设计符合GB 4053《《固定式钢梯及平台安全要求》，</w:t>
      </w:r>
      <w:r>
        <w:rPr>
          <w:rFonts w:hint="eastAsia" w:asciiTheme="minorEastAsia" w:hAnsiTheme="minorEastAsia" w:eastAsiaTheme="minorEastAsia" w:cstheme="minorEastAsia"/>
          <w:kern w:val="2"/>
          <w:sz w:val="21"/>
          <w:szCs w:val="21"/>
          <w:lang w:val="en-US" w:eastAsia="zh-CN" w:bidi="ar-SA"/>
        </w:rPr>
        <w:t>所有钢结构设计需满足承重、刚度和稳定性要求。主要承重件采用国标Q235B及以上钢材。</w:t>
      </w:r>
    </w:p>
    <w:p w14:paraId="381D6F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平台/踏板使用5mm厚花纹钢板，立柱及横杆采用Φ48×3.0mm及以上焊接钢管</w:t>
      </w:r>
      <w:r>
        <w:rPr>
          <w:rFonts w:hint="eastAsia" w:asciiTheme="minorEastAsia" w:hAnsiTheme="minorEastAsia" w:cstheme="minorEastAsia"/>
          <w:kern w:val="2"/>
          <w:sz w:val="21"/>
          <w:szCs w:val="21"/>
          <w:lang w:val="en-US" w:eastAsia="zh-CN" w:bidi="ar-SA"/>
        </w:rPr>
        <w:t>。</w:t>
      </w:r>
    </w:p>
    <w:p w14:paraId="050BFC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制作与安装：</w:t>
      </w:r>
    </w:p>
    <w:p w14:paraId="792B27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i w:val="0"/>
          <w:color w:val="0F1115"/>
          <w:spacing w:val="0"/>
          <w:sz w:val="21"/>
          <w:szCs w:val="21"/>
          <w:shd w:val="clear" w:fill="FFFFFF"/>
        </w:rPr>
        <w:t>楼梯坡度≤45°，踏板宽度≥800mm，踏步高度一致。</w:t>
      </w:r>
    </w:p>
    <w:p w14:paraId="2E78B8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i w:val="0"/>
          <w:color w:val="0F1115"/>
          <w:spacing w:val="0"/>
          <w:sz w:val="21"/>
          <w:szCs w:val="21"/>
          <w:shd w:val="clear" w:fill="FFFFFF"/>
          <w:lang w:val="en-US" w:eastAsia="zh-CN"/>
        </w:rPr>
        <w:t>防护栏杆：</w:t>
      </w:r>
      <w:r>
        <w:rPr>
          <w:rFonts w:hint="eastAsia" w:asciiTheme="minorEastAsia" w:hAnsiTheme="minorEastAsia" w:eastAsiaTheme="minorEastAsia" w:cstheme="minorEastAsia"/>
          <w:i w:val="0"/>
          <w:color w:val="0F1115"/>
          <w:spacing w:val="0"/>
          <w:sz w:val="21"/>
          <w:szCs w:val="21"/>
          <w:shd w:val="clear" w:fill="FFFFFF"/>
        </w:rPr>
        <w:t>高度≥1</w:t>
      </w:r>
      <w:r>
        <w:rPr>
          <w:rFonts w:hint="eastAsia" w:asciiTheme="minorEastAsia" w:hAnsiTheme="minorEastAsia" w:eastAsiaTheme="minorEastAsia" w:cstheme="minorEastAsia"/>
          <w:i w:val="0"/>
          <w:color w:val="0F1115"/>
          <w:spacing w:val="0"/>
          <w:sz w:val="21"/>
          <w:szCs w:val="21"/>
          <w:shd w:val="clear" w:fill="FFFFFF"/>
          <w:lang w:val="en-US" w:eastAsia="zh-CN"/>
        </w:rPr>
        <w:t>10</w:t>
      </w:r>
      <w:r>
        <w:rPr>
          <w:rFonts w:hint="eastAsia" w:asciiTheme="minorEastAsia" w:hAnsiTheme="minorEastAsia" w:eastAsiaTheme="minorEastAsia" w:cstheme="minorEastAsia"/>
          <w:i w:val="0"/>
          <w:color w:val="0F1115"/>
          <w:spacing w:val="0"/>
          <w:sz w:val="21"/>
          <w:szCs w:val="21"/>
          <w:shd w:val="clear" w:fill="FFFFFF"/>
        </w:rPr>
        <w:t>0mm，中间设置横杆，底部设100mm的踢脚板。立柱间距不得大于1000mm。</w:t>
      </w:r>
    </w:p>
    <w:p w14:paraId="49403C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sz w:val="21"/>
          <w:szCs w:val="21"/>
          <w:lang w:val="en-US" w:eastAsia="zh-CN"/>
        </w:rPr>
        <w:t>焊接需饱满均匀，无焊渣、气孔、咬边等缺陷，完成后清理焊渣并做防锈处理（红丹防锈漆两遍，面漆两遍）。</w:t>
      </w:r>
    </w:p>
    <w:p w14:paraId="37D00E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转动机构防护罩制作与安装工程</w:t>
      </w:r>
    </w:p>
    <w:p w14:paraId="339268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设计与材料</w:t>
      </w:r>
      <w:r>
        <w:rPr>
          <w:rFonts w:hint="eastAsia" w:asciiTheme="minorEastAsia" w:hAnsiTheme="minorEastAsia" w:eastAsiaTheme="minorEastAsia" w:cstheme="minorEastAsia"/>
          <w:sz w:val="21"/>
          <w:szCs w:val="21"/>
          <w:lang w:val="en-US" w:eastAsia="zh-CN"/>
        </w:rPr>
        <w:t>：</w:t>
      </w:r>
    </w:p>
    <w:p w14:paraId="1D8EF2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设计符合GBT 8196-2018《机械安全防护装置固定式和活动式防护装置的设计与制造一般要求》，</w:t>
      </w:r>
      <w:r>
        <w:rPr>
          <w:rFonts w:hint="eastAsia" w:asciiTheme="minorEastAsia" w:hAnsiTheme="minorEastAsia" w:eastAsiaTheme="minorEastAsia" w:cstheme="minorEastAsia"/>
          <w:sz w:val="21"/>
          <w:lang w:val="en-US" w:eastAsia="zh-CN"/>
        </w:rPr>
        <w:t>防护罩应实现全封闭（如确实需要预留间隙，间隙不大于5mm</w:t>
      </w:r>
      <w:r>
        <w:rPr>
          <w:rFonts w:hint="eastAsia" w:asciiTheme="minorEastAsia" w:hAnsiTheme="minorEastAsia" w:eastAsiaTheme="minorEastAsia" w:cstheme="minorEastAsia"/>
          <w:sz w:val="21"/>
          <w:szCs w:val="21"/>
          <w:lang w:val="en-US" w:eastAsia="zh-CN"/>
        </w:rPr>
        <w:t>），强度、刚度和稳定性足够，并便于设备日常维护和检修。</w:t>
      </w:r>
    </w:p>
    <w:p w14:paraId="4BF369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主体材料采用≥2mm厚</w:t>
      </w:r>
      <w:r>
        <w:rPr>
          <w:rFonts w:hint="eastAsia" w:asciiTheme="minorEastAsia" w:hAnsiTheme="minorEastAsia" w:cstheme="minorEastAsia"/>
          <w:sz w:val="21"/>
          <w:szCs w:val="21"/>
          <w:lang w:val="en-US" w:eastAsia="zh-CN"/>
        </w:rPr>
        <w:t>镀锌钢板或</w:t>
      </w:r>
      <w:r>
        <w:rPr>
          <w:rFonts w:hint="eastAsia" w:asciiTheme="minorEastAsia" w:hAnsiTheme="minorEastAsia" w:eastAsiaTheme="minorEastAsia" w:cstheme="minorEastAsia"/>
          <w:sz w:val="21"/>
          <w:szCs w:val="21"/>
          <w:lang w:val="en-US" w:eastAsia="zh-CN"/>
        </w:rPr>
        <w:t>铝合金板</w:t>
      </w:r>
      <w:r>
        <w:rPr>
          <w:rFonts w:hint="eastAsia" w:asciiTheme="minorEastAsia" w:hAnsiTheme="minorEastAsia" w:cstheme="minorEastAsia"/>
          <w:sz w:val="21"/>
          <w:szCs w:val="21"/>
          <w:lang w:val="en-US" w:eastAsia="zh-CN"/>
        </w:rPr>
        <w:t>、镀</w:t>
      </w:r>
      <w:r>
        <w:rPr>
          <w:rFonts w:ascii="宋体" w:hAnsi="宋体" w:eastAsia="宋体" w:cs="宋体"/>
          <w:sz w:val="24"/>
          <w:szCs w:val="24"/>
        </w:rPr>
        <w:t>锌钢丝网</w:t>
      </w:r>
      <w:r>
        <w:rPr>
          <w:rFonts w:hint="eastAsia" w:asciiTheme="minorEastAsia" w:hAnsiTheme="minorEastAsia" w:eastAsiaTheme="minorEastAsia" w:cstheme="minorEastAsia"/>
          <w:sz w:val="21"/>
          <w:szCs w:val="21"/>
          <w:lang w:val="en-US" w:eastAsia="zh-CN"/>
        </w:rPr>
        <w:t>。</w:t>
      </w:r>
    </w:p>
    <w:p w14:paraId="1FE987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制作与安装要求：</w:t>
      </w:r>
    </w:p>
    <w:p w14:paraId="6583AF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防护罩内壁与运动部件间保持≥50mm的安全距离。</w:t>
      </w:r>
    </w:p>
    <w:p w14:paraId="7ADB1D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边缘光滑无毛刺，无锐边锐角。</w:t>
      </w:r>
    </w:p>
    <w:p w14:paraId="20D2E4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default"/>
          <w:lang w:val="en-US" w:eastAsia="zh-CN"/>
        </w:rPr>
      </w:pPr>
      <w:r>
        <w:rPr>
          <w:rFonts w:hint="eastAsia" w:asciiTheme="minorEastAsia" w:hAnsiTheme="minorEastAsia" w:eastAsiaTheme="minorEastAsia" w:cstheme="minorEastAsia"/>
          <w:sz w:val="21"/>
          <w:szCs w:val="21"/>
          <w:lang w:val="en-US" w:eastAsia="zh-CN"/>
        </w:rPr>
        <w:t>固定方式：采用高强度螺栓或铰链连接，确保牢固可靠。</w:t>
      </w:r>
    </w:p>
    <w:p w14:paraId="275D22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2" w:firstLineChars="200"/>
        <w:jc w:val="left"/>
        <w:textAlignment w:val="auto"/>
        <w:rPr>
          <w:rStyle w:val="22"/>
          <w:rFonts w:hint="eastAsia" w:asciiTheme="minorEastAsia" w:hAnsiTheme="minorEastAsia" w:cstheme="minorEastAsia"/>
          <w:b/>
          <w:i w:val="0"/>
          <w:color w:val="0F1115"/>
          <w:spacing w:val="0"/>
          <w:sz w:val="21"/>
          <w:szCs w:val="21"/>
          <w:shd w:val="clear" w:fill="FFFFFF"/>
          <w:lang w:val="en-US" w:eastAsia="zh-CN"/>
        </w:rPr>
      </w:pPr>
      <w:r>
        <w:rPr>
          <w:rStyle w:val="22"/>
          <w:rFonts w:hint="eastAsia" w:asciiTheme="minorEastAsia" w:hAnsiTheme="minorEastAsia" w:cstheme="minorEastAsia"/>
          <w:b/>
          <w:i w:val="0"/>
          <w:color w:val="0F1115"/>
          <w:spacing w:val="0"/>
          <w:sz w:val="21"/>
          <w:szCs w:val="21"/>
          <w:shd w:val="clear" w:fill="FFFFFF"/>
          <w:lang w:val="en-US" w:eastAsia="zh-CN"/>
        </w:rPr>
        <w:t>电器部分：</w:t>
      </w:r>
    </w:p>
    <w:p w14:paraId="27BAD8A7">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lang w:val="en-US" w:eastAsia="zh-CN"/>
        </w:rPr>
      </w:pPr>
      <w:r>
        <w:rPr>
          <w:rFonts w:hint="eastAsia" w:asciiTheme="minorEastAsia" w:hAnsiTheme="minorEastAsia" w:eastAsiaTheme="minorEastAsia" w:cstheme="minorEastAsia"/>
          <w:kern w:val="2"/>
          <w:sz w:val="21"/>
          <w:szCs w:val="21"/>
          <w:lang w:val="en-US" w:eastAsia="zh-CN" w:bidi="ar-SA"/>
        </w:rPr>
        <w:t>对清单内配电柜和配电箱进线线路进行清理规整，更换补齐各开关绝缘附件、电缆标识；补齐柜门锁，电源开关处增加防护透明绝缘板满足机械强度；补齐电缆护口、封堵配电柜内孔洞；更换标识或增加专项接地排（配电柜改为TN-C-S）；</w:t>
      </w:r>
    </w:p>
    <w:p w14:paraId="1E18F7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2" w:firstLineChars="200"/>
        <w:jc w:val="left"/>
        <w:textAlignment w:val="auto"/>
        <w:rPr>
          <w:rStyle w:val="22"/>
          <w:rFonts w:hint="eastAsia" w:asciiTheme="minorEastAsia" w:hAnsiTheme="minorEastAsia" w:eastAsiaTheme="minorEastAsia" w:cstheme="minorEastAsia"/>
          <w:b/>
          <w:i w:val="0"/>
          <w:color w:val="0F1115"/>
          <w:spacing w:val="0"/>
          <w:sz w:val="21"/>
          <w:szCs w:val="21"/>
          <w:shd w:val="clear" w:fill="FFFFFF"/>
          <w:lang w:val="en-US" w:eastAsia="zh-CN"/>
        </w:rPr>
      </w:pPr>
      <w:r>
        <w:rPr>
          <w:rStyle w:val="22"/>
          <w:rFonts w:hint="eastAsia" w:asciiTheme="minorEastAsia" w:hAnsiTheme="minorEastAsia" w:cstheme="minorEastAsia"/>
          <w:b/>
          <w:i w:val="0"/>
          <w:color w:val="0F1115"/>
          <w:spacing w:val="0"/>
          <w:sz w:val="21"/>
          <w:szCs w:val="21"/>
          <w:shd w:val="clear" w:fill="FFFFFF"/>
          <w:lang w:val="en-US" w:eastAsia="zh-CN"/>
        </w:rPr>
        <w:t>2、</w:t>
      </w:r>
      <w:r>
        <w:rPr>
          <w:rFonts w:hint="eastAsia" w:asciiTheme="minorEastAsia" w:hAnsiTheme="minorEastAsia" w:eastAsiaTheme="minorEastAsia" w:cstheme="minorEastAsia"/>
          <w:kern w:val="2"/>
          <w:sz w:val="21"/>
          <w:szCs w:val="21"/>
          <w:lang w:val="en-US" w:eastAsia="zh-CN" w:bidi="ar-SA"/>
        </w:rPr>
        <w:t>提供服务维护检修过程中中所需物品材料，包括但不限于镀锌接地扁钢，接地线、端子排、线缆吊牌、位号标识牌、绝缘护板、隔断、绝缘底板或金属底板、封堵材料、柜门锁具、轧带，接地极，油漆、非标支架、非标件制作等相关材料。</w:t>
      </w:r>
    </w:p>
    <w:p w14:paraId="7AADFC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Style w:val="22"/>
          <w:rFonts w:hint="eastAsia" w:asciiTheme="minorEastAsia" w:hAnsiTheme="minorEastAsia" w:eastAsiaTheme="minorEastAsia" w:cstheme="minorEastAsia"/>
          <w:b/>
          <w:i w:val="0"/>
          <w:color w:val="0F1115"/>
          <w:spacing w:val="0"/>
          <w:sz w:val="21"/>
          <w:szCs w:val="21"/>
          <w:shd w:val="clear" w:fill="FFFFFF"/>
          <w:lang w:eastAsia="zh-CN"/>
        </w:rPr>
      </w:pPr>
      <w:r>
        <w:rPr>
          <w:rStyle w:val="22"/>
          <w:rFonts w:hint="eastAsia" w:asciiTheme="minorEastAsia" w:hAnsiTheme="minorEastAsia" w:eastAsiaTheme="minorEastAsia" w:cstheme="minorEastAsia"/>
          <w:b/>
          <w:i w:val="0"/>
          <w:color w:val="0F1115"/>
          <w:spacing w:val="0"/>
          <w:sz w:val="21"/>
          <w:szCs w:val="21"/>
          <w:shd w:val="clear" w:fill="FFFFFF"/>
        </w:rPr>
        <w:t>施工组织与安全要求</w:t>
      </w:r>
      <w:r>
        <w:rPr>
          <w:rStyle w:val="22"/>
          <w:rFonts w:hint="eastAsia" w:asciiTheme="minorEastAsia" w:hAnsiTheme="minorEastAsia" w:eastAsiaTheme="minorEastAsia" w:cstheme="minorEastAsia"/>
          <w:b/>
          <w:i w:val="0"/>
          <w:color w:val="0F1115"/>
          <w:spacing w:val="0"/>
          <w:sz w:val="21"/>
          <w:szCs w:val="21"/>
          <w:shd w:val="clear" w:fill="FFFFFF"/>
          <w:lang w:eastAsia="zh-CN"/>
        </w:rPr>
        <w:t>：</w:t>
      </w:r>
    </w:p>
    <w:p w14:paraId="05C46CBA">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i w:val="0"/>
          <w:color w:val="0F1115"/>
          <w:spacing w:val="0"/>
          <w:sz w:val="21"/>
          <w:szCs w:val="21"/>
          <w:shd w:val="clear" w:fill="FFFFFF"/>
        </w:rPr>
        <w:t>所有施工人员必须</w:t>
      </w:r>
      <w:r>
        <w:rPr>
          <w:rFonts w:hint="eastAsia" w:asciiTheme="minorEastAsia" w:hAnsiTheme="minorEastAsia" w:eastAsiaTheme="minorEastAsia" w:cstheme="minorEastAsia"/>
          <w:i w:val="0"/>
          <w:color w:val="0F1115"/>
          <w:spacing w:val="0"/>
          <w:sz w:val="21"/>
          <w:szCs w:val="21"/>
          <w:shd w:val="clear" w:fill="FFFFFF"/>
          <w:lang w:eastAsia="zh-CN"/>
        </w:rPr>
        <w:t>我</w:t>
      </w:r>
      <w:r>
        <w:rPr>
          <w:rFonts w:hint="eastAsia" w:asciiTheme="minorEastAsia" w:hAnsiTheme="minorEastAsia" w:eastAsiaTheme="minorEastAsia" w:cstheme="minorEastAsia"/>
          <w:i w:val="0"/>
          <w:color w:val="0F1115"/>
          <w:spacing w:val="0"/>
          <w:sz w:val="21"/>
          <w:szCs w:val="21"/>
          <w:shd w:val="clear" w:fill="FFFFFF"/>
          <w:lang w:val="en-US" w:eastAsia="zh-CN"/>
        </w:rPr>
        <w:t>方公司</w:t>
      </w:r>
      <w:r>
        <w:rPr>
          <w:rFonts w:hint="eastAsia" w:asciiTheme="minorEastAsia" w:hAnsiTheme="minorEastAsia" w:eastAsiaTheme="minorEastAsia" w:cstheme="minorEastAsia"/>
          <w:i w:val="0"/>
          <w:color w:val="0F1115"/>
          <w:spacing w:val="0"/>
          <w:sz w:val="21"/>
          <w:szCs w:val="21"/>
          <w:shd w:val="clear" w:fill="FFFFFF"/>
        </w:rPr>
        <w:t>经过安全培训，特种作业人员（电工、焊工、起重工、高空作业人员）必须</w:t>
      </w:r>
      <w:r>
        <w:rPr>
          <w:rFonts w:hint="eastAsia" w:asciiTheme="minorEastAsia" w:hAnsiTheme="minorEastAsia" w:eastAsiaTheme="minorEastAsia" w:cstheme="minorEastAsia"/>
          <w:i w:val="0"/>
          <w:color w:val="0F1115"/>
          <w:spacing w:val="0"/>
          <w:sz w:val="21"/>
          <w:szCs w:val="21"/>
          <w:shd w:val="clear" w:fill="FFFFFF"/>
          <w:lang w:eastAsia="zh-CN"/>
        </w:rPr>
        <w:t>持</w:t>
      </w:r>
      <w:r>
        <w:rPr>
          <w:rFonts w:hint="eastAsia" w:asciiTheme="minorEastAsia" w:hAnsiTheme="minorEastAsia" w:eastAsiaTheme="minorEastAsia" w:cstheme="minorEastAsia"/>
          <w:i w:val="0"/>
          <w:color w:val="0F1115"/>
          <w:spacing w:val="0"/>
          <w:sz w:val="21"/>
          <w:szCs w:val="21"/>
          <w:shd w:val="clear" w:fill="FFFFFF"/>
          <w:lang w:val="en-US" w:eastAsia="zh-CN"/>
        </w:rPr>
        <w:t>应急管理局颁发的</w:t>
      </w:r>
      <w:r>
        <w:rPr>
          <w:rFonts w:hint="eastAsia" w:asciiTheme="minorEastAsia" w:hAnsiTheme="minorEastAsia" w:eastAsiaTheme="minorEastAsia" w:cstheme="minorEastAsia"/>
          <w:i w:val="0"/>
          <w:color w:val="0F1115"/>
          <w:spacing w:val="0"/>
          <w:sz w:val="21"/>
          <w:szCs w:val="21"/>
          <w:shd w:val="clear" w:fill="FFFFFF"/>
          <w:lang w:eastAsia="zh-CN"/>
        </w:rPr>
        <w:t>证上</w:t>
      </w:r>
      <w:r>
        <w:rPr>
          <w:rFonts w:hint="eastAsia" w:asciiTheme="minorEastAsia" w:hAnsiTheme="minorEastAsia" w:eastAsiaTheme="minorEastAsia" w:cstheme="minorEastAsia"/>
          <w:i w:val="0"/>
          <w:color w:val="0F1115"/>
          <w:spacing w:val="0"/>
          <w:sz w:val="21"/>
          <w:szCs w:val="21"/>
          <w:shd w:val="clear" w:fill="FFFFFF"/>
        </w:rPr>
        <w:t>岗。</w:t>
      </w:r>
    </w:p>
    <w:p w14:paraId="45A43F36">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i w:val="0"/>
          <w:color w:val="0F1115"/>
          <w:spacing w:val="0"/>
          <w:sz w:val="21"/>
          <w:szCs w:val="21"/>
          <w:shd w:val="clear" w:fill="FFFFFF"/>
        </w:rPr>
        <w:t>施工期间，必须严格办理动火证、高空作业证、临时用电证等危险作业审批手续。</w:t>
      </w:r>
    </w:p>
    <w:p w14:paraId="5F28FCA9">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Theme="minorEastAsia" w:hAnsiTheme="minorEastAsia" w:eastAsiaTheme="minorEastAsia" w:cstheme="minorEastAsia"/>
          <w:i w:val="0"/>
          <w:color w:val="0F1115"/>
          <w:spacing w:val="0"/>
          <w:sz w:val="21"/>
          <w:szCs w:val="21"/>
          <w:shd w:val="clear" w:fill="FFFFFF"/>
        </w:rPr>
        <w:t>施工方需自备合格的安全防护用品（</w:t>
      </w:r>
      <w:r>
        <w:rPr>
          <w:rFonts w:hint="eastAsia" w:asciiTheme="minorEastAsia" w:hAnsiTheme="minorEastAsia" w:cstheme="minorEastAsia"/>
          <w:i w:val="0"/>
          <w:color w:val="0F1115"/>
          <w:spacing w:val="0"/>
          <w:sz w:val="21"/>
          <w:szCs w:val="21"/>
          <w:shd w:val="clear" w:fill="FFFFFF"/>
          <w:lang w:val="en-US" w:eastAsia="zh-CN"/>
        </w:rPr>
        <w:t>消防器材、</w:t>
      </w:r>
      <w:r>
        <w:rPr>
          <w:rFonts w:hint="eastAsia" w:asciiTheme="minorEastAsia" w:hAnsiTheme="minorEastAsia" w:eastAsiaTheme="minorEastAsia" w:cstheme="minorEastAsia"/>
          <w:i w:val="0"/>
          <w:color w:val="0F1115"/>
          <w:spacing w:val="0"/>
          <w:sz w:val="21"/>
          <w:szCs w:val="21"/>
          <w:shd w:val="clear" w:fill="FFFFFF"/>
        </w:rPr>
        <w:t>安全带、安全帽、警戒线等），并承担施工期间的全部安全责任</w:t>
      </w:r>
      <w:r>
        <w:rPr>
          <w:rFonts w:hint="eastAsia" w:asciiTheme="minorEastAsia" w:hAnsiTheme="minorEastAsia" w:cstheme="minorEastAsia"/>
          <w:i w:val="0"/>
          <w:color w:val="0F1115"/>
          <w:spacing w:val="0"/>
          <w:sz w:val="21"/>
          <w:szCs w:val="21"/>
          <w:shd w:val="clear" w:fill="FFFFFF"/>
          <w:lang w:eastAsia="zh-CN"/>
        </w:rPr>
        <w:t>。</w:t>
      </w:r>
    </w:p>
    <w:p w14:paraId="19DE1B3B">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eastAsia" w:asciiTheme="minorEastAsia" w:hAnsiTheme="minorEastAsia" w:eastAsiaTheme="minorEastAsia" w:cstheme="minorEastAsia"/>
          <w:i w:val="0"/>
          <w:color w:val="0F1115"/>
          <w:spacing w:val="0"/>
          <w:sz w:val="21"/>
          <w:szCs w:val="21"/>
          <w:shd w:val="clear" w:fill="FFFFFF"/>
        </w:rPr>
      </w:pPr>
      <w:r>
        <w:rPr>
          <w:rFonts w:hint="eastAsia" w:ascii="宋体" w:hAnsi="宋体" w:eastAsia="宋体" w:cs="宋体"/>
          <w:color w:val="auto"/>
          <w:sz w:val="21"/>
          <w:szCs w:val="21"/>
        </w:rPr>
        <w:t>作业前必须由甲乙双方共同现场确认。甲方交出设备</w:t>
      </w:r>
      <w:r>
        <w:rPr>
          <w:rFonts w:hint="eastAsia" w:ascii="宋体" w:hAnsi="宋体" w:cs="宋体"/>
          <w:color w:val="auto"/>
          <w:sz w:val="21"/>
          <w:szCs w:val="21"/>
          <w:lang w:val="en-US" w:eastAsia="zh-CN"/>
        </w:rPr>
        <w:t>/设施</w:t>
      </w:r>
      <w:r>
        <w:rPr>
          <w:rFonts w:hint="eastAsia" w:ascii="宋体" w:hAnsi="宋体" w:eastAsia="宋体" w:cs="宋体"/>
          <w:color w:val="auto"/>
          <w:sz w:val="21"/>
          <w:szCs w:val="21"/>
        </w:rPr>
        <w:t>后方可作业，如果乙方私自作业造成一切损失由乙方自行承担</w:t>
      </w:r>
      <w:r>
        <w:rPr>
          <w:rFonts w:hint="eastAsia" w:asciiTheme="minorEastAsia" w:hAnsiTheme="minorEastAsia" w:eastAsiaTheme="minorEastAsia" w:cstheme="minorEastAsia"/>
          <w:i w:val="0"/>
          <w:color w:val="0F1115"/>
          <w:spacing w:val="0"/>
          <w:sz w:val="21"/>
          <w:szCs w:val="21"/>
          <w:shd w:val="clear" w:fill="FFFFFF"/>
        </w:rPr>
        <w:t>。</w:t>
      </w:r>
    </w:p>
    <w:p w14:paraId="6C814F0F">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line="360" w:lineRule="auto"/>
        <w:ind w:left="-363" w:leftChars="0" w:firstLine="420" w:firstLineChars="200"/>
        <w:jc w:val="left"/>
        <w:textAlignment w:val="auto"/>
        <w:rPr>
          <w:rFonts w:hint="default" w:asciiTheme="minorEastAsia" w:hAnsiTheme="minorEastAsia" w:eastAsiaTheme="minorEastAsia" w:cstheme="minorEastAsia"/>
          <w:i w:val="0"/>
          <w:color w:val="0F1115"/>
          <w:spacing w:val="0"/>
          <w:sz w:val="21"/>
          <w:szCs w:val="21"/>
          <w:shd w:val="clear" w:fill="FFFFFF"/>
          <w:lang w:val="en-US" w:eastAsia="zh-CN"/>
        </w:rPr>
      </w:pPr>
      <w:r>
        <w:rPr>
          <w:rFonts w:hint="eastAsia" w:asciiTheme="minorEastAsia" w:hAnsiTheme="minorEastAsia" w:eastAsiaTheme="minorEastAsia" w:cstheme="minorEastAsia"/>
          <w:i w:val="0"/>
          <w:color w:val="0F1115"/>
          <w:spacing w:val="0"/>
          <w:sz w:val="21"/>
          <w:szCs w:val="21"/>
          <w:shd w:val="clear" w:fill="FFFFFF"/>
        </w:rPr>
        <w:t>施工期间不得影响</w:t>
      </w:r>
      <w:r>
        <w:rPr>
          <w:rFonts w:hint="eastAsia" w:asciiTheme="minorEastAsia" w:hAnsiTheme="minorEastAsia" w:eastAsiaTheme="minorEastAsia" w:cstheme="minorEastAsia"/>
          <w:i w:val="0"/>
          <w:color w:val="0F1115"/>
          <w:spacing w:val="0"/>
          <w:sz w:val="21"/>
          <w:szCs w:val="21"/>
          <w:shd w:val="clear" w:fill="FFFFFF"/>
          <w:lang w:eastAsia="zh-CN"/>
        </w:rPr>
        <w:t>我</w:t>
      </w:r>
      <w:r>
        <w:rPr>
          <w:rFonts w:hint="eastAsia" w:asciiTheme="minorEastAsia" w:hAnsiTheme="minorEastAsia" w:eastAsiaTheme="minorEastAsia" w:cstheme="minorEastAsia"/>
          <w:i w:val="0"/>
          <w:color w:val="0F1115"/>
          <w:spacing w:val="0"/>
          <w:sz w:val="21"/>
          <w:szCs w:val="21"/>
          <w:shd w:val="clear" w:fill="FFFFFF"/>
          <w:lang w:val="en-US" w:eastAsia="zh-CN"/>
        </w:rPr>
        <w:t>方</w:t>
      </w:r>
      <w:r>
        <w:rPr>
          <w:rFonts w:hint="eastAsia" w:asciiTheme="minorEastAsia" w:hAnsiTheme="minorEastAsia" w:eastAsiaTheme="minorEastAsia" w:cstheme="minorEastAsia"/>
          <w:i w:val="0"/>
          <w:color w:val="0F1115"/>
          <w:spacing w:val="0"/>
          <w:sz w:val="21"/>
          <w:szCs w:val="21"/>
          <w:shd w:val="clear" w:fill="FFFFFF"/>
        </w:rPr>
        <w:t>的正常生产秩序。</w:t>
      </w:r>
    </w:p>
    <w:p w14:paraId="48E543BC">
      <w:pPr>
        <w:numPr>
          <w:ilvl w:val="0"/>
          <w:numId w:val="0"/>
        </w:numPr>
        <w:spacing w:line="360" w:lineRule="auto"/>
        <w:ind w:leftChars="200"/>
        <w:rPr>
          <w:rFonts w:hint="default" w:ascii="宋体" w:hAnsi="宋体"/>
          <w:kern w:val="0"/>
          <w:sz w:val="24"/>
          <w:highlight w:val="none"/>
          <w:lang w:val="en-US" w:eastAsia="zh-CN"/>
        </w:rPr>
      </w:pPr>
    </w:p>
    <w:p w14:paraId="3643AD2C">
      <w:pPr>
        <w:spacing w:line="360" w:lineRule="auto"/>
        <w:ind w:firstLine="480" w:firstLineChars="200"/>
        <w:rPr>
          <w:rFonts w:ascii="宋体" w:hAnsi="宋体"/>
          <w:kern w:val="0"/>
          <w:sz w:val="24"/>
        </w:rPr>
      </w:pPr>
    </w:p>
    <w:p w14:paraId="4DA214D9">
      <w:pPr>
        <w:rPr>
          <w:rFonts w:ascii="宋体" w:hAnsi="宋体"/>
          <w:sz w:val="24"/>
        </w:rPr>
      </w:pPr>
    </w:p>
    <w:p w14:paraId="24FF30E5">
      <w:pPr>
        <w:rPr>
          <w:rFonts w:ascii="宋体" w:hAnsi="宋体"/>
          <w:sz w:val="24"/>
        </w:rPr>
      </w:pPr>
    </w:p>
    <w:p w14:paraId="06AFF3B7">
      <w:pPr>
        <w:rPr>
          <w:rFonts w:ascii="宋体" w:hAnsi="宋体"/>
          <w:sz w:val="24"/>
        </w:rPr>
      </w:pPr>
    </w:p>
    <w:p w14:paraId="7476B010">
      <w:pPr>
        <w:rPr>
          <w:rFonts w:ascii="宋体" w:hAnsi="宋体"/>
          <w:sz w:val="24"/>
        </w:rPr>
      </w:pPr>
    </w:p>
    <w:p w14:paraId="2D33157F">
      <w:pPr>
        <w:pStyle w:val="2"/>
        <w:spacing w:before="240" w:beforeLines="100" w:after="360" w:afterLines="150" w:line="276" w:lineRule="auto"/>
        <w:jc w:val="center"/>
        <w:rPr>
          <w:rFonts w:ascii="宋体" w:hAnsi="宋体"/>
        </w:rPr>
      </w:pPr>
      <w:r>
        <w:rPr>
          <w:rFonts w:hint="eastAsia" w:ascii="宋体" w:hAnsi="宋体"/>
        </w:rPr>
        <w:t>第三章  供应商</w:t>
      </w:r>
      <w:r>
        <w:rPr>
          <w:rFonts w:ascii="宋体" w:hAnsi="宋体"/>
        </w:rPr>
        <w:t>须知</w:t>
      </w:r>
    </w:p>
    <w:p w14:paraId="4483FC41">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14:paraId="0179F7ED">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0C88D0A8">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3F082A72">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3ACB7D4F">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000C4E9A">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59627E6A">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74D913A3">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25B6E61F">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2192DB8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473C984F">
      <w:pPr>
        <w:spacing w:line="360" w:lineRule="auto"/>
        <w:ind w:firstLine="482" w:firstLineChars="200"/>
        <w:rPr>
          <w:rFonts w:ascii="宋体" w:hAnsi="宋体"/>
          <w:b/>
          <w:sz w:val="24"/>
          <w:highlight w:val="none"/>
        </w:rPr>
      </w:pPr>
      <w:r>
        <w:rPr>
          <w:rFonts w:ascii="宋体" w:hAnsi="宋体"/>
          <w:b/>
          <w:sz w:val="24"/>
          <w:highlight w:val="none"/>
        </w:rPr>
        <w:t>4.特别注意</w:t>
      </w:r>
    </w:p>
    <w:p w14:paraId="5BC5A1A6">
      <w:pPr>
        <w:spacing w:line="360" w:lineRule="auto"/>
        <w:ind w:firstLine="480" w:firstLineChars="200"/>
        <w:rPr>
          <w:rFonts w:ascii="宋体" w:hAnsi="宋体"/>
          <w:sz w:val="24"/>
          <w:highlight w:val="none"/>
        </w:rPr>
      </w:pPr>
      <w:r>
        <w:rPr>
          <w:rFonts w:hint="eastAsia" w:ascii="宋体" w:hAnsi="宋体"/>
          <w:sz w:val="24"/>
          <w:highlight w:val="none"/>
        </w:rPr>
        <w:t>单位负责人为同一人或者存在控股、管理关系的不同单位，不得同时参加本次竞争性谈判。</w:t>
      </w:r>
    </w:p>
    <w:p w14:paraId="7531DF88">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14:paraId="06E56A27">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4DFF575D">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6A122F02">
      <w:pPr>
        <w:spacing w:line="360" w:lineRule="auto"/>
        <w:ind w:firstLine="480" w:firstLineChars="200"/>
        <w:rPr>
          <w:rFonts w:ascii="宋体" w:hAnsi="宋体"/>
          <w:kern w:val="0"/>
          <w:sz w:val="24"/>
        </w:rPr>
      </w:pPr>
      <w:r>
        <w:rPr>
          <w:rFonts w:hint="eastAsia" w:ascii="宋体" w:hAnsi="宋体"/>
          <w:kern w:val="0"/>
          <w:sz w:val="24"/>
        </w:rPr>
        <w:t>（1）谈判公告</w:t>
      </w:r>
    </w:p>
    <w:p w14:paraId="1566B5FD">
      <w:pPr>
        <w:spacing w:line="360" w:lineRule="auto"/>
        <w:ind w:firstLine="480" w:firstLineChars="200"/>
        <w:rPr>
          <w:rFonts w:ascii="宋体" w:hAnsi="宋体"/>
          <w:kern w:val="0"/>
          <w:sz w:val="24"/>
        </w:rPr>
      </w:pPr>
      <w:r>
        <w:rPr>
          <w:rFonts w:hint="eastAsia" w:ascii="宋体" w:hAnsi="宋体"/>
          <w:kern w:val="0"/>
          <w:sz w:val="24"/>
        </w:rPr>
        <w:t>（2）供应商</w:t>
      </w:r>
      <w:r>
        <w:rPr>
          <w:rFonts w:ascii="宋体" w:hAnsi="宋体"/>
          <w:kern w:val="0"/>
          <w:sz w:val="24"/>
        </w:rPr>
        <w:t>须知</w:t>
      </w:r>
    </w:p>
    <w:p w14:paraId="32AE9A7E">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14:paraId="56F4DE02">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05C2A45D">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5AFAFB1C">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193ADEB3">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535DEDFE">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731ABE8A">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14C54091">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14EEC1AD">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14:paraId="3753A6D9">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008964D9">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1FC4091B">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515F34BA">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73018CF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590D4F58">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0432BDF0">
      <w:pPr>
        <w:spacing w:line="360" w:lineRule="auto"/>
        <w:ind w:firstLine="480" w:firstLineChars="200"/>
        <w:rPr>
          <w:rFonts w:ascii="宋体" w:hAnsi="宋体"/>
          <w:kern w:val="0"/>
          <w:sz w:val="24"/>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40094325">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3AE81C92">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165ED18E">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4C710414">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1F7E4CCC">
      <w:pPr>
        <w:spacing w:line="360" w:lineRule="auto"/>
        <w:ind w:firstLine="482" w:firstLineChars="200"/>
        <w:rPr>
          <w:rFonts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135D0042">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497C7950">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041F5DE5">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12FDEBA4">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113C7C66">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63E2EB33">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454B4517">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0440C794">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04A06559">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02E59F1F">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5317C99C">
      <w:pPr>
        <w:spacing w:line="360" w:lineRule="auto"/>
        <w:ind w:firstLine="480" w:firstLineChars="200"/>
        <w:rPr>
          <w:rFonts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08CAC848">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1699053A">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58B1ADBF">
      <w:pPr>
        <w:widowControl/>
        <w:spacing w:line="360" w:lineRule="auto"/>
        <w:ind w:firstLine="480" w:firstLineChars="200"/>
        <w:jc w:val="left"/>
        <w:rPr>
          <w:rFonts w:hint="default" w:ascii="宋体" w:hAnsi="宋体" w:eastAsia="宋体" w:cs="宋体"/>
          <w:color w:val="auto"/>
          <w:kern w:val="0"/>
          <w:sz w:val="24"/>
          <w:lang w:val="en-US" w:eastAsia="zh-CN"/>
        </w:rPr>
      </w:pPr>
      <w:r>
        <w:rPr>
          <w:rFonts w:ascii="宋体" w:hAnsi="宋体" w:cs="宋体"/>
          <w:color w:val="auto"/>
          <w:kern w:val="0"/>
          <w:sz w:val="24"/>
        </w:rPr>
        <w:t xml:space="preserve">1.1 </w:t>
      </w:r>
      <w:r>
        <w:rPr>
          <w:rFonts w:hint="eastAsia" w:ascii="宋体" w:hAnsi="宋体" w:cs="宋体"/>
          <w:color w:val="auto"/>
          <w:kern w:val="0"/>
          <w:sz w:val="24"/>
        </w:rPr>
        <w:t>供应商</w:t>
      </w:r>
      <w:r>
        <w:rPr>
          <w:rFonts w:ascii="宋体" w:hAnsi="宋体" w:cs="宋体"/>
          <w:color w:val="auto"/>
          <w:kern w:val="0"/>
          <w:sz w:val="24"/>
        </w:rPr>
        <w:t>应提交“</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正本</w:t>
      </w:r>
      <w:r>
        <w:rPr>
          <w:rFonts w:ascii="宋体" w:hAnsi="宋体" w:cs="宋体"/>
          <w:color w:val="auto"/>
          <w:kern w:val="0"/>
          <w:sz w:val="24"/>
        </w:rPr>
        <w:t>一套和副本</w:t>
      </w:r>
      <w:r>
        <w:rPr>
          <w:rFonts w:hint="eastAsia" w:ascii="宋体" w:hAnsi="宋体" w:cs="宋体"/>
          <w:color w:val="auto"/>
          <w:kern w:val="0"/>
          <w:sz w:val="24"/>
          <w:lang w:val="en-US" w:eastAsia="zh-CN"/>
        </w:rPr>
        <w:t>一</w:t>
      </w:r>
      <w:r>
        <w:rPr>
          <w:rFonts w:ascii="宋体" w:hAnsi="宋体" w:cs="宋体"/>
          <w:color w:val="auto"/>
          <w:kern w:val="0"/>
          <w:sz w:val="24"/>
        </w:rPr>
        <w:t>套，每套“</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封面</w:t>
      </w:r>
      <w:r>
        <w:rPr>
          <w:rFonts w:ascii="宋体" w:hAnsi="宋体" w:cs="宋体"/>
          <w:color w:val="auto"/>
          <w:kern w:val="0"/>
          <w:sz w:val="24"/>
        </w:rPr>
        <w:t>的右上角应标明“</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或</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w:t>
      </w:r>
      <w:r>
        <w:rPr>
          <w:rFonts w:hint="eastAsia" w:ascii="宋体" w:hAnsi="宋体" w:cs="宋体"/>
          <w:color w:val="auto"/>
          <w:kern w:val="0"/>
          <w:sz w:val="24"/>
          <w:lang w:val="en-US" w:eastAsia="zh-CN"/>
        </w:rPr>
        <w:t>电子版文件（盖鲜章的PDF扫描件）一套（提供形式：U盘）</w:t>
      </w:r>
    </w:p>
    <w:p w14:paraId="2857B3AC">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 </w:t>
      </w:r>
      <w:r>
        <w:rPr>
          <w:rFonts w:hint="eastAsia" w:ascii="宋体" w:hAnsi="宋体" w:cs="宋体"/>
          <w:color w:val="auto"/>
          <w:kern w:val="0"/>
          <w:sz w:val="24"/>
        </w:rPr>
        <w:t>谈判文件</w:t>
      </w:r>
      <w:r>
        <w:rPr>
          <w:rFonts w:ascii="宋体" w:hAnsi="宋体" w:cs="宋体"/>
          <w:color w:val="auto"/>
          <w:kern w:val="0"/>
          <w:sz w:val="24"/>
        </w:rPr>
        <w:t>的包装、标记要求</w:t>
      </w:r>
    </w:p>
    <w:p w14:paraId="0BE939DC">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1.2.1 </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保证金转账</w:t>
      </w:r>
      <w:r>
        <w:rPr>
          <w:rFonts w:ascii="宋体" w:hAnsi="宋体" w:cs="宋体"/>
          <w:color w:val="auto"/>
          <w:kern w:val="0"/>
          <w:sz w:val="24"/>
        </w:rPr>
        <w:t>证明文件应单独封装</w:t>
      </w:r>
      <w:r>
        <w:rPr>
          <w:rFonts w:hint="eastAsia" w:ascii="宋体" w:hAnsi="宋体" w:cs="宋体"/>
          <w:color w:val="auto"/>
          <w:kern w:val="0"/>
          <w:sz w:val="24"/>
        </w:rPr>
        <w:t>，一并</w:t>
      </w:r>
      <w:r>
        <w:rPr>
          <w:rFonts w:ascii="宋体" w:hAnsi="宋体" w:cs="宋体"/>
          <w:color w:val="auto"/>
          <w:kern w:val="0"/>
          <w:sz w:val="24"/>
        </w:rPr>
        <w:t>提交</w:t>
      </w:r>
      <w:r>
        <w:rPr>
          <w:rFonts w:hint="eastAsia" w:ascii="宋体" w:hAnsi="宋体" w:cs="宋体"/>
          <w:color w:val="auto"/>
          <w:kern w:val="0"/>
          <w:sz w:val="24"/>
        </w:rPr>
        <w:t>。</w:t>
      </w:r>
    </w:p>
    <w:p w14:paraId="7F2CFB93">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.2.2 供应商</w:t>
      </w:r>
      <w:r>
        <w:rPr>
          <w:rFonts w:ascii="宋体" w:hAnsi="宋体" w:cs="宋体"/>
          <w:color w:val="auto"/>
          <w:kern w:val="0"/>
          <w:sz w:val="24"/>
        </w:rPr>
        <w:t>应将</w:t>
      </w:r>
      <w:r>
        <w:rPr>
          <w:rFonts w:hint="eastAsia" w:ascii="宋体" w:hAnsi="宋体" w:cs="宋体"/>
          <w:color w:val="auto"/>
          <w:kern w:val="0"/>
          <w:sz w:val="24"/>
        </w:rPr>
        <w:t>谈判文件</w:t>
      </w:r>
      <w:r>
        <w:rPr>
          <w:rFonts w:ascii="宋体" w:hAnsi="宋体" w:cs="宋体"/>
          <w:color w:val="auto"/>
          <w:kern w:val="0"/>
          <w:sz w:val="24"/>
        </w:rPr>
        <w:t>按正本、副本分别封装，并标明</w:t>
      </w:r>
      <w:r>
        <w:rPr>
          <w:rFonts w:hint="eastAsia" w:ascii="宋体" w:hAnsi="宋体" w:cs="宋体"/>
          <w:color w:val="auto"/>
          <w:kern w:val="0"/>
          <w:sz w:val="24"/>
        </w:rPr>
        <w:t>采购</w:t>
      </w:r>
      <w:r>
        <w:rPr>
          <w:rFonts w:ascii="宋体" w:hAnsi="宋体" w:cs="宋体"/>
          <w:color w:val="auto"/>
          <w:kern w:val="0"/>
          <w:sz w:val="24"/>
        </w:rPr>
        <w:t>项目名称、供应商名称、地址、邮政编码及“</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字样</w:t>
      </w:r>
      <w:r>
        <w:rPr>
          <w:rFonts w:ascii="宋体" w:hAnsi="宋体" w:cs="宋体"/>
          <w:color w:val="auto"/>
          <w:kern w:val="0"/>
          <w:sz w:val="24"/>
        </w:rPr>
        <w:t>。再将</w:t>
      </w:r>
      <w:r>
        <w:rPr>
          <w:rFonts w:hint="eastAsia" w:ascii="宋体" w:hAnsi="宋体" w:cs="宋体"/>
          <w:color w:val="auto"/>
          <w:kern w:val="0"/>
          <w:sz w:val="24"/>
        </w:rPr>
        <w:t>单独</w:t>
      </w:r>
      <w:r>
        <w:rPr>
          <w:rFonts w:ascii="宋体" w:hAnsi="宋体" w:cs="宋体"/>
          <w:color w:val="auto"/>
          <w:kern w:val="0"/>
          <w:sz w:val="24"/>
        </w:rPr>
        <w:t>密封包装的</w:t>
      </w:r>
      <w:r>
        <w:rPr>
          <w:rFonts w:hint="eastAsia" w:ascii="宋体" w:hAnsi="宋体" w:cs="宋体"/>
          <w:color w:val="auto"/>
          <w:kern w:val="0"/>
          <w:sz w:val="24"/>
        </w:rPr>
        <w:t>全套</w:t>
      </w:r>
      <w:r>
        <w:rPr>
          <w:rFonts w:ascii="宋体" w:hAnsi="宋体" w:cs="宋体"/>
          <w:color w:val="auto"/>
          <w:kern w:val="0"/>
          <w:sz w:val="24"/>
        </w:rPr>
        <w:t>正本、副本文件统一封装在</w:t>
      </w:r>
      <w:r>
        <w:rPr>
          <w:rFonts w:hint="eastAsia" w:ascii="宋体" w:hAnsi="宋体" w:cs="宋体"/>
          <w:color w:val="auto"/>
          <w:kern w:val="0"/>
          <w:sz w:val="24"/>
        </w:rPr>
        <w:t>一件</w:t>
      </w:r>
      <w:r>
        <w:rPr>
          <w:rFonts w:ascii="宋体" w:hAnsi="宋体" w:cs="宋体"/>
          <w:color w:val="auto"/>
          <w:kern w:val="0"/>
          <w:sz w:val="24"/>
        </w:rPr>
        <w:t>包装内。</w:t>
      </w:r>
    </w:p>
    <w:p w14:paraId="38096E8F">
      <w:pPr>
        <w:spacing w:line="360" w:lineRule="auto"/>
        <w:ind w:firstLine="480" w:firstLineChars="200"/>
        <w:rPr>
          <w:rFonts w:ascii="宋体" w:hAnsi="宋体" w:cs="宋体"/>
          <w:color w:val="auto"/>
          <w:kern w:val="0"/>
          <w:sz w:val="24"/>
        </w:rPr>
      </w:pPr>
      <w:r>
        <w:rPr>
          <w:rFonts w:ascii="宋体" w:hAnsi="宋体" w:cs="宋体"/>
          <w:color w:val="auto"/>
          <w:kern w:val="0"/>
          <w:sz w:val="24"/>
        </w:rPr>
        <w:t>1.2.3 每一密封</w:t>
      </w:r>
      <w:r>
        <w:rPr>
          <w:rFonts w:hint="eastAsia" w:ascii="宋体" w:hAnsi="宋体" w:cs="宋体"/>
          <w:color w:val="auto"/>
          <w:kern w:val="0"/>
          <w:sz w:val="24"/>
        </w:rPr>
        <w:t>袋的封口处均应加盖密封章或供应商公章，</w:t>
      </w:r>
      <w:r>
        <w:rPr>
          <w:rFonts w:ascii="宋体" w:hAnsi="宋体" w:cs="宋体"/>
          <w:color w:val="auto"/>
          <w:kern w:val="0"/>
          <w:sz w:val="24"/>
        </w:rPr>
        <w:t>并在封面上标明</w:t>
      </w:r>
      <w:r>
        <w:rPr>
          <w:rFonts w:hint="eastAsia" w:ascii="宋体" w:hAnsi="宋体" w:cs="宋体"/>
          <w:color w:val="auto"/>
          <w:kern w:val="0"/>
          <w:sz w:val="24"/>
        </w:rPr>
        <w:t>采购项目名称、供应商名称及“在xxxx年xx月xx日</w:t>
      </w:r>
      <w:r>
        <w:rPr>
          <w:rFonts w:ascii="宋体" w:hAnsi="宋体" w:cs="宋体"/>
          <w:color w:val="auto"/>
          <w:kern w:val="0"/>
          <w:sz w:val="24"/>
        </w:rPr>
        <w:t>（</w:t>
      </w:r>
      <w:r>
        <w:rPr>
          <w:rFonts w:hint="eastAsia" w:ascii="宋体" w:hAnsi="宋体" w:cs="宋体"/>
          <w:color w:val="auto"/>
          <w:kern w:val="0"/>
          <w:sz w:val="24"/>
        </w:rPr>
        <w:t>评审时间</w:t>
      </w:r>
      <w:r>
        <w:rPr>
          <w:rFonts w:ascii="宋体" w:hAnsi="宋体" w:cs="宋体"/>
          <w:color w:val="auto"/>
          <w:kern w:val="0"/>
          <w:sz w:val="24"/>
        </w:rPr>
        <w:t>）之前不准启封</w:t>
      </w:r>
      <w:r>
        <w:rPr>
          <w:rFonts w:hint="eastAsia" w:ascii="宋体" w:hAnsi="宋体" w:cs="宋体"/>
          <w:color w:val="auto"/>
          <w:kern w:val="0"/>
          <w:sz w:val="24"/>
        </w:rPr>
        <w:t>”的</w:t>
      </w:r>
      <w:r>
        <w:rPr>
          <w:rFonts w:ascii="宋体" w:hAnsi="宋体" w:cs="宋体"/>
          <w:color w:val="auto"/>
          <w:kern w:val="0"/>
          <w:sz w:val="24"/>
        </w:rPr>
        <w:t>字样。</w:t>
      </w:r>
    </w:p>
    <w:p w14:paraId="35245AB9">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1.3 </w:t>
      </w:r>
      <w:r>
        <w:rPr>
          <w:rFonts w:hint="eastAsia" w:ascii="宋体" w:hAnsi="宋体" w:cs="宋体"/>
          <w:color w:val="auto"/>
          <w:kern w:val="0"/>
          <w:sz w:val="24"/>
        </w:rPr>
        <w:t>谈判文件</w:t>
      </w:r>
      <w:r>
        <w:rPr>
          <w:rFonts w:ascii="宋体" w:hAnsi="宋体" w:cs="宋体"/>
          <w:color w:val="auto"/>
          <w:kern w:val="0"/>
          <w:sz w:val="24"/>
        </w:rPr>
        <w:t>的提交：供应商应</w:t>
      </w:r>
      <w:r>
        <w:rPr>
          <w:rFonts w:hint="eastAsia" w:ascii="宋体" w:hAnsi="宋体" w:cs="宋体"/>
          <w:color w:val="auto"/>
          <w:kern w:val="0"/>
          <w:sz w:val="24"/>
        </w:rPr>
        <w:t>于谈判文件递交</w:t>
      </w:r>
      <w:r>
        <w:rPr>
          <w:rFonts w:ascii="宋体" w:hAnsi="宋体" w:cs="宋体"/>
          <w:color w:val="auto"/>
          <w:kern w:val="0"/>
          <w:sz w:val="24"/>
        </w:rPr>
        <w:t>截止时间前由专人将</w:t>
      </w:r>
      <w:r>
        <w:rPr>
          <w:rFonts w:hint="eastAsia" w:ascii="宋体" w:hAnsi="宋体" w:cs="宋体"/>
          <w:color w:val="auto"/>
          <w:kern w:val="0"/>
          <w:sz w:val="24"/>
        </w:rPr>
        <w:t>谈判文件</w:t>
      </w:r>
      <w:r>
        <w:rPr>
          <w:rFonts w:ascii="宋体" w:hAnsi="宋体" w:cs="宋体"/>
          <w:color w:val="auto"/>
          <w:kern w:val="0"/>
          <w:sz w:val="24"/>
        </w:rPr>
        <w:t>送至</w:t>
      </w:r>
      <w:r>
        <w:rPr>
          <w:rFonts w:hint="eastAsia" w:ascii="宋体" w:hAnsi="宋体" w:cs="宋体"/>
          <w:color w:val="auto"/>
          <w:kern w:val="0"/>
          <w:sz w:val="24"/>
        </w:rPr>
        <w:t>指定地点</w:t>
      </w:r>
      <w:r>
        <w:rPr>
          <w:rFonts w:ascii="宋体" w:hAnsi="宋体" w:cs="宋体"/>
          <w:color w:val="auto"/>
          <w:kern w:val="0"/>
          <w:sz w:val="24"/>
        </w:rPr>
        <w:t>。</w:t>
      </w:r>
    </w:p>
    <w:p w14:paraId="46308555">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1.4 </w:t>
      </w:r>
      <w:r>
        <w:rPr>
          <w:rFonts w:hint="eastAsia" w:ascii="宋体" w:hAnsi="宋体" w:cs="宋体"/>
          <w:color w:val="auto"/>
          <w:kern w:val="0"/>
          <w:sz w:val="24"/>
        </w:rPr>
        <w:t>供应商</w:t>
      </w:r>
      <w:r>
        <w:rPr>
          <w:rFonts w:ascii="宋体" w:hAnsi="宋体" w:cs="宋体"/>
          <w:color w:val="auto"/>
          <w:kern w:val="0"/>
          <w:sz w:val="24"/>
        </w:rPr>
        <w:t>在递交</w:t>
      </w:r>
      <w:r>
        <w:rPr>
          <w:rFonts w:hint="eastAsia" w:ascii="宋体" w:hAnsi="宋体" w:cs="宋体"/>
          <w:color w:val="auto"/>
          <w:kern w:val="0"/>
          <w:sz w:val="24"/>
        </w:rPr>
        <w:t>谈判文件</w:t>
      </w:r>
      <w:r>
        <w:rPr>
          <w:rFonts w:ascii="宋体" w:hAnsi="宋体" w:cs="宋体"/>
          <w:color w:val="auto"/>
          <w:kern w:val="0"/>
          <w:sz w:val="24"/>
        </w:rPr>
        <w:t>时，应同时出示谈判文件要求的资质证明文件的复印件</w:t>
      </w:r>
      <w:r>
        <w:rPr>
          <w:rFonts w:ascii="宋体" w:hAnsi="宋体" w:cs="宋体"/>
          <w:color w:val="auto"/>
          <w:spacing w:val="-6"/>
          <w:kern w:val="0"/>
          <w:sz w:val="24"/>
        </w:rPr>
        <w:t>并加盖有效公章，并按目录排列</w:t>
      </w:r>
      <w:r>
        <w:rPr>
          <w:rFonts w:hint="eastAsia" w:ascii="宋体" w:hAnsi="宋体" w:cs="宋体"/>
          <w:color w:val="auto"/>
          <w:kern w:val="0"/>
          <w:sz w:val="24"/>
        </w:rPr>
        <w:t>。</w:t>
      </w:r>
    </w:p>
    <w:p w14:paraId="3EFD0914">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4575ADE3">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228C6BD7">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39123521">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34CA8042">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42A6DF34">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76D76919">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78D5D6F3">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633D7FC9">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446D7EC2">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14:paraId="1659C85E">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4CE75EB4">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14:paraId="4BF1844C">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7F3DE5D2">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7E2AF90C">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7A821575">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14:paraId="74E86B92">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49D31A87">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4F1B2993">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56D16DDA">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486FFC79">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7EE4E762">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095F9A69">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0861737C">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6E167D2C">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3D9034FF">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10EC2AD6">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520DF1CF">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05AB34D1">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0A80E631">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1923095C">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7E20E416">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18A5BEF0">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48CABCA9">
      <w:pPr>
        <w:spacing w:line="360" w:lineRule="auto"/>
        <w:ind w:firstLine="480" w:firstLineChars="200"/>
        <w:rPr>
          <w:rFonts w:hint="eastAsia" w:ascii="宋体" w:hAnsi="宋体"/>
          <w:snapToGrid w:val="0"/>
          <w:color w:val="auto"/>
          <w:kern w:val="0"/>
          <w:sz w:val="24"/>
          <w:szCs w:val="21"/>
          <w:highlight w:val="none"/>
          <w:lang w:eastAsia="zh-CN"/>
        </w:rPr>
      </w:pPr>
      <w:r>
        <w:rPr>
          <w:rFonts w:ascii="宋体" w:hAnsi="宋体"/>
          <w:kern w:val="0"/>
          <w:sz w:val="24"/>
        </w:rPr>
        <w:t xml:space="preserve">6.2.3 </w:t>
      </w:r>
      <w:r>
        <w:rPr>
          <w:rFonts w:hint="eastAsia" w:ascii="宋体" w:hAnsi="宋体"/>
          <w:snapToGrid w:val="0"/>
          <w:color w:val="auto"/>
          <w:kern w:val="0"/>
          <w:sz w:val="24"/>
          <w:szCs w:val="21"/>
          <w:highlight w:val="none"/>
        </w:rPr>
        <w:t>经评审的最低价法</w:t>
      </w:r>
      <w:r>
        <w:rPr>
          <w:rFonts w:hint="eastAsia" w:ascii="宋体" w:hAnsi="宋体"/>
          <w:snapToGrid w:val="0"/>
          <w:color w:val="auto"/>
          <w:kern w:val="0"/>
          <w:sz w:val="24"/>
          <w:szCs w:val="21"/>
          <w:highlight w:val="none"/>
          <w:lang w:eastAsia="zh-CN"/>
        </w:rPr>
        <w:t>：</w:t>
      </w:r>
    </w:p>
    <w:p w14:paraId="0FEC78F7">
      <w:pPr>
        <w:spacing w:line="360" w:lineRule="auto"/>
        <w:ind w:firstLine="480" w:firstLineChars="200"/>
        <w:rPr>
          <w:rFonts w:hint="eastAsia" w:ascii="宋体" w:hAnsi="宋体" w:eastAsia="宋体"/>
          <w:kern w:val="0"/>
          <w:sz w:val="24"/>
          <w:highlight w:val="none"/>
          <w:lang w:val="en-US" w:eastAsia="zh-CN"/>
        </w:rPr>
      </w:pPr>
      <w:r>
        <w:rPr>
          <w:rFonts w:hint="eastAsia" w:ascii="宋体" w:hAnsi="宋体"/>
          <w:snapToGrid w:val="0"/>
          <w:color w:val="auto"/>
          <w:kern w:val="0"/>
          <w:sz w:val="24"/>
          <w:szCs w:val="21"/>
          <w:highlight w:val="none"/>
        </w:rPr>
        <w:t>对报价不高于最高限价（若有）的所有报价人的</w:t>
      </w:r>
      <w:r>
        <w:rPr>
          <w:rFonts w:hint="eastAsia" w:ascii="宋体" w:hAnsi="宋体"/>
          <w:snapToGrid w:val="0"/>
          <w:color w:val="auto"/>
          <w:kern w:val="0"/>
          <w:sz w:val="24"/>
          <w:szCs w:val="21"/>
          <w:highlight w:val="none"/>
          <w:lang w:val="en-US" w:eastAsia="zh-CN"/>
        </w:rPr>
        <w:t>谈判</w:t>
      </w:r>
      <w:r>
        <w:rPr>
          <w:rFonts w:hint="eastAsia" w:ascii="宋体" w:hAnsi="宋体"/>
          <w:snapToGrid w:val="0"/>
          <w:color w:val="auto"/>
          <w:kern w:val="0"/>
          <w:sz w:val="24"/>
          <w:szCs w:val="21"/>
          <w:highlight w:val="none"/>
        </w:rPr>
        <w:t>文件，按照报价由低到高的顺序排序</w:t>
      </w:r>
      <w:r>
        <w:rPr>
          <w:rFonts w:hint="eastAsia" w:ascii="宋体" w:hAnsi="宋体"/>
          <w:snapToGrid w:val="0"/>
          <w:color w:val="auto"/>
          <w:kern w:val="0"/>
          <w:sz w:val="24"/>
          <w:szCs w:val="21"/>
          <w:highlight w:val="none"/>
          <w:lang w:eastAsia="zh-CN"/>
        </w:rPr>
        <w:t>。</w:t>
      </w:r>
      <w:r>
        <w:rPr>
          <w:rFonts w:hint="eastAsia" w:ascii="宋体" w:hAnsi="宋体"/>
          <w:snapToGrid w:val="0"/>
          <w:color w:val="auto"/>
          <w:kern w:val="0"/>
          <w:sz w:val="24"/>
          <w:szCs w:val="21"/>
          <w:highlight w:val="none"/>
        </w:rPr>
        <w:t>符合性审查合格的报价人中，报价最低的成为第一成交候选人，报价次低的成为第二成交候选人，依次类推</w:t>
      </w:r>
    </w:p>
    <w:p w14:paraId="13C54383">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保密</w:t>
      </w:r>
    </w:p>
    <w:p w14:paraId="20596E51">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1078C430">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14:paraId="3F31C13F">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32F3ABCC">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4E648C2E">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57B5E37F">
      <w:pPr>
        <w:spacing w:line="360" w:lineRule="auto"/>
        <w:ind w:firstLine="480" w:firstLineChars="200"/>
        <w:rPr>
          <w:rFonts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232C94B1">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669AC1DE">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4F3587CC">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001847F1">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2956AE06">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5CAB3B67">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14984A3E">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4BE4FDF3">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763E2C5B">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142C1B43">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2479F7B9">
      <w:pPr>
        <w:widowControl/>
        <w:jc w:val="center"/>
        <w:rPr>
          <w:rFonts w:ascii="宋体" w:hAnsi="宋体"/>
          <w:kern w:val="0"/>
          <w:sz w:val="28"/>
          <w:szCs w:val="28"/>
        </w:rPr>
      </w:pPr>
    </w:p>
    <w:p w14:paraId="744D7387">
      <w:pPr>
        <w:widowControl/>
        <w:jc w:val="center"/>
        <w:rPr>
          <w:rFonts w:ascii="宋体" w:hAnsi="宋体"/>
          <w:kern w:val="0"/>
          <w:sz w:val="28"/>
          <w:szCs w:val="28"/>
        </w:rPr>
      </w:pPr>
    </w:p>
    <w:p w14:paraId="4023D71A">
      <w:pPr>
        <w:widowControl/>
        <w:jc w:val="center"/>
        <w:rPr>
          <w:rFonts w:ascii="宋体" w:hAnsi="宋体"/>
          <w:kern w:val="0"/>
          <w:sz w:val="28"/>
          <w:szCs w:val="28"/>
        </w:rPr>
      </w:pPr>
    </w:p>
    <w:p w14:paraId="0B8BADDE">
      <w:pPr>
        <w:widowControl/>
        <w:jc w:val="center"/>
        <w:rPr>
          <w:rFonts w:ascii="宋体" w:hAnsi="宋体"/>
          <w:kern w:val="0"/>
          <w:sz w:val="28"/>
          <w:szCs w:val="28"/>
        </w:rPr>
      </w:pPr>
    </w:p>
    <w:p w14:paraId="1E4CC84F">
      <w:pPr>
        <w:widowControl/>
        <w:jc w:val="center"/>
        <w:rPr>
          <w:rFonts w:ascii="宋体" w:hAnsi="宋体"/>
          <w:kern w:val="0"/>
          <w:sz w:val="28"/>
          <w:szCs w:val="28"/>
        </w:rPr>
      </w:pPr>
    </w:p>
    <w:p w14:paraId="228E91BB">
      <w:pPr>
        <w:widowControl/>
        <w:jc w:val="center"/>
        <w:rPr>
          <w:rFonts w:ascii="宋体" w:hAnsi="宋体"/>
          <w:kern w:val="0"/>
          <w:sz w:val="28"/>
          <w:szCs w:val="28"/>
        </w:rPr>
      </w:pPr>
    </w:p>
    <w:p w14:paraId="6EC7021D">
      <w:pPr>
        <w:widowControl/>
        <w:jc w:val="center"/>
        <w:rPr>
          <w:rFonts w:ascii="宋体" w:hAnsi="宋体"/>
          <w:kern w:val="0"/>
          <w:sz w:val="28"/>
          <w:szCs w:val="28"/>
        </w:rPr>
      </w:pPr>
    </w:p>
    <w:p w14:paraId="639B31CA">
      <w:pPr>
        <w:widowControl/>
        <w:jc w:val="center"/>
        <w:rPr>
          <w:rFonts w:ascii="宋体" w:hAnsi="宋体"/>
          <w:kern w:val="0"/>
          <w:sz w:val="28"/>
          <w:szCs w:val="28"/>
        </w:rPr>
      </w:pPr>
    </w:p>
    <w:p w14:paraId="6356E56D">
      <w:pPr>
        <w:widowControl/>
        <w:jc w:val="center"/>
        <w:rPr>
          <w:rFonts w:ascii="宋体" w:hAnsi="宋体"/>
          <w:kern w:val="0"/>
          <w:sz w:val="28"/>
          <w:szCs w:val="28"/>
        </w:rPr>
      </w:pPr>
    </w:p>
    <w:p w14:paraId="1F7FE44F">
      <w:pPr>
        <w:widowControl/>
        <w:jc w:val="center"/>
        <w:rPr>
          <w:rFonts w:ascii="宋体" w:hAnsi="宋体"/>
          <w:kern w:val="0"/>
          <w:sz w:val="28"/>
          <w:szCs w:val="28"/>
        </w:rPr>
      </w:pPr>
    </w:p>
    <w:p w14:paraId="462DA36A">
      <w:pPr>
        <w:widowControl/>
        <w:jc w:val="center"/>
        <w:rPr>
          <w:rFonts w:ascii="宋体" w:hAnsi="宋体"/>
          <w:kern w:val="0"/>
          <w:sz w:val="28"/>
          <w:szCs w:val="28"/>
        </w:rPr>
      </w:pPr>
    </w:p>
    <w:p w14:paraId="440246C6">
      <w:pPr>
        <w:widowControl/>
        <w:jc w:val="center"/>
        <w:rPr>
          <w:rFonts w:ascii="宋体" w:hAnsi="宋体"/>
          <w:kern w:val="0"/>
          <w:sz w:val="28"/>
          <w:szCs w:val="28"/>
        </w:rPr>
      </w:pPr>
    </w:p>
    <w:p w14:paraId="7FE853DA">
      <w:pPr>
        <w:widowControl/>
        <w:jc w:val="center"/>
        <w:rPr>
          <w:rFonts w:ascii="宋体" w:hAnsi="宋体"/>
          <w:kern w:val="0"/>
          <w:sz w:val="28"/>
          <w:szCs w:val="28"/>
        </w:rPr>
      </w:pPr>
    </w:p>
    <w:p w14:paraId="259C184F">
      <w:pPr>
        <w:widowControl/>
        <w:jc w:val="center"/>
        <w:rPr>
          <w:rFonts w:ascii="宋体" w:hAnsi="宋体"/>
          <w:kern w:val="0"/>
          <w:sz w:val="28"/>
          <w:szCs w:val="28"/>
        </w:rPr>
      </w:pPr>
    </w:p>
    <w:p w14:paraId="1673A322">
      <w:pPr>
        <w:widowControl/>
        <w:jc w:val="center"/>
        <w:rPr>
          <w:rFonts w:ascii="宋体" w:hAnsi="宋体"/>
          <w:kern w:val="0"/>
          <w:sz w:val="28"/>
          <w:szCs w:val="28"/>
        </w:rPr>
      </w:pPr>
    </w:p>
    <w:p w14:paraId="1A34731F">
      <w:pPr>
        <w:widowControl/>
        <w:jc w:val="center"/>
        <w:rPr>
          <w:rFonts w:ascii="宋体" w:hAnsi="宋体"/>
          <w:kern w:val="0"/>
          <w:sz w:val="28"/>
          <w:szCs w:val="28"/>
        </w:rPr>
      </w:pPr>
    </w:p>
    <w:p w14:paraId="089E9135">
      <w:pPr>
        <w:widowControl/>
        <w:jc w:val="center"/>
        <w:rPr>
          <w:rFonts w:ascii="宋体" w:hAnsi="宋体"/>
          <w:kern w:val="0"/>
          <w:sz w:val="28"/>
          <w:szCs w:val="28"/>
        </w:rPr>
      </w:pPr>
    </w:p>
    <w:p w14:paraId="21CCEDF0">
      <w:pPr>
        <w:widowControl/>
        <w:jc w:val="center"/>
        <w:rPr>
          <w:rFonts w:ascii="宋体" w:hAnsi="宋体"/>
          <w:kern w:val="0"/>
          <w:sz w:val="28"/>
          <w:szCs w:val="28"/>
        </w:rPr>
      </w:pPr>
    </w:p>
    <w:p w14:paraId="0A1815F6">
      <w:pPr>
        <w:widowControl/>
        <w:jc w:val="center"/>
        <w:rPr>
          <w:rFonts w:ascii="宋体" w:hAnsi="宋体"/>
          <w:kern w:val="0"/>
          <w:sz w:val="28"/>
          <w:szCs w:val="28"/>
        </w:rPr>
      </w:pPr>
    </w:p>
    <w:p w14:paraId="32FDA357">
      <w:pPr>
        <w:widowControl/>
        <w:jc w:val="center"/>
        <w:rPr>
          <w:rFonts w:ascii="宋体" w:hAnsi="宋体"/>
          <w:kern w:val="0"/>
          <w:sz w:val="28"/>
          <w:szCs w:val="28"/>
        </w:rPr>
      </w:pPr>
    </w:p>
    <w:p w14:paraId="017E604F">
      <w:pPr>
        <w:widowControl/>
        <w:jc w:val="center"/>
        <w:rPr>
          <w:rFonts w:ascii="宋体" w:hAnsi="宋体"/>
          <w:kern w:val="0"/>
          <w:sz w:val="28"/>
          <w:szCs w:val="28"/>
        </w:rPr>
      </w:pPr>
    </w:p>
    <w:p w14:paraId="10F3CA5E">
      <w:pPr>
        <w:pStyle w:val="2"/>
        <w:spacing w:before="240" w:beforeLines="100" w:after="360" w:afterLines="150" w:line="276" w:lineRule="auto"/>
        <w:jc w:val="center"/>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102EBF9B">
      <w:pPr>
        <w:rPr>
          <w:rFonts w:ascii="宋体" w:hAnsi="宋体"/>
          <w:b/>
          <w:kern w:val="0"/>
          <w:sz w:val="24"/>
        </w:rPr>
      </w:pPr>
    </w:p>
    <w:p w14:paraId="470F03D8">
      <w:pPr>
        <w:ind w:firstLine="643" w:firstLineChars="200"/>
        <w:jc w:val="center"/>
        <w:rPr>
          <w:rFonts w:ascii="宋体" w:hAnsi="宋体"/>
          <w:b/>
          <w:kern w:val="0"/>
          <w:sz w:val="32"/>
        </w:rPr>
      </w:pPr>
      <w:r>
        <w:rPr>
          <w:rFonts w:hint="eastAsia" w:ascii="宋体" w:hAnsi="宋体"/>
          <w:b/>
          <w:kern w:val="0"/>
          <w:sz w:val="32"/>
        </w:rPr>
        <w:t>附件1 谈判响应书</w:t>
      </w:r>
    </w:p>
    <w:p w14:paraId="039DB906">
      <w:pPr>
        <w:rPr>
          <w:rFonts w:ascii="宋体" w:hAnsi="宋体"/>
          <w:sz w:val="24"/>
        </w:rPr>
      </w:pPr>
    </w:p>
    <w:p w14:paraId="301FAA51">
      <w:pPr>
        <w:rPr>
          <w:rFonts w:ascii="宋体" w:hAnsi="宋体"/>
          <w:sz w:val="24"/>
        </w:rPr>
      </w:pPr>
      <w:r>
        <w:rPr>
          <w:rFonts w:ascii="宋体" w:hAnsi="宋体"/>
          <w:sz w:val="24"/>
        </w:rPr>
        <w:t>致：</w:t>
      </w:r>
      <w:r>
        <w:rPr>
          <w:rFonts w:hint="eastAsia" w:ascii="宋体" w:hAnsi="宋体"/>
          <w:sz w:val="24"/>
          <w:u w:val="single"/>
        </w:rPr>
        <w:t>重庆国际复合材料股份有限公司</w:t>
      </w:r>
    </w:p>
    <w:p w14:paraId="66167AAC">
      <w:pPr>
        <w:rPr>
          <w:rFonts w:ascii="宋体" w:hAnsi="宋体"/>
          <w:sz w:val="24"/>
        </w:rPr>
      </w:pPr>
    </w:p>
    <w:p w14:paraId="7F27AD9D">
      <w:pPr>
        <w:pStyle w:val="37"/>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lang w:val="en-US" w:eastAsia="zh-CN"/>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262FCA4D">
      <w:pPr>
        <w:pStyle w:val="37"/>
        <w:numPr>
          <w:ilvl w:val="0"/>
          <w:numId w:val="7"/>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14:paraId="4AB4FE3A">
      <w:pPr>
        <w:pStyle w:val="37"/>
        <w:numPr>
          <w:ilvl w:val="0"/>
          <w:numId w:val="7"/>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14:paraId="04821FEB">
      <w:pPr>
        <w:pStyle w:val="37"/>
        <w:numPr>
          <w:ilvl w:val="0"/>
          <w:numId w:val="7"/>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FF0000"/>
        </w:rPr>
        <w:t xml:space="preserve"> </w:t>
      </w:r>
      <w:r>
        <w:rPr>
          <w:rFonts w:hint="eastAsia" w:ascii="宋体" w:hAnsi="宋体"/>
          <w:color w:val="auto"/>
        </w:rPr>
        <w:t xml:space="preserve">  </w:t>
      </w:r>
    </w:p>
    <w:p w14:paraId="14E7A716">
      <w:pPr>
        <w:pStyle w:val="37"/>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45A7186A">
      <w:pPr>
        <w:pStyle w:val="37"/>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14:paraId="1D12E143">
      <w:pPr>
        <w:pStyle w:val="37"/>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06825DF5">
      <w:pPr>
        <w:pStyle w:val="37"/>
        <w:numPr>
          <w:ilvl w:val="0"/>
          <w:numId w:val="8"/>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34D7A540">
      <w:pPr>
        <w:pStyle w:val="37"/>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41C27759">
      <w:pPr>
        <w:pStyle w:val="37"/>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69FB3802">
      <w:pPr>
        <w:pStyle w:val="37"/>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58A0BB72">
      <w:pPr>
        <w:pStyle w:val="37"/>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260431A0">
      <w:pPr>
        <w:pStyle w:val="37"/>
        <w:rPr>
          <w:rFonts w:ascii="宋体" w:hAnsi="宋体"/>
          <w:color w:val="auto"/>
        </w:rPr>
      </w:pPr>
      <w:r>
        <w:rPr>
          <w:rFonts w:ascii="宋体" w:hAnsi="宋体"/>
          <w:color w:val="auto"/>
        </w:rPr>
        <w:t>电子邮件：</w:t>
      </w:r>
      <w:r>
        <w:rPr>
          <w:rFonts w:ascii="宋体" w:hAnsi="宋体"/>
          <w:color w:val="auto"/>
          <w:u w:val="single"/>
        </w:rPr>
        <w:t xml:space="preserve">                             </w:t>
      </w:r>
    </w:p>
    <w:p w14:paraId="6CBCBF4B">
      <w:pPr>
        <w:pStyle w:val="37"/>
        <w:spacing w:line="480" w:lineRule="auto"/>
        <w:ind w:firstLine="3120" w:firstLineChars="1300"/>
        <w:rPr>
          <w:rFonts w:ascii="宋体" w:hAnsi="宋体"/>
          <w:color w:val="auto"/>
        </w:rPr>
      </w:pPr>
      <w:r>
        <w:rPr>
          <w:rFonts w:ascii="宋体" w:hAnsi="宋体"/>
          <w:color w:val="auto"/>
        </w:rPr>
        <w:t xml:space="preserve">授权代表签字：                         </w:t>
      </w:r>
    </w:p>
    <w:p w14:paraId="05622DBB">
      <w:pPr>
        <w:pStyle w:val="37"/>
        <w:spacing w:line="480" w:lineRule="auto"/>
        <w:ind w:firstLine="3360" w:firstLineChars="1400"/>
        <w:rPr>
          <w:rFonts w:ascii="宋体" w:hAnsi="宋体"/>
          <w:color w:val="auto"/>
        </w:rPr>
      </w:pPr>
      <w:r>
        <w:rPr>
          <w:rFonts w:ascii="宋体" w:hAnsi="宋体"/>
          <w:color w:val="auto"/>
        </w:rPr>
        <w:t>供应商名称：              （加盖公章）</w:t>
      </w:r>
    </w:p>
    <w:p w14:paraId="753FB996">
      <w:pPr>
        <w:pStyle w:val="37"/>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14:paraId="789DFC65">
      <w:pPr>
        <w:spacing w:line="480" w:lineRule="auto"/>
        <w:ind w:firstLine="7590" w:firstLineChars="2700"/>
        <w:rPr>
          <w:rFonts w:ascii="宋体" w:hAnsi="宋体"/>
          <w:b/>
          <w:kern w:val="0"/>
          <w:sz w:val="28"/>
          <w:szCs w:val="28"/>
        </w:rPr>
      </w:pPr>
      <w:r>
        <w:rPr>
          <w:rFonts w:ascii="宋体" w:hAnsi="宋体"/>
          <w:b/>
          <w:kern w:val="0"/>
          <w:sz w:val="28"/>
          <w:szCs w:val="28"/>
        </w:rPr>
        <w:br w:type="page"/>
      </w:r>
    </w:p>
    <w:p w14:paraId="4E4AA715">
      <w:pPr>
        <w:pStyle w:val="37"/>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07D6D354">
      <w:pPr>
        <w:pStyle w:val="37"/>
        <w:spacing w:line="480" w:lineRule="auto"/>
        <w:ind w:firstLine="482"/>
        <w:jc w:val="center"/>
        <w:rPr>
          <w:rFonts w:ascii="宋体" w:hAnsi="宋体"/>
          <w:b/>
          <w:color w:val="auto"/>
          <w:kern w:val="0"/>
        </w:rPr>
      </w:pPr>
    </w:p>
    <w:p w14:paraId="0579E519">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355ADD69">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569660C8">
      <w:pPr>
        <w:spacing w:line="480" w:lineRule="auto"/>
        <w:rPr>
          <w:rFonts w:ascii="宋体" w:hAnsi="宋体"/>
          <w:color w:val="000000"/>
          <w:sz w:val="24"/>
        </w:rPr>
      </w:pPr>
    </w:p>
    <w:p w14:paraId="23E4ADDC">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2E29A0AF">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0E4A01E5">
      <w:pPr>
        <w:rPr>
          <w:rFonts w:ascii="宋体" w:hAnsi="宋体"/>
          <w:color w:val="000000"/>
        </w:rPr>
      </w:pPr>
    </w:p>
    <w:p w14:paraId="3756AFE3">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2DD36999">
      <w:pPr>
        <w:spacing w:line="360" w:lineRule="auto"/>
        <w:rPr>
          <w:rFonts w:ascii="宋体" w:hAnsi="宋体"/>
          <w:color w:val="000000"/>
          <w:sz w:val="24"/>
        </w:rPr>
      </w:pPr>
    </w:p>
    <w:p w14:paraId="4CCAC11F">
      <w:pPr>
        <w:spacing w:line="360" w:lineRule="auto"/>
        <w:rPr>
          <w:rFonts w:ascii="宋体" w:hAnsi="宋体"/>
          <w:color w:val="000000"/>
          <w:sz w:val="18"/>
          <w:szCs w:val="1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35DEA4A3">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3524A7CE">
      <w:pPr>
        <w:widowControl/>
        <w:jc w:val="center"/>
        <w:rPr>
          <w:rFonts w:ascii="宋体" w:hAnsi="宋体"/>
          <w:sz w:val="24"/>
        </w:rPr>
      </w:pPr>
    </w:p>
    <w:p w14:paraId="72742802">
      <w:pPr>
        <w:pStyle w:val="37"/>
        <w:ind w:firstLine="0" w:firstLineChars="0"/>
        <w:rPr>
          <w:rFonts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143047E5">
      <w:pPr>
        <w:pStyle w:val="37"/>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78D25747">
      <w:pPr>
        <w:pStyle w:val="37"/>
        <w:rPr>
          <w:rFonts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29142888">
      <w:pPr>
        <w:pStyle w:val="37"/>
        <w:rPr>
          <w:rFonts w:hint="eastAsia" w:ascii="宋体" w:hAnsi="宋体"/>
          <w:color w:val="auto"/>
          <w:kern w:val="0"/>
          <w:szCs w:val="21"/>
          <w:highlight w:val="none"/>
          <w:lang w:val="en-US" w:eastAsia="zh-CN"/>
        </w:rPr>
      </w:pPr>
      <w:r>
        <w:rPr>
          <w:rFonts w:hint="eastAsia" w:ascii="宋体" w:hAnsi="宋体"/>
          <w:color w:val="auto"/>
          <w:highlight w:val="none"/>
        </w:rPr>
        <w:t>（3）</w:t>
      </w:r>
      <w:r>
        <w:rPr>
          <w:rFonts w:hint="eastAsia" w:ascii="宋体" w:hAnsi="宋体"/>
          <w:color w:val="auto"/>
          <w:kern w:val="0"/>
          <w:szCs w:val="21"/>
          <w:highlight w:val="none"/>
          <w:lang w:val="en-US" w:eastAsia="zh-CN"/>
        </w:rPr>
        <w:t>资质证明文件、安全生产许可证</w:t>
      </w:r>
    </w:p>
    <w:p w14:paraId="5F2B5080">
      <w:pPr>
        <w:pStyle w:val="37"/>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（4）作业人员</w:t>
      </w:r>
      <w:r>
        <w:rPr>
          <w:rFonts w:hint="eastAsia" w:ascii="宋体" w:hAnsi="宋体"/>
          <w:color w:val="auto"/>
          <w:kern w:val="0"/>
          <w:szCs w:val="21"/>
          <w:highlight w:val="none"/>
        </w:rPr>
        <w:t>相关专业资质</w:t>
      </w:r>
    </w:p>
    <w:p w14:paraId="7A24211B">
      <w:pPr>
        <w:rPr>
          <w:rFonts w:ascii="宋体" w:hAnsi="宋体"/>
          <w:sz w:val="24"/>
        </w:rPr>
      </w:pPr>
      <w:r>
        <w:rPr>
          <w:rFonts w:ascii="宋体" w:hAnsi="宋体"/>
          <w:sz w:val="24"/>
        </w:rPr>
        <w:br w:type="page"/>
      </w:r>
    </w:p>
    <w:p w14:paraId="0A837FF3">
      <w:pPr>
        <w:widowControl/>
        <w:jc w:val="center"/>
        <w:rPr>
          <w:rFonts w:hint="eastAsia" w:ascii="宋体" w:hAnsi="宋体"/>
          <w:b/>
          <w:kern w:val="0"/>
          <w:sz w:val="32"/>
          <w:szCs w:val="28"/>
          <w:lang w:val="en-US" w:eastAsia="zh-CN"/>
        </w:rPr>
      </w:pPr>
      <w:r>
        <w:rPr>
          <w:rFonts w:hint="eastAsia" w:ascii="宋体" w:hAnsi="宋体"/>
          <w:b/>
          <w:kern w:val="0"/>
          <w:sz w:val="32"/>
          <w:szCs w:val="28"/>
          <w:lang w:val="en-US" w:eastAsia="zh-CN"/>
        </w:rPr>
        <w:t>附件4  报价函</w:t>
      </w:r>
    </w:p>
    <w:p w14:paraId="6AAB9871">
      <w:pPr>
        <w:widowControl/>
        <w:jc w:val="center"/>
        <w:rPr>
          <w:rFonts w:hint="default" w:ascii="宋体" w:hAnsi="宋体"/>
          <w:b w:val="0"/>
          <w:bCs/>
          <w:kern w:val="0"/>
          <w:sz w:val="28"/>
          <w:szCs w:val="28"/>
          <w:lang w:val="en-US" w:eastAsia="zh-CN"/>
        </w:rPr>
      </w:pPr>
      <w:r>
        <w:rPr>
          <w:rFonts w:hint="eastAsia" w:ascii="宋体" w:hAnsi="宋体"/>
          <w:b w:val="0"/>
          <w:bCs/>
          <w:kern w:val="0"/>
          <w:sz w:val="28"/>
          <w:szCs w:val="28"/>
          <w:lang w:val="en-US" w:eastAsia="zh-CN"/>
        </w:rPr>
        <w:t>格式自拟</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2A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4A15B">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04A15B">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2F8B2">
    <w:pPr>
      <w:pStyle w:val="12"/>
      <w:jc w:val="center"/>
      <w:rPr>
        <w:cap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7DD7A">
                          <w:pPr>
                            <w:pStyle w:val="12"/>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97DD7A">
                    <w:pPr>
                      <w:pStyle w:val="12"/>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v:textbox>
            </v:shape>
          </w:pict>
        </mc:Fallback>
      </mc:AlternateContent>
    </w:r>
  </w:p>
  <w:p w14:paraId="73FFBD7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7183">
    <w:pPr>
      <w:pStyle w:val="13"/>
      <w:pBdr>
        <w:bottom w:val="thinThickMediumGap" w:color="auto" w:sz="18" w:space="1"/>
      </w:pBdr>
      <w:jc w:val="distribute"/>
      <w:rPr>
        <w:rFonts w:ascii="宋体" w:hAnsi="宋体" w:cs="宋体"/>
        <w:b/>
      </w:rPr>
    </w:pPr>
  </w:p>
  <w:p w14:paraId="2141E8F8">
    <w:pPr>
      <w:pStyle w:val="13"/>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80374">
    <w:pPr>
      <w:pStyle w:val="13"/>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7E79"/>
    <w:multiLevelType w:val="singleLevel"/>
    <w:tmpl w:val="86E27E79"/>
    <w:lvl w:ilvl="0" w:tentative="0">
      <w:start w:val="1"/>
      <w:numFmt w:val="decimal"/>
      <w:suff w:val="nothing"/>
      <w:lvlText w:val="%1、"/>
      <w:lvlJc w:val="left"/>
    </w:lvl>
  </w:abstractNum>
  <w:abstractNum w:abstractNumId="1">
    <w:nsid w:val="8BE35A6C"/>
    <w:multiLevelType w:val="singleLevel"/>
    <w:tmpl w:val="8BE35A6C"/>
    <w:lvl w:ilvl="0" w:tentative="0">
      <w:start w:val="1"/>
      <w:numFmt w:val="decimal"/>
      <w:suff w:val="nothing"/>
      <w:lvlText w:val="（%1）"/>
      <w:lvlJc w:val="left"/>
      <w:pPr>
        <w:ind w:left="420" w:firstLine="0"/>
      </w:pPr>
    </w:lvl>
  </w:abstractNum>
  <w:abstractNum w:abstractNumId="2">
    <w:nsid w:val="AC7EC021"/>
    <w:multiLevelType w:val="singleLevel"/>
    <w:tmpl w:val="AC7EC021"/>
    <w:lvl w:ilvl="0" w:tentative="0">
      <w:start w:val="1"/>
      <w:numFmt w:val="decimal"/>
      <w:suff w:val="nothing"/>
      <w:lvlText w:val="%1、"/>
      <w:lvlJc w:val="left"/>
    </w:lvl>
  </w:abstractNum>
  <w:abstractNum w:abstractNumId="3">
    <w:nsid w:val="C12328F0"/>
    <w:multiLevelType w:val="singleLevel"/>
    <w:tmpl w:val="C12328F0"/>
    <w:lvl w:ilvl="0" w:tentative="0">
      <w:start w:val="2"/>
      <w:numFmt w:val="decimal"/>
      <w:suff w:val="space"/>
      <w:lvlText w:val="%1."/>
      <w:lvlJc w:val="left"/>
    </w:lvl>
  </w:abstractNum>
  <w:abstractNum w:abstractNumId="4">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513807E"/>
    <w:multiLevelType w:val="singleLevel"/>
    <w:tmpl w:val="7513807E"/>
    <w:lvl w:ilvl="0" w:tentative="0">
      <w:start w:val="5"/>
      <w:numFmt w:val="decimal"/>
      <w:lvlText w:val="%1."/>
      <w:lvlJc w:val="left"/>
      <w:pPr>
        <w:tabs>
          <w:tab w:val="left" w:pos="312"/>
        </w:tabs>
      </w:pPr>
    </w:lvl>
  </w:abstractNum>
  <w:num w:numId="1">
    <w:abstractNumId w:val="5"/>
  </w:num>
  <w:num w:numId="2">
    <w:abstractNumId w:val="7"/>
  </w:num>
  <w:num w:numId="3">
    <w:abstractNumId w:val="1"/>
  </w:num>
  <w:num w:numId="4">
    <w:abstractNumId w:val="3"/>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3535A"/>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71875"/>
    <w:rsid w:val="002769D8"/>
    <w:rsid w:val="00277025"/>
    <w:rsid w:val="002A4E7C"/>
    <w:rsid w:val="002A74FC"/>
    <w:rsid w:val="002C7821"/>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A5B13"/>
    <w:rsid w:val="004B6BE1"/>
    <w:rsid w:val="004C1C65"/>
    <w:rsid w:val="004C4ED6"/>
    <w:rsid w:val="004C7FDE"/>
    <w:rsid w:val="004D0768"/>
    <w:rsid w:val="004D0830"/>
    <w:rsid w:val="00506E72"/>
    <w:rsid w:val="0051340F"/>
    <w:rsid w:val="00530CFA"/>
    <w:rsid w:val="00535B40"/>
    <w:rsid w:val="0055580E"/>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20504"/>
    <w:rsid w:val="00723322"/>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D4DED"/>
    <w:rsid w:val="008E41A1"/>
    <w:rsid w:val="008E78AD"/>
    <w:rsid w:val="00916B62"/>
    <w:rsid w:val="009175B4"/>
    <w:rsid w:val="00937BE3"/>
    <w:rsid w:val="00956A25"/>
    <w:rsid w:val="0098054D"/>
    <w:rsid w:val="00990130"/>
    <w:rsid w:val="009A1ED4"/>
    <w:rsid w:val="009D202F"/>
    <w:rsid w:val="009E1A97"/>
    <w:rsid w:val="009E2AED"/>
    <w:rsid w:val="009F2F18"/>
    <w:rsid w:val="009F5130"/>
    <w:rsid w:val="00A11B03"/>
    <w:rsid w:val="00A129FC"/>
    <w:rsid w:val="00A323FB"/>
    <w:rsid w:val="00A577A1"/>
    <w:rsid w:val="00A72AF6"/>
    <w:rsid w:val="00A90A78"/>
    <w:rsid w:val="00AA0104"/>
    <w:rsid w:val="00AA2C25"/>
    <w:rsid w:val="00AA6699"/>
    <w:rsid w:val="00AA6B15"/>
    <w:rsid w:val="00AA72B3"/>
    <w:rsid w:val="00AC484F"/>
    <w:rsid w:val="00AC5B2B"/>
    <w:rsid w:val="00AF07CF"/>
    <w:rsid w:val="00AF779C"/>
    <w:rsid w:val="00B00FFE"/>
    <w:rsid w:val="00B24BD3"/>
    <w:rsid w:val="00B27073"/>
    <w:rsid w:val="00B80808"/>
    <w:rsid w:val="00B81798"/>
    <w:rsid w:val="00B836A3"/>
    <w:rsid w:val="00B927C3"/>
    <w:rsid w:val="00BA3B67"/>
    <w:rsid w:val="00BB26FC"/>
    <w:rsid w:val="00BC0E0F"/>
    <w:rsid w:val="00BC1DCA"/>
    <w:rsid w:val="00BC4539"/>
    <w:rsid w:val="00C16F96"/>
    <w:rsid w:val="00C41126"/>
    <w:rsid w:val="00C516D1"/>
    <w:rsid w:val="00C63D4D"/>
    <w:rsid w:val="00C77A33"/>
    <w:rsid w:val="00CA2115"/>
    <w:rsid w:val="00CA6278"/>
    <w:rsid w:val="00CC2A62"/>
    <w:rsid w:val="00CD536C"/>
    <w:rsid w:val="00CF2B7E"/>
    <w:rsid w:val="00CF44FD"/>
    <w:rsid w:val="00D3568B"/>
    <w:rsid w:val="00D64B0C"/>
    <w:rsid w:val="00D66967"/>
    <w:rsid w:val="00D755A5"/>
    <w:rsid w:val="00D75A6B"/>
    <w:rsid w:val="00D7614C"/>
    <w:rsid w:val="00D76D3D"/>
    <w:rsid w:val="00D937E7"/>
    <w:rsid w:val="00DA43C0"/>
    <w:rsid w:val="00DA5374"/>
    <w:rsid w:val="00DA56BE"/>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75715"/>
    <w:rsid w:val="00E75A90"/>
    <w:rsid w:val="00E962EC"/>
    <w:rsid w:val="00EB51BD"/>
    <w:rsid w:val="00ED5E43"/>
    <w:rsid w:val="00EE630B"/>
    <w:rsid w:val="00EF4098"/>
    <w:rsid w:val="00F06F7B"/>
    <w:rsid w:val="00F33F0A"/>
    <w:rsid w:val="00F42DFD"/>
    <w:rsid w:val="00F42E95"/>
    <w:rsid w:val="00F827C7"/>
    <w:rsid w:val="00F96FD9"/>
    <w:rsid w:val="00FA1BA8"/>
    <w:rsid w:val="00FA49D4"/>
    <w:rsid w:val="00FC5408"/>
    <w:rsid w:val="00FC64A5"/>
    <w:rsid w:val="00FD7184"/>
    <w:rsid w:val="014677F2"/>
    <w:rsid w:val="0252552D"/>
    <w:rsid w:val="039F26C9"/>
    <w:rsid w:val="03AC4D68"/>
    <w:rsid w:val="07CF7529"/>
    <w:rsid w:val="07F33D53"/>
    <w:rsid w:val="08470CC8"/>
    <w:rsid w:val="09BB0FF2"/>
    <w:rsid w:val="0AA3501D"/>
    <w:rsid w:val="0B8E5E80"/>
    <w:rsid w:val="0BAF6137"/>
    <w:rsid w:val="0C9D4FE4"/>
    <w:rsid w:val="10B85A49"/>
    <w:rsid w:val="11022000"/>
    <w:rsid w:val="11166965"/>
    <w:rsid w:val="11AD6919"/>
    <w:rsid w:val="131161CB"/>
    <w:rsid w:val="14962736"/>
    <w:rsid w:val="15EB2077"/>
    <w:rsid w:val="16506CFC"/>
    <w:rsid w:val="16D00B4A"/>
    <w:rsid w:val="1B1D2ECC"/>
    <w:rsid w:val="1D5340D5"/>
    <w:rsid w:val="1D5B41AA"/>
    <w:rsid w:val="1E2F712F"/>
    <w:rsid w:val="1E6502D1"/>
    <w:rsid w:val="21592A0A"/>
    <w:rsid w:val="2605281B"/>
    <w:rsid w:val="262C673B"/>
    <w:rsid w:val="29512B72"/>
    <w:rsid w:val="29D92176"/>
    <w:rsid w:val="2AF77747"/>
    <w:rsid w:val="2ED4259D"/>
    <w:rsid w:val="30014ABC"/>
    <w:rsid w:val="32CF7549"/>
    <w:rsid w:val="3307663B"/>
    <w:rsid w:val="33E330E5"/>
    <w:rsid w:val="364E146B"/>
    <w:rsid w:val="36C66A25"/>
    <w:rsid w:val="37782570"/>
    <w:rsid w:val="37A22B83"/>
    <w:rsid w:val="38BC27A6"/>
    <w:rsid w:val="38D16C5F"/>
    <w:rsid w:val="3A06527E"/>
    <w:rsid w:val="3AC874E3"/>
    <w:rsid w:val="3B753F05"/>
    <w:rsid w:val="3E111FAD"/>
    <w:rsid w:val="3E7346AA"/>
    <w:rsid w:val="3E7E68EE"/>
    <w:rsid w:val="438254A7"/>
    <w:rsid w:val="45322BE0"/>
    <w:rsid w:val="483408A5"/>
    <w:rsid w:val="4AE1509D"/>
    <w:rsid w:val="4E8D6C9B"/>
    <w:rsid w:val="4FAE474F"/>
    <w:rsid w:val="531540B7"/>
    <w:rsid w:val="56093F5F"/>
    <w:rsid w:val="57314EF4"/>
    <w:rsid w:val="5BC81896"/>
    <w:rsid w:val="604F627F"/>
    <w:rsid w:val="62560FBE"/>
    <w:rsid w:val="62610BCF"/>
    <w:rsid w:val="66EE541F"/>
    <w:rsid w:val="67114A94"/>
    <w:rsid w:val="698971FC"/>
    <w:rsid w:val="69E7514E"/>
    <w:rsid w:val="6B5C44B8"/>
    <w:rsid w:val="6BDC6C36"/>
    <w:rsid w:val="6EDA6DB9"/>
    <w:rsid w:val="6F4F078F"/>
    <w:rsid w:val="708B55FE"/>
    <w:rsid w:val="71D37C38"/>
    <w:rsid w:val="72030E1E"/>
    <w:rsid w:val="762A44F2"/>
    <w:rsid w:val="772B173D"/>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260" w:hanging="420"/>
    </w:pPr>
    <w:rPr>
      <w:szCs w:val="20"/>
    </w:rPr>
  </w:style>
  <w:style w:type="paragraph" w:styleId="6">
    <w:name w:val="annotation text"/>
    <w:basedOn w:val="1"/>
    <w:link w:val="30"/>
    <w:unhideWhenUsed/>
    <w:qFormat/>
    <w:uiPriority w:val="99"/>
    <w:pPr>
      <w:jc w:val="left"/>
    </w:pPr>
  </w:style>
  <w:style w:type="paragraph" w:styleId="7">
    <w:name w:val="Body Text"/>
    <w:basedOn w:val="1"/>
    <w:next w:val="1"/>
    <w:qFormat/>
    <w:uiPriority w:val="0"/>
    <w:pPr>
      <w:spacing w:after="120"/>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Date"/>
    <w:basedOn w:val="1"/>
    <w:next w:val="1"/>
    <w:link w:val="59"/>
    <w:semiHidden/>
    <w:unhideWhenUsed/>
    <w:qFormat/>
    <w:uiPriority w:val="99"/>
    <w:pPr>
      <w:ind w:left="100" w:leftChars="2500"/>
    </w:pPr>
  </w:style>
  <w:style w:type="paragraph" w:styleId="10">
    <w:name w:val="Body Text Indent 2"/>
    <w:basedOn w:val="1"/>
    <w:link w:val="32"/>
    <w:qFormat/>
    <w:uiPriority w:val="99"/>
    <w:pPr>
      <w:ind w:firstLine="480"/>
    </w:pPr>
    <w:rPr>
      <w:rFonts w:ascii="仿宋_GB2312" w:eastAsia="仿宋_GB2312"/>
      <w:sz w:val="24"/>
      <w:szCs w:val="20"/>
    </w:rPr>
  </w:style>
  <w:style w:type="paragraph" w:styleId="11">
    <w:name w:val="Balloon Text"/>
    <w:basedOn w:val="1"/>
    <w:link w:val="33"/>
    <w:unhideWhenUsed/>
    <w:qFormat/>
    <w:uiPriority w:val="99"/>
    <w:rPr>
      <w:sz w:val="18"/>
      <w:szCs w:val="18"/>
    </w:rPr>
  </w:style>
  <w:style w:type="paragraph" w:styleId="12">
    <w:name w:val="footer"/>
    <w:basedOn w:val="1"/>
    <w:link w:val="34"/>
    <w:unhideWhenUsed/>
    <w:qFormat/>
    <w:uiPriority w:val="99"/>
    <w:pPr>
      <w:tabs>
        <w:tab w:val="center" w:pos="4153"/>
        <w:tab w:val="right" w:pos="8306"/>
      </w:tabs>
      <w:snapToGrid w:val="0"/>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spacing w:beforeAutospacing="1" w:afterAutospacing="1"/>
      <w:jc w:val="left"/>
    </w:pPr>
    <w:rPr>
      <w:kern w:val="0"/>
      <w:sz w:val="24"/>
    </w:rPr>
  </w:style>
  <w:style w:type="paragraph" w:styleId="18">
    <w:name w:val="annotation subject"/>
    <w:basedOn w:val="6"/>
    <w:next w:val="6"/>
    <w:link w:val="31"/>
    <w:unhideWhenUsed/>
    <w:qFormat/>
    <w:uiPriority w:val="99"/>
    <w:rPr>
      <w:b/>
      <w:bCs/>
    </w:rPr>
  </w:style>
  <w:style w:type="table" w:styleId="20">
    <w:name w:val="Table Grid"/>
    <w:basedOn w:val="1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FollowedHyperlink"/>
    <w:basedOn w:val="21"/>
    <w:unhideWhenUsed/>
    <w:qFormat/>
    <w:uiPriority w:val="99"/>
    <w:rPr>
      <w:color w:val="800080"/>
      <w:u w:val="single"/>
    </w:rPr>
  </w:style>
  <w:style w:type="character" w:styleId="24">
    <w:name w:val="Hyperlink"/>
    <w:basedOn w:val="21"/>
    <w:unhideWhenUsed/>
    <w:qFormat/>
    <w:uiPriority w:val="99"/>
    <w:rPr>
      <w:color w:val="0000FF"/>
      <w:u w:val="single"/>
    </w:rPr>
  </w:style>
  <w:style w:type="character" w:styleId="25">
    <w:name w:val="annotation reference"/>
    <w:basedOn w:val="21"/>
    <w:unhideWhenUsed/>
    <w:qFormat/>
    <w:uiPriority w:val="99"/>
    <w:rPr>
      <w:sz w:val="21"/>
      <w:szCs w:val="21"/>
    </w:rPr>
  </w:style>
  <w:style w:type="paragraph" w:customStyle="1" w:styleId="26">
    <w:name w:val="列出段落1"/>
    <w:basedOn w:val="1"/>
    <w:qFormat/>
    <w:uiPriority w:val="34"/>
    <w:pPr>
      <w:ind w:firstLine="420" w:firstLineChars="200"/>
    </w:pPr>
  </w:style>
  <w:style w:type="character" w:customStyle="1" w:styleId="27">
    <w:name w:val="标题 1 Char"/>
    <w:basedOn w:val="21"/>
    <w:link w:val="2"/>
    <w:qFormat/>
    <w:uiPriority w:val="0"/>
    <w:rPr>
      <w:rFonts w:ascii="Times New Roman" w:hAnsi="Times New Roman" w:eastAsia="宋体" w:cs="Times New Roman"/>
      <w:b/>
      <w:bCs/>
      <w:kern w:val="44"/>
      <w:sz w:val="44"/>
      <w:szCs w:val="44"/>
    </w:rPr>
  </w:style>
  <w:style w:type="character" w:customStyle="1" w:styleId="28">
    <w:name w:val="标题 2 Char"/>
    <w:basedOn w:val="21"/>
    <w:link w:val="3"/>
    <w:qFormat/>
    <w:uiPriority w:val="0"/>
    <w:rPr>
      <w:rFonts w:ascii="Arial" w:hAnsi="Arial" w:eastAsia="黑体" w:cs="Times New Roman"/>
      <w:b/>
      <w:bCs/>
      <w:sz w:val="32"/>
      <w:szCs w:val="32"/>
    </w:rPr>
  </w:style>
  <w:style w:type="character" w:customStyle="1" w:styleId="29">
    <w:name w:val="标题 3 Char"/>
    <w:basedOn w:val="21"/>
    <w:link w:val="4"/>
    <w:qFormat/>
    <w:uiPriority w:val="0"/>
    <w:rPr>
      <w:rFonts w:ascii="Times New Roman" w:hAnsi="Times New Roman" w:eastAsia="宋体" w:cs="Times New Roman"/>
      <w:b/>
      <w:bCs/>
      <w:sz w:val="32"/>
      <w:szCs w:val="32"/>
    </w:rPr>
  </w:style>
  <w:style w:type="character" w:customStyle="1" w:styleId="30">
    <w:name w:val="批注文字 Char"/>
    <w:basedOn w:val="21"/>
    <w:link w:val="6"/>
    <w:qFormat/>
    <w:uiPriority w:val="99"/>
    <w:rPr>
      <w:rFonts w:ascii="Times New Roman" w:hAnsi="Times New Roman" w:eastAsia="宋体" w:cs="Times New Roman"/>
      <w:szCs w:val="24"/>
    </w:rPr>
  </w:style>
  <w:style w:type="character" w:customStyle="1" w:styleId="31">
    <w:name w:val="批注主题 Char"/>
    <w:basedOn w:val="30"/>
    <w:link w:val="18"/>
    <w:qFormat/>
    <w:uiPriority w:val="99"/>
    <w:rPr>
      <w:rFonts w:ascii="Times New Roman" w:hAnsi="Times New Roman" w:eastAsia="宋体" w:cs="Times New Roman"/>
      <w:b/>
      <w:bCs/>
      <w:szCs w:val="24"/>
    </w:rPr>
  </w:style>
  <w:style w:type="character" w:customStyle="1" w:styleId="32">
    <w:name w:val="正文文本缩进 2 Char"/>
    <w:basedOn w:val="21"/>
    <w:link w:val="10"/>
    <w:qFormat/>
    <w:uiPriority w:val="99"/>
    <w:rPr>
      <w:rFonts w:ascii="仿宋_GB2312" w:hAnsi="Times New Roman" w:eastAsia="仿宋_GB2312" w:cs="Times New Roman"/>
      <w:sz w:val="24"/>
      <w:szCs w:val="20"/>
    </w:rPr>
  </w:style>
  <w:style w:type="character" w:customStyle="1" w:styleId="33">
    <w:name w:val="批注框文本 Char"/>
    <w:basedOn w:val="21"/>
    <w:link w:val="11"/>
    <w:qFormat/>
    <w:uiPriority w:val="99"/>
    <w:rPr>
      <w:rFonts w:ascii="Times New Roman" w:hAnsi="Times New Roman" w:eastAsia="宋体" w:cs="Times New Roman"/>
      <w:sz w:val="18"/>
      <w:szCs w:val="18"/>
    </w:rPr>
  </w:style>
  <w:style w:type="character" w:customStyle="1" w:styleId="34">
    <w:name w:val="页脚 Char"/>
    <w:basedOn w:val="21"/>
    <w:link w:val="12"/>
    <w:qFormat/>
    <w:uiPriority w:val="99"/>
    <w:rPr>
      <w:rFonts w:ascii="Times New Roman" w:hAnsi="Times New Roman" w:eastAsia="宋体" w:cs="Times New Roman"/>
      <w:sz w:val="18"/>
      <w:szCs w:val="18"/>
    </w:rPr>
  </w:style>
  <w:style w:type="character" w:customStyle="1" w:styleId="35">
    <w:name w:val="页眉 Char"/>
    <w:basedOn w:val="21"/>
    <w:link w:val="13"/>
    <w:qFormat/>
    <w:uiPriority w:val="99"/>
    <w:rPr>
      <w:rFonts w:ascii="Times New Roman" w:hAnsi="Times New Roman" w:eastAsia="宋体" w:cs="Times New Roman"/>
      <w:sz w:val="18"/>
      <w:szCs w:val="18"/>
    </w:rPr>
  </w:style>
  <w:style w:type="paragraph" w:customStyle="1" w:styleId="36">
    <w:name w:val="样式2"/>
    <w:basedOn w:val="1"/>
    <w:qFormat/>
    <w:uiPriority w:val="0"/>
    <w:pPr>
      <w:adjustRightInd w:val="0"/>
      <w:spacing w:line="410" w:lineRule="atLeast"/>
      <w:textAlignment w:val="baseline"/>
    </w:pPr>
    <w:rPr>
      <w:kern w:val="0"/>
      <w:sz w:val="24"/>
      <w:szCs w:val="20"/>
    </w:rPr>
  </w:style>
  <w:style w:type="paragraph" w:customStyle="1" w:styleId="37">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8">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9">
    <w:name w:val="无间隔1"/>
    <w:link w:val="57"/>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4">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6">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7">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1">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2">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4">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6">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7">
    <w:name w:val="无间隔 Char"/>
    <w:basedOn w:val="21"/>
    <w:link w:val="39"/>
    <w:qFormat/>
    <w:uiPriority w:val="1"/>
    <w:rPr>
      <w:rFonts w:ascii="Times New Roman" w:hAnsi="Times New Roman" w:eastAsia="宋体" w:cs="Times New Roman"/>
      <w:szCs w:val="24"/>
    </w:rPr>
  </w:style>
  <w:style w:type="paragraph" w:styleId="58">
    <w:name w:val="List Paragraph"/>
    <w:basedOn w:val="1"/>
    <w:qFormat/>
    <w:uiPriority w:val="99"/>
    <w:pPr>
      <w:ind w:firstLine="420" w:firstLineChars="200"/>
    </w:pPr>
  </w:style>
  <w:style w:type="character" w:customStyle="1" w:styleId="59">
    <w:name w:val="日期 Char"/>
    <w:basedOn w:val="21"/>
    <w:link w:val="9"/>
    <w:semiHidden/>
    <w:qFormat/>
    <w:uiPriority w:val="99"/>
    <w:rPr>
      <w:rFonts w:ascii="Times New Roman" w:hAnsi="Times New Roman" w:eastAsia="宋体" w:cs="Times New Roman"/>
      <w:szCs w:val="24"/>
    </w:rPr>
  </w:style>
  <w:style w:type="paragraph" w:customStyle="1" w:styleId="6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2">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282A8-9A82-410D-AF0B-F79215CB7EA9}">
  <ds:schemaRefs/>
</ds:datastoreItem>
</file>

<file path=docProps/app.xml><?xml version="1.0" encoding="utf-8"?>
<Properties xmlns="http://schemas.openxmlformats.org/officeDocument/2006/extended-properties" xmlns:vt="http://schemas.openxmlformats.org/officeDocument/2006/docPropsVTypes">
  <Template>Normal</Template>
  <Pages>22</Pages>
  <Words>12465</Words>
  <Characters>13235</Characters>
  <Lines>59</Lines>
  <Paragraphs>16</Paragraphs>
  <TotalTime>39</TotalTime>
  <ScaleCrop>false</ScaleCrop>
  <LinksUpToDate>false</LinksUpToDate>
  <CharactersWithSpaces>13949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2022-02-10T11:45:00Z</dcterms:created>
  <dc:creator>杨倩</dc:creator>
  <cp:lastModifiedBy>envy.</cp:lastModifiedBy>
  <dcterms:modified xsi:type="dcterms:W3CDTF">2025-10-20T07:06:20Z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1B303F6A58CF4BAEBF2BEEFECC347198_13</vt:lpwstr>
  </property>
  <property fmtid="{D5CDD505-2E9C-101B-9397-08002B2CF9AE}" pid="4" name="KSOTemplateDocerSaveRecord">
    <vt:lpwstr>eyJoZGlkIjoiNWQ5NmI4N2NlMWNiMzBkNDJiYWM1NGJhNDg0MDViODUiLCJ1c2VySWQiOiI0NTQ4MDg0MDgifQ==</vt:lpwstr>
  </property>
</Properties>
</file>