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D4E7C">
      <w:pPr>
        <w:jc w:val="left"/>
        <w:rPr>
          <w:rFonts w:ascii="宋体" w:hAnsi="宋体" w:cs="宋体"/>
          <w:b/>
          <w:color w:val="auto"/>
          <w:sz w:val="36"/>
          <w:szCs w:val="36"/>
          <w:highlight w:val="none"/>
          <w:lang w:bidi="ar"/>
        </w:rPr>
      </w:pPr>
      <w:bookmarkStart w:id="0" w:name="_Toc416703361"/>
      <w:bookmarkStart w:id="1" w:name="_Toc417896502"/>
      <w:bookmarkStart w:id="2" w:name="_Toc417895952"/>
      <w:bookmarkStart w:id="3" w:name="_Toc417896685"/>
      <w:bookmarkStart w:id="4" w:name="_Toc416702955"/>
      <w:r>
        <w:rPr>
          <w:rFonts w:hint="eastAsia" w:cs="宋体"/>
          <w:b/>
          <w:color w:val="auto"/>
          <w:sz w:val="32"/>
          <w:szCs w:val="36"/>
          <w:highlight w:val="none"/>
        </w:rPr>
        <w:t>项目名称：</w:t>
      </w:r>
      <w:r>
        <w:rPr>
          <w:rFonts w:hint="eastAsia" w:ascii="Times New Roman" w:hAnsi="Times New Roman" w:eastAsia="宋体" w:cs="宋体"/>
          <w:b/>
          <w:color w:val="auto"/>
          <w:sz w:val="32"/>
          <w:szCs w:val="36"/>
          <w:highlight w:val="none"/>
        </w:rPr>
        <w:t>含氟硅胶及硅尾矿石英砂资源化利用研究开发项目高低压柜更换工程</w:t>
      </w:r>
    </w:p>
    <w:p w14:paraId="1F8C0D1A">
      <w:pPr>
        <w:ind w:left="3370" w:hanging="2527" w:hangingChars="1049"/>
        <w:jc w:val="left"/>
        <w:rPr>
          <w:rFonts w:hint="default" w:eastAsia="宋体" w:cs="宋体"/>
          <w:b/>
          <w:color w:val="auto"/>
          <w:sz w:val="24"/>
          <w:highlight w:val="none"/>
          <w:lang w:val="en-US" w:eastAsia="zh-CN"/>
        </w:rPr>
      </w:pPr>
    </w:p>
    <w:p w14:paraId="7454C7FB">
      <w:pPr>
        <w:ind w:left="2860" w:hanging="2860" w:hangingChars="1300"/>
        <w:jc w:val="center"/>
        <w:rPr>
          <w:rFonts w:cs="宋体"/>
          <w:color w:val="auto"/>
          <w:kern w:val="0"/>
          <w:sz w:val="22"/>
          <w:highlight w:val="none"/>
        </w:rPr>
      </w:pPr>
    </w:p>
    <w:p w14:paraId="0B13DE45">
      <w:pPr>
        <w:ind w:left="2860" w:hanging="2860" w:hangingChars="1300"/>
        <w:jc w:val="center"/>
        <w:rPr>
          <w:rFonts w:cs="宋体"/>
          <w:color w:val="auto"/>
          <w:kern w:val="0"/>
          <w:sz w:val="22"/>
          <w:highlight w:val="none"/>
        </w:rPr>
      </w:pPr>
    </w:p>
    <w:bookmarkEnd w:id="0"/>
    <w:bookmarkEnd w:id="1"/>
    <w:bookmarkEnd w:id="2"/>
    <w:bookmarkEnd w:id="3"/>
    <w:bookmarkEnd w:id="4"/>
    <w:p w14:paraId="5D8657D8">
      <w:pPr>
        <w:autoSpaceDE w:val="0"/>
        <w:autoSpaceDN w:val="0"/>
        <w:adjustRightInd w:val="0"/>
        <w:snapToGrid w:val="0"/>
        <w:spacing w:line="360" w:lineRule="auto"/>
        <w:rPr>
          <w:rFonts w:cs="宋体"/>
          <w:b/>
          <w:color w:val="auto"/>
          <w:kern w:val="0"/>
          <w:sz w:val="32"/>
          <w:szCs w:val="32"/>
          <w:highlight w:val="none"/>
        </w:rPr>
      </w:pPr>
      <w:r>
        <w:rPr>
          <w:rFonts w:hint="eastAsia" w:cs="宋体"/>
          <w:b/>
          <w:color w:val="auto"/>
          <w:kern w:val="0"/>
          <w:sz w:val="32"/>
          <w:szCs w:val="32"/>
          <w:highlight w:val="none"/>
          <w:lang w:val="en-US" w:eastAsia="zh-CN"/>
        </w:rPr>
        <w:t>询比采购</w:t>
      </w:r>
      <w:r>
        <w:rPr>
          <w:rFonts w:hint="eastAsia" w:cs="宋体"/>
          <w:b/>
          <w:color w:val="auto"/>
          <w:kern w:val="0"/>
          <w:sz w:val="32"/>
          <w:szCs w:val="32"/>
          <w:highlight w:val="none"/>
        </w:rPr>
        <w:t>编号：</w:t>
      </w:r>
      <w:r>
        <w:rPr>
          <w:rFonts w:hint="eastAsia" w:ascii="Times New Roman" w:hAnsi="Times New Roman" w:eastAsia="宋体" w:cs="宋体"/>
          <w:b/>
          <w:color w:val="auto"/>
          <w:kern w:val="0"/>
          <w:sz w:val="32"/>
          <w:szCs w:val="32"/>
          <w:highlight w:val="none"/>
          <w:lang w:val="en-US" w:eastAsia="zh-CN"/>
        </w:rPr>
        <w:t xml:space="preserve">CPIC-GCSGCG-2026-012 </w:t>
      </w:r>
    </w:p>
    <w:p w14:paraId="65F91886">
      <w:pPr>
        <w:ind w:firstLine="556"/>
        <w:rPr>
          <w:rFonts w:cs="宋体"/>
          <w:color w:val="auto"/>
          <w:highlight w:val="none"/>
        </w:rPr>
      </w:pPr>
    </w:p>
    <w:p w14:paraId="45E17D38">
      <w:pPr>
        <w:tabs>
          <w:tab w:val="left" w:pos="6705"/>
          <w:tab w:val="left" w:pos="7065"/>
        </w:tabs>
        <w:autoSpaceDE w:val="0"/>
        <w:autoSpaceDN w:val="0"/>
        <w:adjustRightInd w:val="0"/>
        <w:snapToGrid w:val="0"/>
        <w:spacing w:line="360" w:lineRule="auto"/>
        <w:ind w:firstLine="530"/>
        <w:jc w:val="left"/>
        <w:rPr>
          <w:rFonts w:cs="宋体"/>
          <w:color w:val="auto"/>
          <w:kern w:val="0"/>
          <w:sz w:val="20"/>
          <w:szCs w:val="20"/>
          <w:highlight w:val="none"/>
        </w:rPr>
      </w:pPr>
      <w:r>
        <w:rPr>
          <w:rFonts w:hint="eastAsia" w:cs="宋体"/>
          <w:color w:val="auto"/>
          <w:kern w:val="0"/>
          <w:sz w:val="20"/>
          <w:szCs w:val="20"/>
          <w:highlight w:val="none"/>
        </w:rPr>
        <w:tab/>
      </w:r>
      <w:r>
        <w:rPr>
          <w:rFonts w:hint="eastAsia" w:cs="宋体"/>
          <w:color w:val="auto"/>
          <w:kern w:val="0"/>
          <w:sz w:val="20"/>
          <w:szCs w:val="20"/>
          <w:highlight w:val="none"/>
        </w:rPr>
        <w:tab/>
      </w:r>
    </w:p>
    <w:p w14:paraId="5F9FDEC5">
      <w:pPr>
        <w:autoSpaceDE w:val="0"/>
        <w:autoSpaceDN w:val="0"/>
        <w:adjustRightInd w:val="0"/>
        <w:snapToGrid w:val="0"/>
        <w:spacing w:line="360" w:lineRule="auto"/>
        <w:ind w:firstLine="265"/>
        <w:rPr>
          <w:rFonts w:cs="宋体"/>
          <w:color w:val="auto"/>
          <w:kern w:val="0"/>
          <w:sz w:val="10"/>
          <w:szCs w:val="10"/>
          <w:highlight w:val="none"/>
        </w:rPr>
      </w:pPr>
    </w:p>
    <w:p w14:paraId="755E79B3">
      <w:pPr>
        <w:autoSpaceDE w:val="0"/>
        <w:autoSpaceDN w:val="0"/>
        <w:adjustRightInd w:val="0"/>
        <w:snapToGrid w:val="0"/>
        <w:spacing w:line="360" w:lineRule="auto"/>
        <w:ind w:firstLine="265"/>
        <w:jc w:val="center"/>
        <w:rPr>
          <w:rFonts w:cs="宋体"/>
          <w:color w:val="auto"/>
          <w:kern w:val="0"/>
          <w:sz w:val="10"/>
          <w:szCs w:val="10"/>
          <w:highlight w:val="none"/>
        </w:rPr>
      </w:pPr>
    </w:p>
    <w:p w14:paraId="00277716">
      <w:pPr>
        <w:autoSpaceDE w:val="0"/>
        <w:autoSpaceDN w:val="0"/>
        <w:adjustRightInd w:val="0"/>
        <w:snapToGrid w:val="0"/>
        <w:spacing w:line="360" w:lineRule="auto"/>
        <w:ind w:firstLine="265"/>
        <w:jc w:val="center"/>
        <w:rPr>
          <w:rFonts w:cs="宋体"/>
          <w:color w:val="auto"/>
          <w:kern w:val="0"/>
          <w:sz w:val="10"/>
          <w:szCs w:val="10"/>
          <w:highlight w:val="none"/>
        </w:rPr>
      </w:pPr>
    </w:p>
    <w:p w14:paraId="7ED64BC5">
      <w:pPr>
        <w:autoSpaceDE w:val="0"/>
        <w:autoSpaceDN w:val="0"/>
        <w:adjustRightInd w:val="0"/>
        <w:snapToGrid w:val="0"/>
        <w:spacing w:line="360" w:lineRule="auto"/>
        <w:ind w:firstLine="265"/>
        <w:jc w:val="center"/>
        <w:rPr>
          <w:rFonts w:cs="宋体"/>
          <w:color w:val="auto"/>
          <w:kern w:val="0"/>
          <w:sz w:val="10"/>
          <w:szCs w:val="10"/>
          <w:highlight w:val="none"/>
        </w:rPr>
      </w:pPr>
    </w:p>
    <w:p w14:paraId="07828604">
      <w:pPr>
        <w:autoSpaceDE w:val="0"/>
        <w:autoSpaceDN w:val="0"/>
        <w:adjustRightInd w:val="0"/>
        <w:snapToGrid w:val="0"/>
        <w:spacing w:line="360" w:lineRule="auto"/>
        <w:ind w:firstLine="265"/>
        <w:jc w:val="center"/>
        <w:rPr>
          <w:rFonts w:cs="宋体"/>
          <w:color w:val="auto"/>
          <w:kern w:val="0"/>
          <w:sz w:val="10"/>
          <w:szCs w:val="10"/>
          <w:highlight w:val="none"/>
        </w:rPr>
      </w:pPr>
    </w:p>
    <w:p w14:paraId="3BD3953F">
      <w:pPr>
        <w:autoSpaceDE w:val="0"/>
        <w:autoSpaceDN w:val="0"/>
        <w:adjustRightInd w:val="0"/>
        <w:snapToGrid w:val="0"/>
        <w:spacing w:line="360" w:lineRule="auto"/>
        <w:ind w:firstLine="265"/>
        <w:jc w:val="center"/>
        <w:rPr>
          <w:rFonts w:cs="宋体"/>
          <w:color w:val="auto"/>
          <w:kern w:val="0"/>
          <w:sz w:val="10"/>
          <w:szCs w:val="10"/>
          <w:highlight w:val="none"/>
        </w:rPr>
      </w:pPr>
    </w:p>
    <w:p w14:paraId="49A80962">
      <w:pPr>
        <w:autoSpaceDE w:val="0"/>
        <w:autoSpaceDN w:val="0"/>
        <w:adjustRightInd w:val="0"/>
        <w:snapToGrid w:val="0"/>
        <w:spacing w:line="360" w:lineRule="auto"/>
        <w:jc w:val="center"/>
        <w:rPr>
          <w:rFonts w:cs="宋体"/>
          <w:color w:val="auto"/>
          <w:spacing w:val="24"/>
          <w:w w:val="80"/>
          <w:sz w:val="120"/>
          <w:szCs w:val="120"/>
          <w:highlight w:val="none"/>
        </w:rPr>
      </w:pPr>
      <w:r>
        <w:rPr>
          <w:rFonts w:hint="eastAsia" w:cs="宋体"/>
          <w:color w:val="auto"/>
          <w:spacing w:val="24"/>
          <w:w w:val="80"/>
          <w:sz w:val="120"/>
          <w:szCs w:val="120"/>
          <w:highlight w:val="none"/>
          <w:lang w:eastAsia="zh-CN"/>
        </w:rPr>
        <w:t>询比采购</w:t>
      </w:r>
      <w:r>
        <w:rPr>
          <w:rFonts w:hint="eastAsia" w:cs="宋体"/>
          <w:color w:val="auto"/>
          <w:spacing w:val="24"/>
          <w:w w:val="80"/>
          <w:sz w:val="120"/>
          <w:szCs w:val="120"/>
          <w:highlight w:val="none"/>
        </w:rPr>
        <w:t>文件</w:t>
      </w:r>
    </w:p>
    <w:p w14:paraId="7BEEF6C9">
      <w:pPr>
        <w:autoSpaceDE w:val="0"/>
        <w:autoSpaceDN w:val="0"/>
        <w:adjustRightInd w:val="0"/>
        <w:snapToGrid w:val="0"/>
        <w:spacing w:line="360" w:lineRule="auto"/>
        <w:ind w:firstLine="530"/>
        <w:jc w:val="left"/>
        <w:rPr>
          <w:rFonts w:cs="宋体"/>
          <w:color w:val="auto"/>
          <w:kern w:val="0"/>
          <w:sz w:val="20"/>
          <w:szCs w:val="20"/>
          <w:highlight w:val="none"/>
        </w:rPr>
      </w:pPr>
    </w:p>
    <w:p w14:paraId="75C3E59F">
      <w:pPr>
        <w:autoSpaceDE w:val="0"/>
        <w:autoSpaceDN w:val="0"/>
        <w:adjustRightInd w:val="0"/>
        <w:snapToGrid w:val="0"/>
        <w:spacing w:line="360" w:lineRule="auto"/>
        <w:ind w:firstLine="530"/>
        <w:jc w:val="left"/>
        <w:rPr>
          <w:rFonts w:cs="宋体"/>
          <w:color w:val="auto"/>
          <w:kern w:val="0"/>
          <w:sz w:val="20"/>
          <w:szCs w:val="20"/>
          <w:highlight w:val="none"/>
        </w:rPr>
      </w:pPr>
    </w:p>
    <w:p w14:paraId="667509C5">
      <w:pPr>
        <w:autoSpaceDE w:val="0"/>
        <w:autoSpaceDN w:val="0"/>
        <w:adjustRightInd w:val="0"/>
        <w:snapToGrid w:val="0"/>
        <w:spacing w:line="360" w:lineRule="auto"/>
        <w:jc w:val="center"/>
        <w:rPr>
          <w:rFonts w:cs="宋体"/>
          <w:b/>
          <w:bCs/>
          <w:color w:val="auto"/>
          <w:sz w:val="36"/>
          <w:szCs w:val="36"/>
          <w:highlight w:val="none"/>
        </w:rPr>
      </w:pPr>
      <w:r>
        <w:rPr>
          <w:rFonts w:hint="eastAsia" w:cs="宋体"/>
          <w:b/>
          <w:bCs/>
          <w:color w:val="auto"/>
          <w:sz w:val="36"/>
          <w:szCs w:val="36"/>
          <w:highlight w:val="none"/>
          <w:lang w:val="en-US" w:eastAsia="zh-CN"/>
        </w:rPr>
        <w:t>采购人</w:t>
      </w:r>
      <w:r>
        <w:rPr>
          <w:rFonts w:hint="eastAsia" w:cs="宋体"/>
          <w:b/>
          <w:bCs/>
          <w:color w:val="auto"/>
          <w:sz w:val="36"/>
          <w:szCs w:val="36"/>
          <w:highlight w:val="none"/>
        </w:rPr>
        <w:t>:</w:t>
      </w:r>
      <w:r>
        <w:rPr>
          <w:rFonts w:hint="eastAsia"/>
          <w:color w:val="auto"/>
          <w:highlight w:val="none"/>
        </w:rPr>
        <w:t xml:space="preserve"> </w:t>
      </w:r>
      <w:r>
        <w:rPr>
          <w:rFonts w:hint="eastAsia" w:cs="宋体"/>
          <w:b/>
          <w:bCs/>
          <w:color w:val="auto"/>
          <w:sz w:val="36"/>
          <w:szCs w:val="36"/>
          <w:highlight w:val="none"/>
        </w:rPr>
        <w:t>重庆国际复合材料股份有限公司</w:t>
      </w:r>
    </w:p>
    <w:p w14:paraId="20AA8D88">
      <w:pPr>
        <w:tabs>
          <w:tab w:val="left" w:pos="3200"/>
          <w:tab w:val="left" w:pos="4320"/>
          <w:tab w:val="left" w:pos="5420"/>
        </w:tabs>
        <w:autoSpaceDE w:val="0"/>
        <w:autoSpaceDN w:val="0"/>
        <w:adjustRightInd w:val="0"/>
        <w:snapToGrid w:val="0"/>
        <w:spacing w:line="360" w:lineRule="auto"/>
        <w:ind w:firstLine="812"/>
        <w:jc w:val="center"/>
        <w:rPr>
          <w:rFonts w:cs="宋体"/>
          <w:b/>
          <w:color w:val="auto"/>
          <w:w w:val="95"/>
          <w:kern w:val="0"/>
          <w:sz w:val="32"/>
          <w:szCs w:val="32"/>
          <w:highlight w:val="none"/>
        </w:rPr>
      </w:pPr>
    </w:p>
    <w:p w14:paraId="4BFB43DA">
      <w:pPr>
        <w:tabs>
          <w:tab w:val="left" w:pos="3200"/>
          <w:tab w:val="left" w:pos="4320"/>
          <w:tab w:val="left" w:pos="5420"/>
        </w:tabs>
        <w:autoSpaceDE w:val="0"/>
        <w:autoSpaceDN w:val="0"/>
        <w:adjustRightInd w:val="0"/>
        <w:snapToGrid w:val="0"/>
        <w:spacing w:line="360" w:lineRule="auto"/>
        <w:ind w:firstLine="812"/>
        <w:jc w:val="center"/>
        <w:rPr>
          <w:rFonts w:cs="宋体"/>
          <w:b/>
          <w:color w:val="auto"/>
          <w:w w:val="95"/>
          <w:kern w:val="0"/>
          <w:sz w:val="32"/>
          <w:szCs w:val="32"/>
          <w:highlight w:val="none"/>
        </w:rPr>
      </w:pPr>
      <w:r>
        <w:rPr>
          <w:rFonts w:hint="eastAsia" w:ascii="Times New Roman" w:hAnsi="Times New Roman" w:eastAsia="宋体" w:cs="宋体"/>
          <w:b/>
          <w:color w:val="auto"/>
          <w:w w:val="95"/>
          <w:kern w:val="0"/>
          <w:sz w:val="32"/>
          <w:szCs w:val="32"/>
          <w:highlight w:val="none"/>
          <w:lang w:val="en-US" w:eastAsia="zh-CN"/>
        </w:rPr>
        <w:t>二〇二六年</w:t>
      </w:r>
      <w:r>
        <w:rPr>
          <w:rFonts w:hint="eastAsia" w:cs="宋体"/>
          <w:b/>
          <w:color w:val="auto"/>
          <w:w w:val="95"/>
          <w:kern w:val="0"/>
          <w:sz w:val="32"/>
          <w:szCs w:val="32"/>
          <w:highlight w:val="none"/>
          <w:lang w:val="en-US" w:eastAsia="zh-CN"/>
        </w:rPr>
        <w:t>十</w:t>
      </w:r>
      <w:r>
        <w:rPr>
          <w:rFonts w:hint="eastAsia" w:cs="宋体"/>
          <w:b/>
          <w:color w:val="auto"/>
          <w:w w:val="95"/>
          <w:kern w:val="0"/>
          <w:sz w:val="32"/>
          <w:szCs w:val="32"/>
          <w:highlight w:val="none"/>
        </w:rPr>
        <w:t>月</w:t>
      </w:r>
    </w:p>
    <w:p w14:paraId="70FB1151">
      <w:pPr>
        <w:tabs>
          <w:tab w:val="left" w:pos="3200"/>
          <w:tab w:val="left" w:pos="4320"/>
          <w:tab w:val="left" w:pos="5420"/>
        </w:tabs>
        <w:autoSpaceDE w:val="0"/>
        <w:autoSpaceDN w:val="0"/>
        <w:adjustRightInd w:val="0"/>
        <w:snapToGrid w:val="0"/>
        <w:spacing w:line="360" w:lineRule="auto"/>
        <w:ind w:firstLine="812"/>
        <w:jc w:val="center"/>
        <w:rPr>
          <w:rFonts w:cs="宋体"/>
          <w:b/>
          <w:color w:val="auto"/>
          <w:w w:val="95"/>
          <w:kern w:val="0"/>
          <w:sz w:val="32"/>
          <w:szCs w:val="32"/>
          <w:highlight w:val="none"/>
        </w:rPr>
      </w:pPr>
    </w:p>
    <w:p w14:paraId="65CB4665">
      <w:pPr>
        <w:tabs>
          <w:tab w:val="left" w:pos="3200"/>
          <w:tab w:val="left" w:pos="4320"/>
          <w:tab w:val="left" w:pos="5420"/>
        </w:tabs>
        <w:autoSpaceDE w:val="0"/>
        <w:autoSpaceDN w:val="0"/>
        <w:adjustRightInd w:val="0"/>
        <w:snapToGrid w:val="0"/>
        <w:spacing w:line="360" w:lineRule="auto"/>
        <w:ind w:firstLine="812"/>
        <w:jc w:val="center"/>
        <w:rPr>
          <w:rFonts w:cs="宋体"/>
          <w:b/>
          <w:color w:val="auto"/>
          <w:w w:val="95"/>
          <w:kern w:val="0"/>
          <w:sz w:val="32"/>
          <w:szCs w:val="32"/>
          <w:highlight w:val="none"/>
        </w:rPr>
      </w:pPr>
    </w:p>
    <w:p w14:paraId="373F3055">
      <w:pPr>
        <w:pStyle w:val="10"/>
        <w:tabs>
          <w:tab w:val="right" w:leader="dot" w:pos="8609"/>
        </w:tabs>
        <w:ind w:left="0" w:leftChars="0" w:firstLine="954"/>
        <w:rPr>
          <w:rFonts w:cs="宋体"/>
          <w:color w:val="auto"/>
          <w:sz w:val="36"/>
          <w:szCs w:val="36"/>
          <w:highlight w:val="none"/>
        </w:rPr>
      </w:pPr>
      <w:r>
        <w:rPr>
          <w:rFonts w:hint="eastAsia" w:cs="宋体"/>
          <w:color w:val="auto"/>
          <w:sz w:val="36"/>
          <w:szCs w:val="36"/>
          <w:highlight w:val="none"/>
        </w:rPr>
        <w:t>编制：</w:t>
      </w:r>
      <w:r>
        <w:rPr>
          <w:rFonts w:hint="eastAsia" w:cs="宋体"/>
          <w:color w:val="auto"/>
          <w:sz w:val="36"/>
          <w:szCs w:val="36"/>
          <w:highlight w:val="none"/>
          <w:u w:val="single"/>
        </w:rPr>
        <w:t xml:space="preserve">             </w:t>
      </w:r>
      <w:r>
        <w:rPr>
          <w:rFonts w:cs="宋体"/>
          <w:color w:val="auto"/>
          <w:sz w:val="36"/>
          <w:szCs w:val="36"/>
          <w:highlight w:val="none"/>
        </w:rPr>
        <w:t xml:space="preserve">  </w:t>
      </w:r>
      <w:r>
        <w:rPr>
          <w:rFonts w:hint="eastAsia" w:cs="宋体"/>
          <w:color w:val="auto"/>
          <w:sz w:val="36"/>
          <w:szCs w:val="36"/>
          <w:highlight w:val="none"/>
        </w:rPr>
        <w:t>审核：</w:t>
      </w:r>
      <w:r>
        <w:rPr>
          <w:rFonts w:hint="eastAsia" w:cs="宋体"/>
          <w:color w:val="auto"/>
          <w:sz w:val="36"/>
          <w:szCs w:val="36"/>
          <w:highlight w:val="none"/>
          <w:u w:val="single"/>
        </w:rPr>
        <w:t xml:space="preserve">             </w:t>
      </w:r>
      <w:r>
        <w:rPr>
          <w:rFonts w:cs="宋体"/>
          <w:color w:val="auto"/>
          <w:sz w:val="36"/>
          <w:szCs w:val="36"/>
          <w:highlight w:val="none"/>
          <w:u w:val="single"/>
        </w:rPr>
        <w:t xml:space="preserve">   </w:t>
      </w:r>
    </w:p>
    <w:p w14:paraId="42D9C0F6">
      <w:pPr>
        <w:pStyle w:val="10"/>
        <w:tabs>
          <w:tab w:val="right" w:leader="dot" w:pos="8609"/>
        </w:tabs>
        <w:ind w:left="0" w:leftChars="0" w:firstLine="1166"/>
        <w:rPr>
          <w:rFonts w:cs="宋体"/>
          <w:bCs/>
          <w:color w:val="auto"/>
          <w:kern w:val="0"/>
          <w:sz w:val="44"/>
          <w:szCs w:val="48"/>
          <w:highlight w:val="none"/>
        </w:rPr>
      </w:pPr>
    </w:p>
    <w:p w14:paraId="4ABB83C4">
      <w:pPr>
        <w:ind w:firstLine="1080" w:firstLineChars="300"/>
        <w:jc w:val="both"/>
        <w:rPr>
          <w:rFonts w:cs="宋体"/>
          <w:color w:val="auto"/>
          <w:sz w:val="36"/>
          <w:szCs w:val="36"/>
          <w:highlight w:val="none"/>
          <w:u w:val="single"/>
        </w:rPr>
      </w:pPr>
    </w:p>
    <w:p w14:paraId="2B173393">
      <w:pPr>
        <w:jc w:val="center"/>
        <w:rPr>
          <w:rFonts w:cs="宋体"/>
          <w:color w:val="auto"/>
          <w:sz w:val="36"/>
          <w:szCs w:val="36"/>
          <w:highlight w:val="none"/>
          <w:u w:val="single"/>
        </w:rPr>
      </w:pPr>
    </w:p>
    <w:p w14:paraId="6768C3F5">
      <w:pPr>
        <w:jc w:val="center"/>
        <w:rPr>
          <w:rFonts w:hint="eastAsia" w:ascii="宋体" w:hAnsi="宋体"/>
          <w:b/>
          <w:bCs/>
          <w:color w:val="auto"/>
          <w:sz w:val="40"/>
          <w:szCs w:val="40"/>
          <w:highlight w:val="none"/>
        </w:rPr>
      </w:pPr>
    </w:p>
    <w:p w14:paraId="3BD8C099">
      <w:pPr>
        <w:jc w:val="center"/>
        <w:rPr>
          <w:rFonts w:hint="eastAsia" w:ascii="宋体" w:hAnsi="宋体"/>
          <w:b/>
          <w:bCs/>
          <w:color w:val="auto"/>
          <w:sz w:val="40"/>
          <w:szCs w:val="40"/>
          <w:highlight w:val="none"/>
        </w:rPr>
      </w:pPr>
      <w:r>
        <w:rPr>
          <w:rFonts w:hint="eastAsia" w:ascii="宋体" w:hAnsi="宋体"/>
          <w:b/>
          <w:bCs/>
          <w:color w:val="auto"/>
          <w:sz w:val="40"/>
          <w:szCs w:val="40"/>
          <w:highlight w:val="none"/>
          <w:lang w:eastAsia="zh-CN"/>
        </w:rPr>
        <w:t>询比采购</w:t>
      </w:r>
      <w:r>
        <w:rPr>
          <w:rFonts w:hint="eastAsia" w:ascii="宋体" w:hAnsi="宋体"/>
          <w:b/>
          <w:bCs/>
          <w:color w:val="auto"/>
          <w:sz w:val="40"/>
          <w:szCs w:val="40"/>
          <w:highlight w:val="none"/>
        </w:rPr>
        <w:t>文件</w:t>
      </w:r>
      <w:bookmarkStart w:id="461" w:name="_GoBack"/>
      <w:bookmarkEnd w:id="461"/>
    </w:p>
    <w:p w14:paraId="38429B88">
      <w:pPr>
        <w:jc w:val="center"/>
        <w:rPr>
          <w:rFonts w:hint="eastAsia" w:ascii="宋体" w:hAnsi="宋体"/>
          <w:b/>
          <w:bCs/>
          <w:color w:val="auto"/>
          <w:sz w:val="40"/>
          <w:szCs w:val="40"/>
          <w:highlight w:val="none"/>
        </w:rPr>
      </w:pPr>
    </w:p>
    <w:p w14:paraId="4703589E">
      <w:pPr>
        <w:keepNext w:val="0"/>
        <w:keepLines w:val="0"/>
        <w:pageBreakBefore w:val="0"/>
        <w:widowControl w:val="0"/>
        <w:kinsoku/>
        <w:wordWrap/>
        <w:overflowPunct/>
        <w:topLinePunct w:val="0"/>
        <w:autoSpaceDE/>
        <w:autoSpaceDN/>
        <w:bidi w:val="0"/>
        <w:adjustRightInd/>
        <w:snapToGrid/>
        <w:spacing w:line="360" w:lineRule="auto"/>
        <w:ind w:firstLine="426"/>
        <w:textAlignment w:val="auto"/>
        <w:rPr>
          <w:rFonts w:hint="eastAsia" w:ascii="宋体" w:hAnsi="宋体"/>
          <w:color w:val="auto"/>
          <w:sz w:val="24"/>
          <w:highlight w:val="none"/>
        </w:rPr>
      </w:pPr>
      <w:r>
        <w:rPr>
          <w:rFonts w:hint="eastAsia" w:ascii="宋体" w:hAnsi="宋体"/>
          <w:color w:val="auto"/>
          <w:sz w:val="24"/>
          <w:highlight w:val="none"/>
        </w:rPr>
        <w:t>重庆国际复合材料股份有限公司就</w:t>
      </w:r>
      <w:r>
        <w:rPr>
          <w:rFonts w:hint="eastAsia" w:ascii="宋体" w:hAnsi="宋体"/>
          <w:color w:val="auto"/>
          <w:sz w:val="24"/>
          <w:highlight w:val="none"/>
          <w:u w:val="single"/>
        </w:rPr>
        <w:t>含氟硅胶及硅尾矿石英砂资源化利用研究开发项目高低压柜更换工程　</w:t>
      </w:r>
      <w:r>
        <w:rPr>
          <w:rFonts w:hint="eastAsia" w:ascii="宋体" w:hAnsi="宋体"/>
          <w:color w:val="auto"/>
          <w:sz w:val="24"/>
          <w:highlight w:val="none"/>
        </w:rPr>
        <w:t>进行国内外</w:t>
      </w:r>
      <w:r>
        <w:rPr>
          <w:rFonts w:hint="eastAsia" w:ascii="宋体" w:hAnsi="宋体"/>
          <w:color w:val="auto"/>
          <w:sz w:val="24"/>
          <w:highlight w:val="none"/>
          <w:lang w:eastAsia="zh-CN"/>
        </w:rPr>
        <w:t>询比采购</w:t>
      </w:r>
      <w:r>
        <w:rPr>
          <w:rFonts w:hint="eastAsia" w:ascii="宋体" w:hAnsi="宋体"/>
          <w:color w:val="auto"/>
          <w:sz w:val="24"/>
          <w:highlight w:val="none"/>
        </w:rPr>
        <w:t>，邀请潜在供应商进行报价。</w:t>
      </w:r>
    </w:p>
    <w:p w14:paraId="5A916887">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lang w:eastAsia="zh-CN"/>
        </w:rPr>
        <w:t>询比采购</w:t>
      </w:r>
      <w:r>
        <w:rPr>
          <w:rFonts w:hint="eastAsia" w:ascii="宋体" w:hAnsi="宋体"/>
          <w:color w:val="auto"/>
          <w:sz w:val="24"/>
          <w:highlight w:val="none"/>
        </w:rPr>
        <w:t>项目编号：</w:t>
      </w:r>
      <w:r>
        <w:rPr>
          <w:rFonts w:hint="eastAsia" w:ascii="宋体" w:hAnsi="宋体"/>
          <w:color w:val="auto"/>
          <w:sz w:val="24"/>
          <w:highlight w:val="none"/>
          <w:u w:val="single"/>
        </w:rPr>
        <w:t xml:space="preserve">CPIC-GCSGCG-2026-012 </w:t>
      </w:r>
    </w:p>
    <w:p w14:paraId="1ED8AF82">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含氟硅胶及硅尾矿石英砂资源化利用研究开发项目高低压柜更换工程  </w:t>
      </w:r>
    </w:p>
    <w:p w14:paraId="1A1AAD0A">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eastAsia="zh-CN"/>
        </w:rPr>
        <w:t>询比采购</w:t>
      </w:r>
      <w:r>
        <w:rPr>
          <w:rFonts w:hint="eastAsia" w:ascii="宋体" w:hAnsi="宋体"/>
          <w:color w:val="auto"/>
          <w:sz w:val="24"/>
          <w:highlight w:val="none"/>
        </w:rPr>
        <w:t>内容：</w:t>
      </w:r>
    </w:p>
    <w:p w14:paraId="488C13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　　</w:t>
      </w:r>
      <w:r>
        <w:rPr>
          <w:rFonts w:hint="eastAsia" w:ascii="宋体" w:hAnsi="宋体"/>
          <w:color w:val="auto"/>
          <w:sz w:val="24"/>
          <w:highlight w:val="none"/>
          <w:lang w:val="en-US" w:eastAsia="zh-CN"/>
        </w:rPr>
        <w:t>施工内容</w:t>
      </w:r>
      <w:r>
        <w:rPr>
          <w:rFonts w:hint="eastAsia" w:ascii="宋体" w:hAnsi="宋体"/>
          <w:color w:val="auto"/>
          <w:sz w:val="24"/>
          <w:highlight w:val="none"/>
        </w:rPr>
        <w:t>：</w:t>
      </w:r>
      <w:r>
        <w:rPr>
          <w:rFonts w:hint="eastAsia" w:ascii="宋体" w:hAnsi="宋体"/>
          <w:color w:val="auto"/>
          <w:sz w:val="24"/>
          <w:highlight w:val="none"/>
          <w:u w:val="single"/>
        </w:rPr>
        <w:t xml:space="preserve"> 含氟硅胶及硅尾矿石英砂资源化利用研究开发项目高低压柜更换</w:t>
      </w:r>
      <w:r>
        <w:rPr>
          <w:rFonts w:hint="eastAsia" w:ascii="宋体" w:hAnsi="宋体" w:eastAsia="宋体" w:cs="Times New Roman"/>
          <w:color w:val="auto"/>
          <w:sz w:val="24"/>
          <w:highlight w:val="none"/>
          <w:u w:val="single"/>
        </w:rPr>
        <w:t>工程</w:t>
      </w:r>
      <w:r>
        <w:rPr>
          <w:rFonts w:hint="eastAsia" w:ascii="宋体" w:hAnsi="宋体" w:eastAsia="宋体" w:cs="Times New Roman"/>
          <w:color w:val="auto"/>
          <w:sz w:val="24"/>
          <w:highlight w:val="none"/>
          <w:u w:val="single"/>
          <w:lang w:eastAsia="zh-CN"/>
        </w:rPr>
        <w:t>，</w:t>
      </w:r>
      <w:r>
        <w:rPr>
          <w:rFonts w:hint="eastAsia" w:ascii="宋体" w:hAnsi="宋体" w:eastAsia="宋体" w:cs="Times New Roman"/>
          <w:color w:val="auto"/>
          <w:sz w:val="24"/>
          <w:highlight w:val="none"/>
          <w:u w:val="single"/>
        </w:rPr>
        <w:t xml:space="preserve">详见采购人提供本工程的工程量清单所明确的全部工程内容。 </w:t>
      </w:r>
    </w:p>
    <w:p w14:paraId="3399C2E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rPr>
        <w:t>　　</w:t>
      </w:r>
      <w:r>
        <w:rPr>
          <w:rFonts w:hint="eastAsia" w:ascii="宋体" w:hAnsi="宋体"/>
          <w:color w:val="auto"/>
          <w:sz w:val="24"/>
          <w:highlight w:val="none"/>
          <w:lang w:val="en-US" w:eastAsia="zh-CN"/>
        </w:rPr>
        <w:t>工期</w:t>
      </w:r>
      <w:r>
        <w:rPr>
          <w:rFonts w:hint="eastAsia" w:ascii="宋体" w:hAnsi="宋体"/>
          <w:color w:val="auto"/>
          <w:sz w:val="24"/>
          <w:highlight w:val="none"/>
        </w:rPr>
        <w:t>：</w:t>
      </w:r>
      <w:r>
        <w:rPr>
          <w:rFonts w:hint="eastAsia" w:ascii="宋体" w:hAnsi="宋体"/>
          <w:color w:val="auto"/>
          <w:sz w:val="24"/>
          <w:highlight w:val="none"/>
          <w:u w:val="single"/>
        </w:rPr>
        <w:t xml:space="preserve"> 12日历天，其中入场施工后5日历天内完成高低压柜更换工作， 缺陷责任期要求：24个月。 </w:t>
      </w:r>
    </w:p>
    <w:p w14:paraId="39D08E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lang w:val="en-US" w:eastAsia="zh-CN"/>
        </w:rPr>
        <w:t>施工</w:t>
      </w:r>
      <w:r>
        <w:rPr>
          <w:rFonts w:hint="eastAsia" w:ascii="宋体" w:hAnsi="宋体"/>
          <w:color w:val="auto"/>
          <w:sz w:val="24"/>
          <w:highlight w:val="none"/>
        </w:rPr>
        <w:t>地点：</w:t>
      </w:r>
      <w:r>
        <w:rPr>
          <w:rFonts w:hint="eastAsia" w:ascii="宋体" w:hAnsi="宋体"/>
          <w:color w:val="auto"/>
          <w:sz w:val="24"/>
          <w:szCs w:val="21"/>
          <w:highlight w:val="none"/>
        </w:rPr>
        <w:t>重庆国际复合材料股份有限公司大渡口生产基地。</w:t>
      </w:r>
    </w:p>
    <w:p w14:paraId="7DBFDCE7">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报价人资格</w:t>
      </w:r>
    </w:p>
    <w:p w14:paraId="22B31B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本次</w:t>
      </w:r>
      <w:r>
        <w:rPr>
          <w:rFonts w:hint="eastAsia" w:ascii="宋体" w:hAnsi="宋体"/>
          <w:color w:val="auto"/>
          <w:sz w:val="24"/>
          <w:highlight w:val="none"/>
          <w:lang w:eastAsia="zh-CN"/>
        </w:rPr>
        <w:t>询比采购</w:t>
      </w:r>
      <w:r>
        <w:rPr>
          <w:rFonts w:hint="eastAsia" w:ascii="宋体" w:hAnsi="宋体"/>
          <w:color w:val="auto"/>
          <w:sz w:val="24"/>
          <w:highlight w:val="none"/>
        </w:rPr>
        <w:t>实行资格后审，报价人应满足下列资格条件</w:t>
      </w:r>
    </w:p>
    <w:p w14:paraId="00FD05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color w:val="auto"/>
          <w:sz w:val="24"/>
          <w:highlight w:val="none"/>
        </w:rPr>
        <w:t>（</w:t>
      </w:r>
      <w:r>
        <w:rPr>
          <w:rFonts w:ascii="宋体" w:hAnsi="宋体"/>
          <w:color w:val="auto"/>
          <w:sz w:val="24"/>
          <w:highlight w:val="none"/>
        </w:rPr>
        <w:t>1</w:t>
      </w:r>
      <w:r>
        <w:rPr>
          <w:rFonts w:hint="eastAsia" w:ascii="宋体" w:hAnsi="宋体"/>
          <w:color w:val="auto"/>
          <w:sz w:val="24"/>
          <w:highlight w:val="none"/>
        </w:rPr>
        <w:t>）</w:t>
      </w:r>
      <w:r>
        <w:rPr>
          <w:rFonts w:hint="eastAsia" w:ascii="宋体" w:hAnsi="宋体" w:eastAsia="宋体" w:cs="Times New Roman"/>
          <w:color w:val="auto"/>
          <w:sz w:val="24"/>
          <w:highlight w:val="none"/>
        </w:rPr>
        <w:t>具备工商行政主管部门颁发的经营期限内的营业执照（统一社会信用代码）提供有效的营业执照复印件，加盖报价人公章。</w:t>
      </w:r>
    </w:p>
    <w:p w14:paraId="7D17BF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rPr>
        <w:t>）具备有效的安全生产许可证</w:t>
      </w:r>
    </w:p>
    <w:p w14:paraId="0C8843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具备建设行政主管部门颁发的有效的建筑机电安装工程专业承包三级及以上资质或机电工程施工总承包三级及以上资质。</w:t>
      </w:r>
    </w:p>
    <w:p w14:paraId="5CD3EE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项目经理：</w:t>
      </w:r>
    </w:p>
    <w:p w14:paraId="00E176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提供拟派的项目经理为二级建造师（机电工程专业）及以上执业资格注册人员的，必须提供建造师电子注册证书</w:t>
      </w:r>
      <w:r>
        <w:rPr>
          <w:rFonts w:hint="eastAsia" w:ascii="宋体" w:hAnsi="宋体" w:eastAsia="宋体" w:cs="Times New Roman"/>
          <w:color w:val="auto"/>
          <w:sz w:val="24"/>
          <w:highlight w:val="none"/>
          <w:lang w:eastAsia="zh-CN"/>
        </w:rPr>
        <w:t>，建安B证（安全生产考核 B 证），证书在有效期</w:t>
      </w:r>
      <w:r>
        <w:rPr>
          <w:rFonts w:hint="eastAsia" w:ascii="宋体" w:hAnsi="宋体" w:eastAsia="宋体" w:cs="Times New Roman"/>
          <w:color w:val="auto"/>
          <w:sz w:val="24"/>
          <w:highlight w:val="none"/>
        </w:rPr>
        <w:t>。</w:t>
      </w:r>
    </w:p>
    <w:p w14:paraId="7B716B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报价人须在询比文件资格审查部分提供拟派项目经理身份证、</w:t>
      </w:r>
      <w:r>
        <w:rPr>
          <w:rFonts w:hint="eastAsia" w:ascii="宋体" w:hAnsi="宋体" w:eastAsia="宋体" w:cs="Times New Roman"/>
          <w:color w:val="auto"/>
          <w:sz w:val="24"/>
          <w:highlight w:val="none"/>
          <w:lang w:val="en-US" w:eastAsia="zh-CN"/>
        </w:rPr>
        <w:t>建造师证、建安B</w:t>
      </w:r>
      <w:r>
        <w:rPr>
          <w:rFonts w:hint="eastAsia" w:ascii="宋体" w:hAnsi="宋体" w:eastAsia="宋体" w:cs="Times New Roman"/>
          <w:color w:val="auto"/>
          <w:sz w:val="24"/>
          <w:highlight w:val="none"/>
        </w:rPr>
        <w:t>证及报价人本单位为其缴纳的养老保险证明材料复印件。</w:t>
      </w:r>
    </w:p>
    <w:p w14:paraId="6FC45E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rPr>
        <w:t>）项目技术负责人：</w:t>
      </w:r>
    </w:p>
    <w:p w14:paraId="558116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应具有工程类中级及以上职称；</w:t>
      </w:r>
    </w:p>
    <w:p w14:paraId="542010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 xml:space="preserve">报价人须在询比文件资格审查部分提供拟派技术负责人身份证、职称证及报价人本单位为其缴纳的养老保险证明材料复印件。                                            </w:t>
      </w:r>
    </w:p>
    <w:p w14:paraId="7DB7A3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6</w:t>
      </w:r>
      <w:r>
        <w:rPr>
          <w:rFonts w:hint="eastAsia" w:ascii="宋体" w:hAnsi="宋体" w:eastAsia="宋体" w:cs="Times New Roman"/>
          <w:color w:val="auto"/>
          <w:sz w:val="24"/>
          <w:highlight w:val="none"/>
        </w:rPr>
        <w:t>）委托代理人：</w:t>
      </w:r>
    </w:p>
    <w:p w14:paraId="73141F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委托代理人必须为报价人本单位人员。</w:t>
      </w:r>
    </w:p>
    <w:p w14:paraId="4A4FC5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报价人须在询比文件资格审查部分提供报价人为该委托代理人缴纳的养老保险证明复印件。否则，将由评标委员会作否决投标处理</w:t>
      </w:r>
    </w:p>
    <w:p w14:paraId="503EBE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7</w:t>
      </w:r>
      <w:r>
        <w:rPr>
          <w:rFonts w:hint="eastAsia" w:ascii="宋体" w:hAnsi="宋体" w:eastAsia="宋体" w:cs="Times New Roman"/>
          <w:color w:val="auto"/>
          <w:sz w:val="24"/>
          <w:highlight w:val="none"/>
        </w:rPr>
        <w:t>）本询比采购文件中所要求的人员养老保险证明要求如下：</w:t>
      </w:r>
    </w:p>
    <w:p w14:paraId="5A0FBB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①企业提供养老保险证明，事业单位提供养老保险证明或行政主管部门在编证明。</w:t>
      </w:r>
    </w:p>
    <w:p w14:paraId="2218C6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②项目经理、项目技术负责人和委托代理人的连续养老保险证明期限须包含2026年7月至2026年9月。养老保险证明原件必须加盖社保部门公章，提供的养老保险参保证明须体现上述人员的姓名、身份证号（或社保号）、单位名称、本单位参保时间（或起始参保时间）。　</w:t>
      </w:r>
    </w:p>
    <w:p w14:paraId="141357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8</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未被有关行政部门暂停投标资格，或被有关行政部门暂停投标资格期限未满，不得在近两年内申请人或其法定代表人有行贿犯罪行为和不得在国家企业信用信息公示系统“http://www.gsxt.gov.cn/index.html”列入严重违法企业失信名单。</w:t>
      </w:r>
    </w:p>
    <w:p w14:paraId="4F0F60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（申请人网上截图、并承诺无以上情形之一）</w:t>
      </w:r>
    </w:p>
    <w:p w14:paraId="4657DE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9</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 xml:space="preserve"> 本次询比采购不接受联合体。</w:t>
      </w:r>
    </w:p>
    <w:p w14:paraId="0F5C84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Cs w:val="21"/>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10</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本次询比采购不组织踏勘现场</w:t>
      </w:r>
    </w:p>
    <w:p w14:paraId="4950BA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五、报价文件要求：</w:t>
      </w:r>
    </w:p>
    <w:p w14:paraId="709EFE35">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报价文件加盖公章，除法定代表人和委托代理人签字外，其余手填无效。</w:t>
      </w:r>
    </w:p>
    <w:p w14:paraId="17042254">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报价文件应密封，封皮注明</w:t>
      </w:r>
      <w:r>
        <w:rPr>
          <w:rFonts w:hint="eastAsia" w:ascii="宋体" w:hAnsi="宋体"/>
          <w:color w:val="auto"/>
          <w:sz w:val="24"/>
          <w:highlight w:val="none"/>
          <w:lang w:eastAsia="zh-CN"/>
        </w:rPr>
        <w:t>询比采购</w:t>
      </w:r>
      <w:r>
        <w:rPr>
          <w:rFonts w:hint="eastAsia" w:ascii="宋体" w:hAnsi="宋体"/>
          <w:color w:val="auto"/>
          <w:sz w:val="24"/>
          <w:highlight w:val="none"/>
        </w:rPr>
        <w:t>项目、报价单位及报价日期并加盖公章</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并提供PDF电子文件一份（签字盖章的扫描件）</w:t>
      </w:r>
      <w:r>
        <w:rPr>
          <w:rFonts w:hint="eastAsia" w:ascii="宋体" w:hAnsi="宋体"/>
          <w:color w:val="auto"/>
          <w:sz w:val="24"/>
          <w:highlight w:val="none"/>
        </w:rPr>
        <w:t>。</w:t>
      </w:r>
    </w:p>
    <w:p w14:paraId="62DBCD9D">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有效期：报价文件及有关承诺文件有效期为报价文件投递截止之日起90天。</w:t>
      </w:r>
    </w:p>
    <w:p w14:paraId="1B65ABA8">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rPr>
        <w:t>报价人提交的报价文件由报价、资格审查资料和报价人所作的一切有效补充、修改和承诺书等文件组成。</w:t>
      </w:r>
    </w:p>
    <w:p w14:paraId="4025F0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六、报价要求：</w:t>
      </w:r>
    </w:p>
    <w:p w14:paraId="3557DE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val="en-US" w:eastAsia="zh-CN"/>
        </w:rPr>
      </w:pPr>
      <w:r>
        <w:rPr>
          <w:rFonts w:hint="eastAsia" w:ascii="宋体" w:hAnsi="宋体"/>
          <w:color w:val="auto"/>
          <w:sz w:val="24"/>
          <w:highlight w:val="none"/>
          <w:lang w:eastAsia="zh-CN"/>
        </w:rPr>
        <w:t>（</w:t>
      </w:r>
      <w:r>
        <w:rPr>
          <w:rFonts w:hint="eastAsia" w:ascii="宋体" w:hAnsi="宋体"/>
          <w:color w:val="auto"/>
          <w:sz w:val="24"/>
          <w:highlight w:val="none"/>
          <w:lang w:val="en-US" w:eastAsia="zh-CN"/>
        </w:rPr>
        <w:t>1</w:t>
      </w:r>
      <w:r>
        <w:rPr>
          <w:rFonts w:hint="eastAsia" w:ascii="宋体" w:hAnsi="宋体"/>
          <w:color w:val="auto"/>
          <w:sz w:val="24"/>
          <w:highlight w:val="none"/>
          <w:lang w:eastAsia="zh-CN"/>
        </w:rPr>
        <w:t>）</w:t>
      </w:r>
      <w:r>
        <w:rPr>
          <w:rFonts w:hint="eastAsia" w:ascii="宋体" w:hAnsi="宋体"/>
          <w:color w:val="auto"/>
          <w:sz w:val="24"/>
          <w:highlight w:val="none"/>
        </w:rPr>
        <w:t>本项目报价以人民币报价，</w:t>
      </w:r>
      <w:r>
        <w:rPr>
          <w:rFonts w:hint="eastAsia" w:ascii="宋体" w:hAnsi="宋体"/>
          <w:color w:val="auto"/>
          <w:sz w:val="24"/>
          <w:highlight w:val="none"/>
          <w:lang w:val="en-US" w:eastAsia="zh-CN"/>
        </w:rPr>
        <w:t>本项目设置最高限价：</w:t>
      </w:r>
      <w:r>
        <w:rPr>
          <w:rFonts w:hint="eastAsia" w:ascii="宋体" w:hAnsi="宋体"/>
          <w:color w:val="auto"/>
          <w:sz w:val="24"/>
          <w:highlight w:val="none"/>
          <w:lang w:val="en-US" w:eastAsia="zh-CN"/>
        </w:rPr>
        <w:t>人民</w:t>
      </w:r>
      <w:r>
        <w:rPr>
          <w:rFonts w:hint="eastAsia" w:ascii="宋体" w:hAnsi="宋体" w:eastAsia="宋体" w:cs="Times New Roman"/>
          <w:color w:val="auto"/>
          <w:sz w:val="24"/>
          <w:highlight w:val="none"/>
          <w:lang w:val="en-US" w:eastAsia="zh-CN"/>
        </w:rPr>
        <w:t>币</w:t>
      </w:r>
      <w:r>
        <w:rPr>
          <w:rFonts w:hint="eastAsia" w:ascii="宋体" w:hAnsi="宋体" w:eastAsia="宋体" w:cs="Times New Roman"/>
          <w:color w:val="auto"/>
          <w:sz w:val="24"/>
          <w:highlight w:val="none"/>
          <w:u w:val="single"/>
          <w:lang w:val="en-US" w:eastAsia="zh-CN"/>
        </w:rPr>
        <w:t xml:space="preserve"> 153478.66</w:t>
      </w:r>
      <w:r>
        <w:rPr>
          <w:rFonts w:hint="eastAsia" w:ascii="宋体" w:hAnsi="宋体" w:eastAsia="宋体" w:cs="Times New Roman"/>
          <w:color w:val="auto"/>
          <w:sz w:val="24"/>
          <w:highlight w:val="none"/>
          <w:lang w:val="en-US" w:eastAsia="zh-CN"/>
        </w:rPr>
        <w:t>元。</w:t>
      </w:r>
    </w:p>
    <w:p w14:paraId="1F58B1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（2）报价说明：</w:t>
      </w:r>
    </w:p>
    <w:p w14:paraId="44C4B3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w:t>
      </w:r>
      <w:r>
        <w:rPr>
          <w:rFonts w:hint="default" w:ascii="宋体" w:hAnsi="宋体" w:eastAsia="宋体" w:cs="Times New Roman"/>
          <w:color w:val="auto"/>
          <w:sz w:val="24"/>
          <w:highlight w:val="none"/>
          <w:lang w:val="en-US" w:eastAsia="zh-CN"/>
        </w:rPr>
        <w:t>报价范围：本次采购范围内规定的所有工程内容，具体详见相关工程量清单。</w:t>
      </w:r>
    </w:p>
    <w:p w14:paraId="7A747F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w:t>
      </w:r>
      <w:r>
        <w:rPr>
          <w:rFonts w:hint="default" w:ascii="宋体" w:hAnsi="宋体" w:eastAsia="宋体" w:cs="Times New Roman"/>
          <w:color w:val="auto"/>
          <w:sz w:val="24"/>
          <w:highlight w:val="none"/>
          <w:lang w:val="en-US" w:eastAsia="zh-CN"/>
        </w:rPr>
        <w:t>询比报价编制依据：《建设工程工程量清单计价规范》（GB50500—2013）、《重庆市建设工程工程量清单计价规则》（CQJJGZ-2013）、《重庆市建设工程工程量计算规则》CQJLGZ-2013、《重庆市住房和城乡建设委员会关于适用增值税新税率调整建设工程计价依据的通知》（渝建〔2019〕143号）、2018年的重庆市相关定额以及配套文件、国家及地方的技术标准、规范及规程等。报价人结合本企业的经营情况、自身实力、现场踏勘所获取的相关信息资料和企业发展策略以及市场行情和询比采购文件对工程质量、工期的要求自主进行报价。</w:t>
      </w:r>
    </w:p>
    <w:p w14:paraId="7C7484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w:t>
      </w:r>
      <w:r>
        <w:rPr>
          <w:rFonts w:hint="default" w:ascii="宋体" w:hAnsi="宋体" w:eastAsia="宋体" w:cs="Times New Roman"/>
          <w:color w:val="auto"/>
          <w:sz w:val="24"/>
          <w:highlight w:val="none"/>
          <w:lang w:val="en-US" w:eastAsia="zh-CN"/>
        </w:rPr>
        <w:t>编制说明：</w:t>
      </w:r>
    </w:p>
    <w:p w14:paraId="7AC512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i.本工程量清单中的“项目特征”及“工程内容”描述不作为询比报价的唯一依据，报价人应根据分部分项工程项目清单计价表中“项目特征”及“工程内容”的描述结合询比采购文件、工程量清单、相关规范和对现场的勘察情况等确定报价。不论其对应的项目特征是否描述完整，都将被认为已包括《建设工程工程量清单计价规范》（GB50500-2013）、《重庆市建设工程工程量清单计价规则》（CQJJGZ-2013）、《重庆市建设工程工程量计算规则》CQJLGZ-2013中相应项目编码和项目名称及相关规范、标准、政策性文件、规定、限制和禁止使用通告等所有工程内容及完成此工作内容而必须的各种主要、辅助工作</w:t>
      </w:r>
    </w:p>
    <w:p w14:paraId="06FC87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ii.除非合同中另有规定，报价人在分部分项工程项目清单计价表中所报的综合单价和合价，以及询比总报价均包括了报价人为实施和完成该工程采购范围所确定的全部工程内容所需的直接费、间接费、管理费、工伤保险费、利润、税金（含销项税额）、措施费、配合费、大型机械进出场费、排污费、二次或多次转运费、安全文明施工费、建设工程竣工档案编制费、风险费、规费、政策性文件规定费用等所有与本工程建设相关的费用，以及施工合同明示或暗示的所有责任、义务和风险。报价人的询比报价视为是一个有经验的报价人，在对工程充分了解及对风险充分估计后所作的完备报价。</w:t>
      </w:r>
    </w:p>
    <w:p w14:paraId="08F41C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iii.工程量清单所列的工程量系估算的和暂定的数量，仅作为询比报价的共同基础。付款以实际完成的合格工程量为依据。由成交人计量，采购人核实的实际完成工程量，按具有标价的工程量清单中所报的综合单价结算和支付。</w:t>
      </w:r>
    </w:p>
    <w:p w14:paraId="24C76A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iv.报价人在编制询比报价时不得改变采购人提供的分部分项工程项目清单中的项目编码、项目名称、项目特征、工程内容、计量单位、工程量，否则其询比文件按否决报价处理。</w:t>
      </w:r>
    </w:p>
    <w:p w14:paraId="39BABB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v.除非询比采购文件予以修改，报价人应按采购人提供的工程量清单填报《分部分项工程项目清单计价表》；填报《分部分项工程项目清单计价表》时，工程项目和工程量应逐项填报单价和合价，《分部分项工程项目清单计价表》中若有不报价或零报价或负报价的，询比文件按否决报价处理。每一个项目只允许有一个报价，询比文件中任何有选择的报价将不予接受。</w:t>
      </w:r>
    </w:p>
    <w:p w14:paraId="436038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vi.除非合同中另有规定，报价人的询比总报价均包括完成该合同工程项目的全部费用，在工程实施时，必须按工程量清单中的项、量和监理工程师指令完成该项目工程内容。</w:t>
      </w:r>
    </w:p>
    <w:p w14:paraId="6F0150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vii.询比总报价为报价人在询比文件中提出的各项支付金额的总和。分部分项工程项目清单中所列的工程量仅是提供报价人作为报价的基础，报价函上的报价必须与商务部分所对应的报价一致，否则其询比文件按否决报价处理。</w:t>
      </w:r>
    </w:p>
    <w:p w14:paraId="41BF49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viii.措施项目费清单包括施工组织措施项目清单和施工技术措施项目清单两部分。①施工组织措施项目清单：采购人给出的施工组织措施项目清单仅供报价人参考，报价人在询比报价时可参照采购人给出的施工组织措施项目清单并结合本工程的实际情况和国家及重庆市相关管理规定自行增减项目，并进行报价。如果漏项或不报价，视为已包含在其他项目清单综合单价内。②施工技术措施项目清单:技术措施清单中以项计列的项目，由报价人根据现场踏勘情况及本工程的实际情况结合自身施工组织设计，以项为单位自行报价。技术措施清单中以项目编码、项目名称、项目特征、工程内容、工程量及计量单位列项的项目，报价人必须按采购人给出的施工技术措施项目清单进行报价，不得擅自变改采购人提供的施工技术措施项目清单中的序号、项目编码、项目名称、项目特征、工程内容、工程量及计量单位，否则视为对询比采购文件不作实质性响应，其询比文件按否决报价处理。但报价人可根据本工程的实际情况增加技术措施项目（增加项目均以“项”报价）并进行报价。如果漏项或不报价，视为已包含在其他项目清单综合单价内，结算时不作调整。成交后不论何种因素影响，相应的综合单价不作调整，工程量按《建设工程工程量清单计价规范》（GB50500-2013）规定的计量规则及工程量清单说明按实计量。</w:t>
      </w:r>
    </w:p>
    <w:p w14:paraId="492FD4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ix.安全文明施工费：安全文明施工费由安全施工费、文明施工费、环境保护费及临时设施费组成</w:t>
      </w:r>
      <w:r>
        <w:rPr>
          <w:rFonts w:hint="default" w:ascii="宋体" w:hAnsi="宋体" w:eastAsia="宋体" w:cs="Times New Roman"/>
          <w:color w:val="auto"/>
          <w:sz w:val="24"/>
          <w:highlight w:val="none"/>
          <w:lang w:val="en-US" w:eastAsia="zh-CN"/>
        </w:rPr>
        <w:t>。</w:t>
      </w:r>
      <w:r>
        <w:rPr>
          <w:rFonts w:hint="default" w:ascii="宋体" w:hAnsi="宋体" w:eastAsia="宋体" w:cs="Times New Roman"/>
          <w:color w:val="auto"/>
          <w:sz w:val="24"/>
          <w:highlight w:val="none"/>
          <w:u w:val="single"/>
          <w:lang w:val="en-US" w:eastAsia="zh-CN"/>
        </w:rPr>
        <w:t>本项目安全文明施工费报价人统一暂按6982.48元（大写：陆仟玖佰捌拾贰元肆角捌分）计取，否则，其询比文件作否决报价处理。</w:t>
      </w:r>
    </w:p>
    <w:p w14:paraId="36E84F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u w:val="single"/>
          <w:lang w:val="en-US" w:eastAsia="zh-CN"/>
        </w:rPr>
        <w:t>《报价函》中的安全文明施工费必须填报，填报金额必须6982.48元（大写：陆仟玖佰捌拾贰元肆角捌分），否则，询比文件作否决报价处理。</w:t>
      </w:r>
      <w:r>
        <w:rPr>
          <w:rFonts w:hint="default" w:ascii="宋体" w:hAnsi="宋体" w:eastAsia="宋体" w:cs="Times New Roman"/>
          <w:color w:val="auto"/>
          <w:sz w:val="24"/>
          <w:highlight w:val="none"/>
          <w:lang w:val="en-US" w:eastAsia="zh-CN"/>
        </w:rPr>
        <w:t>结算时，安全文明施工费按《关于印发&lt;重庆市建设工程安全文明施工费计取及使用管理规定&gt;的通知》（渝建发[2014]25号）、《重庆市住房和城乡建设委员会关于适用增值税新税率调整建设工程计价依据的通知》（渝建〔2019〕143号）及2018年重庆市建设工程费用定额规定计取。安全文明施工的要求与内容、提取支付方法以及违反约定造成损失的赔偿等条款，按照现行文件要求执行，做到专款专用。根据渝建发【2011】607号文规定，成交人在施工过程中必须按《建筑工程施工围挡（Ⅱ）》（编号为 DJBT-062，图集号为11J03）标准设置施工围挡</w:t>
      </w:r>
    </w:p>
    <w:p w14:paraId="40F7E6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本工程建设工程竣工档案编制费以及企业管理费和组织措施费分别按（渝建发[2014]26号）、《重庆市住房和城乡建设委员会关于适用增值税新税率调整建设工程计价依据的通知》（渝建〔2019〕143号）、《重庆市住房和城乡建设委员会关于调整企业管理费和组织措施费内容及费用标准的通知》（渝建发[2014]27号）文件要求结合企业实力自主进行报价</w:t>
      </w:r>
    </w:p>
    <w:p w14:paraId="5449BE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xi.本工程规费按2018年《重庆市建设工程费用定额》的标准计取否则视为对询比采购文件不作实质性响应，其询比文件按否决报价处理</w:t>
      </w:r>
    </w:p>
    <w:p w14:paraId="269D7D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xii.工伤保险费按渝人社发［2015］197号文件执行</w:t>
      </w:r>
    </w:p>
    <w:p w14:paraId="45F031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iii.报价人在其询比报价中应充分考虑各项措施费用包括但不限于：临时水、电、脚手架和仓储用地、用房、人员食宿、建筑垃圾清运、排污费、材料及半成品的二次或多次转运、成品保护、所拆除的建筑构件及材料场内二次或多次转运等所引起的费用纳入询比报价中，采购人对此类费用不另行支付，施工现场不具备堆放物资、材料的条件，报价人应根据采购人要求地点搭设临设，同时报价人应将从临设至施工地点的材料、半成品、成品、设备等转运及其他可能产生的相关费用纳入询比报价中，采购人对此不再另行支付费用。</w:t>
      </w:r>
    </w:p>
    <w:p w14:paraId="381F6F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iv.成交人自行负责施工用水（含水源）、用电（含电源）及其接口，其费用由报价人纳入询比报价中，结算时采购人不支付此类费用。成交人必须结合施工场地供水、供电的实际情况，负责接至各施工点并对安全负责，并根据实际情况配备必要发电设备和水压增压设备等。由此发生的所有费用（包括搭接费、水电费、协调费、设备设施费等）已包含在询比报价中，工程结算时采购人不另行支付该费用。</w:t>
      </w:r>
    </w:p>
    <w:p w14:paraId="55AF98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v.包括但不限于建筑垃圾、余土石方、淤泥、混凝土浆、机械生产所需的汽油（机油）等按环保要求进行处理，并由成交人自行外运，由此所发生的一切费用（包括但不限于建筑垃圾的收集处理、弃土场道路的修建和维护、弃渣费、运输道路沿线的清扫、易撒漏物资密闭运输费以及措施费等）由报价人纳入询比报价中，成交后采购人不作任何调整。成交人由于余土石方及建筑垃圾的弃置所造成的一切赔偿由成交人自行负责并承担费用。</w:t>
      </w:r>
    </w:p>
    <w:p w14:paraId="359689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vi.成交单位必须注意安全防范，建筑材料不得乱堆乱放，充分考虑采取措施保护施工人员、过往行人等安全，按规定设置围墙、护栏、安全警示标志、警示照明、警示语等。由此而采取的一切措施所发生的费用已含在综合单价、合价中，采购人不再另行支付该项费用。若在施工期间由于施工措施或防护措施不当而造成的一切安全事故的，其全部安全责任和经济责任均由成交人自行承担，采购人不承担连带责任。</w:t>
      </w:r>
    </w:p>
    <w:p w14:paraId="7FB8B3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vii.成交人应保持施工区域内及周边现有道路、周边企业建设的进出道路的畅通，以及对相关设施的保护等，请报价人充分考虑，其费用全部纳入询比报价中。因本工程场地受限，红线范围内不提供现场办公和生活区的搭建场地，报价人应充分考虑现场实际情况，选址由报价人自行解决，采购人不提供使用场地，所发生费用由报价人综合考虑进入询比报价中，不再另行计价。</w:t>
      </w:r>
    </w:p>
    <w:p w14:paraId="189AFF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viii.本工程施工期间成交人须保护施工场地范围内地上（地下）各种管线、施工现场周边的建、构筑物，成交单位所采取保护措施而发生的相关费用（包括人、材、机停窝工、管线保护费、作业方式的调整等）由成交人承担，若成交人对管线和建、构筑物造成损坏或破坏的，由成交人负责修复并承担所有经济责任和法律责任，采购人不承担任何连带责任。</w:t>
      </w:r>
    </w:p>
    <w:p w14:paraId="0EAB34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ix.报价人应充分了解工地位置，若多家施工单位现场交叉作业时，成交人须无条件的服从采购人统一安排，否则立即无条件清离现场。一切损失由报价人自行承担，因此给采购人造成的损失，报价人必须承担赔偿。由于交叉作业增加的各种费用由报价人纳入询比报价中，采购人不另支付其它费用和调整成交价。</w:t>
      </w:r>
    </w:p>
    <w:p w14:paraId="2B02E4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若因采购人原因（如:工程设计变更、项目增减或征地拆迁不及时等）造成人、材、机停（窝）工、工期延长等，其相关费用由报价人纳入询比报价中，采购人不另行支付其它费用或调整成交单价，但影响的工期，采购人同意顺延。</w:t>
      </w:r>
    </w:p>
    <w:p w14:paraId="68656B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xxi.若因成交人原因，造成总工期延误的，每延误一日历天则向采购人支付违约金</w:t>
      </w:r>
      <w:r>
        <w:rPr>
          <w:rFonts w:hint="default" w:ascii="宋体" w:hAnsi="宋体" w:eastAsia="宋体" w:cs="Times New Roman"/>
          <w:color w:val="auto"/>
          <w:sz w:val="24"/>
          <w:highlight w:val="none"/>
          <w:u w:val="single"/>
          <w:lang w:val="en-US" w:eastAsia="zh-CN"/>
        </w:rPr>
        <w:t>1000</w:t>
      </w:r>
      <w:r>
        <w:rPr>
          <w:rFonts w:hint="default" w:ascii="宋体" w:hAnsi="宋体" w:eastAsia="宋体" w:cs="Times New Roman"/>
          <w:color w:val="auto"/>
          <w:sz w:val="24"/>
          <w:highlight w:val="none"/>
          <w:lang w:val="en-US" w:eastAsia="zh-CN"/>
        </w:rPr>
        <w:t>元，依此类推，报价人在报价时充分考虑此因素。</w:t>
      </w:r>
    </w:p>
    <w:p w14:paraId="5F85CD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xxii.本工程因工期紧，任务重，成交人应根据工期要求，合理安排机械设备及人员的投入，所发生的一切费用由报价人纳入询比报价中 。</w:t>
      </w:r>
    </w:p>
    <w:p w14:paraId="38C0AE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xxiii.材料：除询比采购文件及其附件内明确的甲供材以外，其余材料为成交人供应。</w:t>
      </w:r>
    </w:p>
    <w:p w14:paraId="7792B4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（1）材料价格按不含税价格确定，其进项税额按《重庆市住房和城乡建设委员会关于适用增值税新税率调整建设工程计价依据的通知》（渝建〔2019〕143号）执行。</w:t>
      </w:r>
    </w:p>
    <w:p w14:paraId="335051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（2）本工程的所有材料须先检测合格后方可施工，本项目建筑工程部分的质量检测按渝建 [2015]420 号文件规定执行；施工单位应为取样送检单位在施工现场开展有关工作提供条件，相关费用由报价人自行考虑并包含在询比报价中，不再调整。</w:t>
      </w:r>
    </w:p>
    <w:p w14:paraId="72D602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（3）报价人在报价时应充分考虑整个施工期内材料、设备的涨价因素，对施工期间主要材料价格变化不进行调整。</w:t>
      </w:r>
    </w:p>
    <w:p w14:paraId="4564E8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iv.本工程风险：①报价人应先到工地踏勘以充分了解工地位置、道路、储存空间、装卸限制等任何其它足以影响报价的情况，任何因忽视或误解工地情况而导致的索赔或工期延长申请将不获批准；②报价人的询比报价应结合当地市场价格，充分考虑本工程的施工条件、踏勘现场的实际情况及本工程的相关潜在风险（本工程施工期间若人工费、机械费价格上涨，结算时人工费、机械费价格均不作调整），依据本企业自身实力、技术及管理水平等自主报价；③本工程在施工过程中，采购人有权修改该工程的量、项等相关内容，成交人必须无条件接受，并不得因此要求采购人在询比采购文件规定以外的计价原则另行计价，各报价人须充分考虑由此产生的风险及费用</w:t>
      </w:r>
    </w:p>
    <w:p w14:paraId="469FCB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v.税金：①进项税额计算方法：按《重庆市住房和城乡建设委员会关于适用增值税新税率调整建设工程计价依据的通知》（渝建〔2019〕143号）文件规定执行；②销项税额计算方法：按《重庆市住房和城乡建设委员会关于适用增值税新税率调整建设工程计价依据的通知》（渝建〔2019〕143号）文件规定执行；③如有最新相关文件出台，按最新文件执行</w:t>
      </w:r>
    </w:p>
    <w:p w14:paraId="5147F9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xxvi.本工程设置询比总报价最高限价，本工程询比总报价最高限价为：</w:t>
      </w:r>
      <w:r>
        <w:rPr>
          <w:rFonts w:hint="default" w:ascii="宋体" w:hAnsi="宋体" w:eastAsia="宋体" w:cs="Times New Roman"/>
          <w:color w:val="auto"/>
          <w:sz w:val="24"/>
          <w:highlight w:val="none"/>
          <w:u w:val="single"/>
          <w:lang w:val="en-US" w:eastAsia="zh-CN"/>
        </w:rPr>
        <w:t>153478.66元（大写：壹拾伍万叁仟肆佰柒拾捌元陆角陆分）</w:t>
      </w:r>
      <w:r>
        <w:rPr>
          <w:rFonts w:hint="default" w:ascii="宋体" w:hAnsi="宋体" w:eastAsia="宋体" w:cs="Times New Roman"/>
          <w:color w:val="auto"/>
          <w:sz w:val="24"/>
          <w:highlight w:val="none"/>
          <w:lang w:val="en-US" w:eastAsia="zh-CN"/>
        </w:rPr>
        <w:t>。大于竞价最高限价的为无效报价，其询比文件作否决报价处理。</w:t>
      </w:r>
    </w:p>
    <w:p w14:paraId="562FA9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本工程将设置全部工程量清单综合单价最高限价，报价人的每项清单综合单价报价不得超过每项清单综合单价最高限价，所有分部分项工程量清单综合单价报价最高限价详见附件。</w:t>
      </w:r>
    </w:p>
    <w:p w14:paraId="7B0443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七、付款方式：</w:t>
      </w:r>
    </w:p>
    <w:p w14:paraId="45196F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发包人应在签订结算定案表后的28 天内，累计支付至竣工结算价款的97%，余3%质保金，待保修期满后一次性付清。发包人的支付方式约定为银行承兑汇票；如若付款方式调整为电汇付款（银行转账），则承包人对发包人的支付金额给予 1%的现金折扣（其中，需付至农民工工资专户的农民工工资和配置票据后付款尾差≤5000 元的现金支付部分不享受该现金折扣）。</w:t>
      </w:r>
    </w:p>
    <w:p w14:paraId="1D3124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八、</w:t>
      </w:r>
      <w:r>
        <w:rPr>
          <w:rFonts w:hint="eastAsia" w:ascii="宋体" w:hAnsi="宋体"/>
          <w:color w:val="auto"/>
          <w:sz w:val="24"/>
          <w:highlight w:val="none"/>
          <w:lang w:eastAsia="zh-CN"/>
        </w:rPr>
        <w:t>询比采购</w:t>
      </w:r>
      <w:r>
        <w:rPr>
          <w:rFonts w:hint="eastAsia" w:ascii="宋体" w:hAnsi="宋体"/>
          <w:color w:val="auto"/>
          <w:sz w:val="24"/>
          <w:highlight w:val="none"/>
        </w:rPr>
        <w:t>公告时间</w:t>
      </w:r>
    </w:p>
    <w:p w14:paraId="45AA8A36">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sz w:val="24"/>
          <w:szCs w:val="21"/>
          <w:highlight w:val="none"/>
        </w:rPr>
      </w:pPr>
      <w:r>
        <w:rPr>
          <w:rFonts w:hint="eastAsia" w:ascii="宋体" w:hAnsi="宋体"/>
          <w:color w:val="auto"/>
          <w:sz w:val="24"/>
          <w:highlight w:val="none"/>
        </w:rPr>
        <w:t>本次</w:t>
      </w:r>
      <w:r>
        <w:rPr>
          <w:rFonts w:hint="eastAsia" w:ascii="宋体" w:hAnsi="宋体"/>
          <w:color w:val="auto"/>
          <w:sz w:val="24"/>
          <w:highlight w:val="none"/>
          <w:lang w:eastAsia="zh-CN"/>
        </w:rPr>
        <w:t>询比采购</w:t>
      </w:r>
      <w:r>
        <w:rPr>
          <w:rFonts w:hint="eastAsia" w:ascii="宋体" w:hAnsi="宋体"/>
          <w:color w:val="auto"/>
          <w:sz w:val="24"/>
          <w:highlight w:val="none"/>
        </w:rPr>
        <w:t>公告开始时间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2026</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10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27</w:t>
      </w:r>
      <w:r>
        <w:rPr>
          <w:rFonts w:hint="eastAsia" w:ascii="宋体" w:hAnsi="宋体"/>
          <w:color w:val="auto"/>
          <w:sz w:val="24"/>
          <w:highlight w:val="none"/>
          <w:u w:val="single"/>
        </w:rPr>
        <w:t xml:space="preserve"> </w:t>
      </w:r>
      <w:r>
        <w:rPr>
          <w:rFonts w:hint="eastAsia" w:ascii="宋体" w:hAnsi="宋体"/>
          <w:color w:val="auto"/>
          <w:sz w:val="24"/>
          <w:highlight w:val="none"/>
        </w:rPr>
        <w:t>日，公告结束时间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2026</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10</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29</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653A7BC7">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取得</w:t>
      </w:r>
      <w:r>
        <w:rPr>
          <w:rFonts w:hint="eastAsia" w:ascii="宋体" w:hAnsi="宋体"/>
          <w:color w:val="auto"/>
          <w:sz w:val="24"/>
          <w:highlight w:val="none"/>
          <w:lang w:eastAsia="zh-CN"/>
        </w:rPr>
        <w:t>询比采购</w:t>
      </w:r>
      <w:r>
        <w:rPr>
          <w:rFonts w:hint="eastAsia" w:ascii="宋体" w:hAnsi="宋体"/>
          <w:color w:val="auto"/>
          <w:sz w:val="24"/>
          <w:highlight w:val="none"/>
        </w:rPr>
        <w:t xml:space="preserve">文件的联系方式： </w:t>
      </w:r>
    </w:p>
    <w:p w14:paraId="194907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采   购   人：重庆国际复合材料股份有限公司</w:t>
      </w:r>
    </w:p>
    <w:p w14:paraId="58F6D6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办  公 地 址：重庆市大渡口区建桥工业园B区</w:t>
      </w:r>
    </w:p>
    <w:p w14:paraId="614DB6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联   系   人：</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杨老师</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r>
        <w:rPr>
          <w:rFonts w:hint="eastAsia" w:ascii="宋体" w:hAnsi="宋体"/>
          <w:color w:val="auto"/>
          <w:sz w:val="24"/>
          <w:highlight w:val="none"/>
          <w:lang w:val="en-US" w:eastAsia="zh-CN"/>
        </w:rPr>
        <w:t xml:space="preserve">         </w:t>
      </w:r>
      <w:r>
        <w:rPr>
          <w:rFonts w:hint="eastAsia" w:ascii="宋体" w:hAnsi="宋体"/>
          <w:color w:val="auto"/>
          <w:sz w:val="24"/>
          <w:highlight w:val="none"/>
        </w:rPr>
        <w:t>联系电话：</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18983993055</w:t>
      </w:r>
      <w:r>
        <w:rPr>
          <w:rFonts w:hint="eastAsia" w:ascii="宋体" w:hAnsi="宋体"/>
          <w:color w:val="auto"/>
          <w:sz w:val="24"/>
          <w:highlight w:val="none"/>
          <w:u w:val="single"/>
        </w:rPr>
        <w:t xml:space="preserve">  </w:t>
      </w:r>
    </w:p>
    <w:p w14:paraId="5AFA969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ascii="宋体" w:hAnsi="宋体"/>
          <w:color w:val="auto"/>
          <w:sz w:val="24"/>
          <w:highlight w:val="none"/>
        </w:rPr>
        <w:t>九</w:t>
      </w:r>
      <w:r>
        <w:rPr>
          <w:rFonts w:hint="eastAsia" w:ascii="宋体" w:hAnsi="宋体"/>
          <w:color w:val="auto"/>
          <w:sz w:val="24"/>
          <w:highlight w:val="none"/>
        </w:rPr>
        <w:t>、</w:t>
      </w:r>
      <w:r>
        <w:rPr>
          <w:rFonts w:ascii="宋体" w:hAnsi="宋体"/>
          <w:color w:val="auto"/>
          <w:sz w:val="24"/>
          <w:highlight w:val="none"/>
        </w:rPr>
        <w:t>监督</w:t>
      </w:r>
      <w:r>
        <w:rPr>
          <w:rFonts w:hint="eastAsia" w:ascii="宋体" w:hAnsi="宋体"/>
          <w:color w:val="auto"/>
          <w:sz w:val="24"/>
          <w:highlight w:val="none"/>
        </w:rPr>
        <w:t>联系方式</w:t>
      </w:r>
    </w:p>
    <w:p w14:paraId="266BAE6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color w:val="auto"/>
          <w:sz w:val="24"/>
          <w:highlight w:val="none"/>
        </w:rPr>
      </w:pPr>
      <w:r>
        <w:rPr>
          <w:rFonts w:hint="eastAsia" w:ascii="宋体" w:hAnsi="宋体"/>
          <w:color w:val="auto"/>
          <w:sz w:val="24"/>
          <w:highlight w:val="none"/>
        </w:rPr>
        <w:t>监督人：重庆国际复合材料股份有限</w:t>
      </w:r>
    </w:p>
    <w:p w14:paraId="60A677EE">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color w:val="auto"/>
          <w:sz w:val="24"/>
          <w:highlight w:val="none"/>
        </w:rPr>
      </w:pPr>
      <w:r>
        <w:rPr>
          <w:rFonts w:hint="eastAsia" w:ascii="宋体" w:hAnsi="宋体"/>
          <w:color w:val="auto"/>
          <w:sz w:val="24"/>
          <w:highlight w:val="none"/>
        </w:rPr>
        <w:t>地址：重庆市大渡口区建桥工业园B区</w:t>
      </w:r>
    </w:p>
    <w:p w14:paraId="27699EF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ascii="宋体" w:hAnsi="宋体"/>
          <w:color w:val="auto"/>
          <w:sz w:val="24"/>
          <w:highlight w:val="none"/>
        </w:rPr>
      </w:pPr>
      <w:r>
        <w:rPr>
          <w:rFonts w:hint="eastAsia" w:ascii="宋体" w:hAnsi="宋体"/>
          <w:color w:val="auto"/>
          <w:sz w:val="24"/>
          <w:highlight w:val="none"/>
        </w:rPr>
        <w:t>联系人：</w:t>
      </w:r>
      <w:r>
        <w:rPr>
          <w:rFonts w:hint="eastAsia" w:ascii="宋体" w:hAnsi="宋体"/>
          <w:color w:val="auto"/>
          <w:sz w:val="24"/>
          <w:highlight w:val="none"/>
          <w:lang w:val="en-US" w:eastAsia="zh-CN"/>
        </w:rPr>
        <w:t>付</w:t>
      </w:r>
      <w:r>
        <w:rPr>
          <w:rFonts w:hint="eastAsia" w:ascii="宋体" w:hAnsi="宋体"/>
          <w:color w:val="auto"/>
          <w:sz w:val="24"/>
          <w:highlight w:val="none"/>
        </w:rPr>
        <w:t>老师</w:t>
      </w:r>
    </w:p>
    <w:p w14:paraId="531B1C0C">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color w:val="auto"/>
          <w:sz w:val="24"/>
          <w:highlight w:val="none"/>
          <w:lang w:val="en-US" w:eastAsia="zh-CN"/>
        </w:rPr>
      </w:pPr>
      <w:r>
        <w:rPr>
          <w:rFonts w:hint="eastAsia" w:ascii="宋体" w:hAnsi="宋体"/>
          <w:color w:val="auto"/>
          <w:sz w:val="24"/>
          <w:highlight w:val="none"/>
        </w:rPr>
        <w:t>联系电话：</w:t>
      </w:r>
      <w:r>
        <w:rPr>
          <w:rFonts w:hint="eastAsia" w:ascii="宋体" w:hAnsi="宋体"/>
          <w:color w:val="auto"/>
          <w:sz w:val="24"/>
          <w:highlight w:val="none"/>
          <w:lang w:val="en-US" w:eastAsia="zh-CN"/>
        </w:rPr>
        <w:t>023-</w:t>
      </w:r>
      <w:r>
        <w:rPr>
          <w:rFonts w:hint="eastAsia" w:ascii="宋体" w:hAnsi="宋体"/>
          <w:color w:val="auto"/>
          <w:sz w:val="24"/>
          <w:highlight w:val="none"/>
        </w:rPr>
        <w:t>685</w:t>
      </w:r>
      <w:r>
        <w:rPr>
          <w:rFonts w:hint="eastAsia" w:ascii="宋体" w:hAnsi="宋体"/>
          <w:color w:val="auto"/>
          <w:sz w:val="24"/>
          <w:highlight w:val="none"/>
          <w:lang w:val="en-US" w:eastAsia="zh-CN"/>
        </w:rPr>
        <w:t>36643</w:t>
      </w:r>
    </w:p>
    <w:p w14:paraId="74D8AB1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宋体" w:hAnsi="宋体"/>
          <w:color w:val="auto"/>
          <w:sz w:val="24"/>
          <w:highlight w:val="none"/>
          <w:lang w:val="en-US" w:eastAsia="zh-CN"/>
        </w:rPr>
      </w:pPr>
      <w:r>
        <w:rPr>
          <w:rFonts w:hint="eastAsia" w:ascii="宋体" w:hAnsi="宋体"/>
          <w:color w:val="auto"/>
          <w:sz w:val="24"/>
          <w:highlight w:val="none"/>
          <w:lang w:val="en-US" w:eastAsia="zh-CN"/>
        </w:rPr>
        <w:t>邮箱：</w:t>
      </w:r>
      <w:r>
        <w:rPr>
          <w:rFonts w:ascii="宋体" w:hAnsi="宋体" w:eastAsia="宋体" w:cs="宋体"/>
          <w:color w:val="auto"/>
          <w:sz w:val="24"/>
          <w:szCs w:val="24"/>
          <w:highlight w:val="none"/>
        </w:rPr>
        <w:t>fuwei4253@cpicfiber.com</w:t>
      </w:r>
    </w:p>
    <w:p w14:paraId="6BEC21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十、文件递交：</w:t>
      </w:r>
    </w:p>
    <w:p w14:paraId="51A23052">
      <w:pPr>
        <w:keepNext w:val="0"/>
        <w:keepLines w:val="0"/>
        <w:pageBreakBefore w:val="0"/>
        <w:widowControl w:val="0"/>
        <w:numPr>
          <w:ilvl w:val="0"/>
          <w:numId w:val="6"/>
        </w:numPr>
        <w:tabs>
          <w:tab w:val="left" w:pos="1425"/>
        </w:tabs>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1"/>
          <w:highlight w:val="none"/>
        </w:rPr>
      </w:pPr>
      <w:r>
        <w:rPr>
          <w:rFonts w:hint="eastAsia" w:ascii="宋体" w:hAnsi="宋体" w:cs="宋体"/>
          <w:color w:val="auto"/>
          <w:sz w:val="24"/>
          <w:szCs w:val="21"/>
          <w:highlight w:val="none"/>
        </w:rPr>
        <w:t>报价文件递交截止时间：</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u w:val="single"/>
          <w:lang w:val="en-US" w:eastAsia="zh-CN"/>
        </w:rPr>
        <w:t>2026</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rPr>
        <w:t>年</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u w:val="single"/>
          <w:lang w:val="en-US" w:eastAsia="zh-CN"/>
        </w:rPr>
        <w:t>10</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rPr>
        <w:t xml:space="preserve">月 </w:t>
      </w:r>
      <w:r>
        <w:rPr>
          <w:rFonts w:ascii="宋体" w:hAnsi="宋体" w:cs="宋体"/>
          <w:color w:val="auto"/>
          <w:sz w:val="24"/>
          <w:szCs w:val="21"/>
          <w:highlight w:val="none"/>
          <w:u w:val="single"/>
        </w:rPr>
        <w:t xml:space="preserve"> </w:t>
      </w:r>
      <w:r>
        <w:rPr>
          <w:rFonts w:hint="eastAsia" w:ascii="宋体" w:hAnsi="宋体" w:cs="宋体"/>
          <w:color w:val="auto"/>
          <w:sz w:val="24"/>
          <w:szCs w:val="21"/>
          <w:highlight w:val="none"/>
          <w:u w:val="single"/>
        </w:rPr>
        <w:t>　</w:t>
      </w:r>
      <w:r>
        <w:rPr>
          <w:rFonts w:hint="eastAsia" w:ascii="宋体" w:hAnsi="宋体" w:cs="宋体"/>
          <w:color w:val="auto"/>
          <w:sz w:val="24"/>
          <w:szCs w:val="21"/>
          <w:highlight w:val="none"/>
          <w:u w:val="single"/>
          <w:lang w:val="en-US" w:eastAsia="zh-CN"/>
        </w:rPr>
        <w:t>30</w:t>
      </w:r>
      <w:r>
        <w:rPr>
          <w:rFonts w:hint="eastAsia" w:ascii="宋体" w:hAnsi="宋体" w:cs="宋体"/>
          <w:color w:val="auto"/>
          <w:sz w:val="24"/>
          <w:szCs w:val="21"/>
          <w:highlight w:val="none"/>
          <w:u w:val="single"/>
        </w:rPr>
        <w:t>　　</w:t>
      </w:r>
      <w:r>
        <w:rPr>
          <w:rFonts w:hint="eastAsia" w:ascii="宋体" w:hAnsi="宋体" w:cs="宋体"/>
          <w:color w:val="auto"/>
          <w:sz w:val="24"/>
          <w:szCs w:val="21"/>
          <w:highlight w:val="none"/>
        </w:rPr>
        <w:t>日</w:t>
      </w:r>
      <w:r>
        <w:rPr>
          <w:rFonts w:hint="eastAsia" w:ascii="宋体" w:hAnsi="宋体" w:cs="宋体"/>
          <w:color w:val="auto"/>
          <w:sz w:val="24"/>
          <w:szCs w:val="21"/>
          <w:highlight w:val="none"/>
          <w:lang w:val="en-US" w:eastAsia="zh-CN"/>
        </w:rPr>
        <w:t>下</w:t>
      </w:r>
      <w:r>
        <w:rPr>
          <w:rFonts w:hint="eastAsia" w:ascii="宋体" w:hAnsi="宋体" w:cs="宋体"/>
          <w:color w:val="auto"/>
          <w:sz w:val="24"/>
          <w:szCs w:val="21"/>
          <w:highlight w:val="none"/>
        </w:rPr>
        <w:t>午</w:t>
      </w:r>
      <w:r>
        <w:rPr>
          <w:rFonts w:hint="eastAsia" w:ascii="宋体" w:hAnsi="宋体" w:cs="宋体"/>
          <w:color w:val="auto"/>
          <w:sz w:val="24"/>
          <w:szCs w:val="21"/>
          <w:highlight w:val="none"/>
          <w:u w:val="single"/>
        </w:rPr>
        <w:t>　</w:t>
      </w:r>
      <w:r>
        <w:rPr>
          <w:rFonts w:hint="eastAsia" w:ascii="宋体" w:hAnsi="宋体" w:cs="宋体"/>
          <w:color w:val="auto"/>
          <w:sz w:val="24"/>
          <w:szCs w:val="21"/>
          <w:highlight w:val="none"/>
          <w:u w:val="single"/>
          <w:lang w:val="en-US" w:eastAsia="zh-CN"/>
        </w:rPr>
        <w:t>3</w:t>
      </w:r>
      <w:r>
        <w:rPr>
          <w:rFonts w:hint="eastAsia" w:ascii="宋体" w:hAnsi="宋体" w:cs="宋体"/>
          <w:color w:val="auto"/>
          <w:sz w:val="24"/>
          <w:szCs w:val="21"/>
          <w:highlight w:val="none"/>
          <w:u w:val="single"/>
        </w:rPr>
        <w:t xml:space="preserve">  </w:t>
      </w:r>
      <w:r>
        <w:rPr>
          <w:rFonts w:ascii="宋体" w:hAnsi="宋体" w:cs="宋体"/>
          <w:color w:val="auto"/>
          <w:sz w:val="24"/>
          <w:szCs w:val="21"/>
          <w:highlight w:val="none"/>
        </w:rPr>
        <w:t>时</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u w:val="single"/>
          <w:lang w:val="en-US" w:eastAsia="zh-CN"/>
        </w:rPr>
        <w:t>30</w:t>
      </w:r>
      <w:r>
        <w:rPr>
          <w:rFonts w:ascii="宋体" w:hAnsi="宋体" w:cs="宋体"/>
          <w:color w:val="auto"/>
          <w:sz w:val="24"/>
          <w:szCs w:val="21"/>
          <w:highlight w:val="none"/>
          <w:u w:val="single"/>
        </w:rPr>
        <w:t xml:space="preserve"> </w:t>
      </w:r>
      <w:r>
        <w:rPr>
          <w:rFonts w:hint="eastAsia" w:ascii="宋体" w:hAnsi="宋体" w:cs="宋体"/>
          <w:color w:val="auto"/>
          <w:sz w:val="24"/>
          <w:szCs w:val="21"/>
          <w:highlight w:val="none"/>
        </w:rPr>
        <w:t>分；递交地点为：重庆市大渡口区重庆国际复合材料股份有限公司。</w:t>
      </w:r>
    </w:p>
    <w:p w14:paraId="3168F7B5">
      <w:pPr>
        <w:keepNext w:val="0"/>
        <w:keepLines w:val="0"/>
        <w:pageBreakBefore w:val="0"/>
        <w:widowControl w:val="0"/>
        <w:numPr>
          <w:ilvl w:val="0"/>
          <w:numId w:val="6"/>
        </w:numPr>
        <w:tabs>
          <w:tab w:val="left" w:pos="1425"/>
        </w:tabs>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1"/>
          <w:highlight w:val="none"/>
        </w:rPr>
      </w:pPr>
      <w:r>
        <w:rPr>
          <w:rFonts w:hint="eastAsia" w:ascii="宋体" w:hAnsi="宋体" w:cs="宋体"/>
          <w:color w:val="auto"/>
          <w:sz w:val="24"/>
          <w:szCs w:val="21"/>
          <w:highlight w:val="none"/>
        </w:rPr>
        <w:t>比价时间：报价文件递交截止之日起3个工作日内。</w:t>
      </w:r>
    </w:p>
    <w:p w14:paraId="212EDD34">
      <w:pPr>
        <w:keepNext w:val="0"/>
        <w:keepLines w:val="0"/>
        <w:pageBreakBefore w:val="0"/>
        <w:widowControl w:val="0"/>
        <w:numPr>
          <w:ilvl w:val="0"/>
          <w:numId w:val="6"/>
        </w:numPr>
        <w:tabs>
          <w:tab w:val="left" w:pos="1425"/>
        </w:tabs>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1"/>
          <w:highlight w:val="none"/>
        </w:rPr>
      </w:pPr>
      <w:r>
        <w:rPr>
          <w:rFonts w:hint="eastAsia" w:ascii="宋体" w:hAnsi="宋体" w:cs="宋体"/>
          <w:color w:val="auto"/>
          <w:sz w:val="24"/>
          <w:szCs w:val="21"/>
          <w:highlight w:val="none"/>
        </w:rPr>
        <w:t>比价地点：重庆市大渡口区重庆国际复合材料股份有限公司大渡口本部。</w:t>
      </w:r>
    </w:p>
    <w:p w14:paraId="63254BF4">
      <w:pPr>
        <w:keepNext w:val="0"/>
        <w:keepLines w:val="0"/>
        <w:pageBreakBefore w:val="0"/>
        <w:widowControl w:val="0"/>
        <w:numPr>
          <w:ilvl w:val="0"/>
          <w:numId w:val="6"/>
        </w:numPr>
        <w:tabs>
          <w:tab w:val="left" w:pos="1425"/>
        </w:tabs>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1"/>
          <w:highlight w:val="none"/>
        </w:rPr>
      </w:pPr>
      <w:r>
        <w:rPr>
          <w:rFonts w:hint="eastAsia" w:ascii="宋体" w:hAnsi="宋体" w:cs="宋体"/>
          <w:color w:val="auto"/>
          <w:sz w:val="24"/>
          <w:szCs w:val="21"/>
          <w:highlight w:val="none"/>
        </w:rPr>
        <w:t>逾期送达的、未送达指定地点</w:t>
      </w:r>
      <w:r>
        <w:rPr>
          <w:rFonts w:hint="eastAsia" w:ascii="宋体" w:hAnsi="宋体" w:cs="宋体"/>
          <w:color w:val="auto"/>
          <w:sz w:val="24"/>
          <w:szCs w:val="21"/>
          <w:highlight w:val="none"/>
        </w:rPr>
        <w:t>或不按照要求密封</w:t>
      </w:r>
      <w:r>
        <w:rPr>
          <w:rFonts w:hint="eastAsia" w:ascii="宋体" w:hAnsi="宋体" w:cs="宋体"/>
          <w:color w:val="auto"/>
          <w:sz w:val="24"/>
          <w:szCs w:val="21"/>
          <w:highlight w:val="none"/>
        </w:rPr>
        <w:t>的</w:t>
      </w:r>
      <w:r>
        <w:rPr>
          <w:rFonts w:hint="eastAsia" w:ascii="宋体" w:hAnsi="宋体" w:cs="宋体"/>
          <w:color w:val="auto"/>
          <w:sz w:val="24"/>
          <w:szCs w:val="21"/>
          <w:highlight w:val="none"/>
        </w:rPr>
        <w:t>报价文件，采购人不予受理。</w:t>
      </w:r>
    </w:p>
    <w:p w14:paraId="32EB375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napToGrid w:val="0"/>
          <w:color w:val="auto"/>
          <w:kern w:val="0"/>
          <w:sz w:val="24"/>
          <w:szCs w:val="21"/>
          <w:highlight w:val="none"/>
        </w:rPr>
      </w:pPr>
      <w:r>
        <w:rPr>
          <w:rFonts w:ascii="宋体" w:hAnsi="宋体"/>
          <w:snapToGrid w:val="0"/>
          <w:color w:val="auto"/>
          <w:kern w:val="0"/>
          <w:sz w:val="24"/>
          <w:szCs w:val="21"/>
          <w:highlight w:val="none"/>
        </w:rPr>
        <w:t>十一</w:t>
      </w:r>
      <w:r>
        <w:rPr>
          <w:rFonts w:hint="eastAsia" w:ascii="宋体" w:hAnsi="宋体"/>
          <w:snapToGrid w:val="0"/>
          <w:color w:val="auto"/>
          <w:kern w:val="0"/>
          <w:sz w:val="24"/>
          <w:szCs w:val="21"/>
          <w:highlight w:val="none"/>
        </w:rPr>
        <w:t>、比价方式：本次比价采取经评审的最低价法。</w:t>
      </w:r>
    </w:p>
    <w:p w14:paraId="5D17D1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napToGrid w:val="0"/>
          <w:color w:val="auto"/>
          <w:kern w:val="0"/>
          <w:sz w:val="24"/>
          <w:szCs w:val="21"/>
          <w:highlight w:val="none"/>
        </w:rPr>
      </w:pPr>
      <w:r>
        <w:rPr>
          <w:rFonts w:hint="eastAsia" w:ascii="宋体" w:hAnsi="宋体"/>
          <w:snapToGrid w:val="0"/>
          <w:color w:val="auto"/>
          <w:kern w:val="0"/>
          <w:sz w:val="24"/>
          <w:szCs w:val="21"/>
          <w:highlight w:val="none"/>
        </w:rPr>
        <w:t>（1）对报价不高于最高限价（若有）的所有报价人的</w:t>
      </w:r>
      <w:r>
        <w:rPr>
          <w:rFonts w:hint="eastAsia" w:ascii="宋体" w:hAnsi="宋体"/>
          <w:snapToGrid w:val="0"/>
          <w:color w:val="auto"/>
          <w:kern w:val="0"/>
          <w:sz w:val="24"/>
          <w:szCs w:val="21"/>
          <w:highlight w:val="none"/>
          <w:lang w:val="en-US" w:eastAsia="zh-CN"/>
        </w:rPr>
        <w:t>报价</w:t>
      </w:r>
      <w:r>
        <w:rPr>
          <w:rFonts w:hint="eastAsia" w:ascii="宋体" w:hAnsi="宋体"/>
          <w:snapToGrid w:val="0"/>
          <w:color w:val="auto"/>
          <w:kern w:val="0"/>
          <w:sz w:val="24"/>
          <w:szCs w:val="21"/>
          <w:highlight w:val="none"/>
        </w:rPr>
        <w:t>文件，按照报价由低到高的顺序排序。</w:t>
      </w:r>
    </w:p>
    <w:p w14:paraId="07309C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napToGrid w:val="0"/>
          <w:color w:val="auto"/>
          <w:kern w:val="0"/>
          <w:sz w:val="24"/>
          <w:szCs w:val="21"/>
          <w:highlight w:val="none"/>
        </w:rPr>
      </w:pPr>
      <w:r>
        <w:rPr>
          <w:rFonts w:hint="eastAsia" w:ascii="宋体" w:hAnsi="宋体"/>
          <w:snapToGrid w:val="0"/>
          <w:color w:val="auto"/>
          <w:kern w:val="0"/>
          <w:sz w:val="24"/>
          <w:szCs w:val="21"/>
          <w:highlight w:val="none"/>
        </w:rPr>
        <w:t>（2）符合性审查合格的报价人中，报价最低的成为第一成交候选人，报价次低的成为第二成交候选人，依次类推。</w:t>
      </w:r>
    </w:p>
    <w:p w14:paraId="7AD5A9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snapToGrid w:val="0"/>
          <w:color w:val="auto"/>
          <w:kern w:val="0"/>
          <w:sz w:val="24"/>
          <w:szCs w:val="21"/>
          <w:highlight w:val="none"/>
        </w:rPr>
      </w:pPr>
      <w:r>
        <w:rPr>
          <w:rFonts w:hint="eastAsia" w:ascii="宋体" w:hAnsi="宋体"/>
          <w:snapToGrid w:val="0"/>
          <w:color w:val="auto"/>
          <w:kern w:val="0"/>
          <w:sz w:val="24"/>
          <w:szCs w:val="21"/>
          <w:highlight w:val="none"/>
        </w:rPr>
        <w:t>（3）因谈判小组作否决处理，导致有效供应商不足三个的，谈判小组应当否决所有谈判文件。</w:t>
      </w:r>
    </w:p>
    <w:p w14:paraId="5AEB8C2A">
      <w:pPr>
        <w:spacing w:line="440" w:lineRule="exact"/>
        <w:ind w:firstLine="480" w:firstLineChars="200"/>
        <w:jc w:val="left"/>
        <w:rPr>
          <w:rFonts w:hint="eastAsia" w:ascii="宋体" w:hAnsi="宋体" w:cs="宋体"/>
          <w:color w:val="auto"/>
          <w:sz w:val="24"/>
          <w:szCs w:val="21"/>
          <w:highlight w:val="none"/>
        </w:rPr>
      </w:pPr>
    </w:p>
    <w:p w14:paraId="7542610D">
      <w:pPr>
        <w:spacing w:line="440" w:lineRule="exact"/>
        <w:jc w:val="right"/>
        <w:rPr>
          <w:rFonts w:hint="eastAsia" w:ascii="宋体" w:hAnsi="宋体"/>
          <w:color w:val="auto"/>
          <w:kern w:val="0"/>
          <w:sz w:val="24"/>
          <w:szCs w:val="21"/>
          <w:highlight w:val="none"/>
        </w:rPr>
      </w:pPr>
      <w:r>
        <w:rPr>
          <w:rFonts w:hint="eastAsia" w:ascii="宋体" w:hAnsi="宋体"/>
          <w:color w:val="auto"/>
          <w:kern w:val="0"/>
          <w:sz w:val="24"/>
          <w:szCs w:val="21"/>
          <w:highlight w:val="none"/>
        </w:rPr>
        <w:t xml:space="preserve">  </w:t>
      </w:r>
    </w:p>
    <w:p w14:paraId="38CA75E5">
      <w:pPr>
        <w:spacing w:line="440" w:lineRule="exact"/>
        <w:jc w:val="right"/>
        <w:rPr>
          <w:rFonts w:hint="eastAsia" w:ascii="宋体" w:hAnsi="宋体" w:cs="宋体"/>
          <w:color w:val="auto"/>
          <w:sz w:val="24"/>
          <w:szCs w:val="21"/>
          <w:highlight w:val="none"/>
        </w:rPr>
      </w:pPr>
      <w:r>
        <w:rPr>
          <w:rFonts w:hint="eastAsia" w:ascii="宋体" w:hAnsi="宋体" w:cs="宋体"/>
          <w:color w:val="auto"/>
          <w:sz w:val="24"/>
          <w:szCs w:val="21"/>
          <w:highlight w:val="none"/>
        </w:rPr>
        <w:t>重庆国际复合材料股份有限公司</w:t>
      </w:r>
    </w:p>
    <w:p w14:paraId="61D4ACE7">
      <w:pPr>
        <w:wordWrap w:val="0"/>
        <w:spacing w:line="440" w:lineRule="exact"/>
        <w:jc w:val="right"/>
        <w:rPr>
          <w:rFonts w:ascii="宋体" w:hAnsi="宋体" w:cs="宋体"/>
          <w:color w:val="auto"/>
          <w:sz w:val="24"/>
          <w:szCs w:val="21"/>
          <w:highlight w:val="none"/>
        </w:rPr>
      </w:pPr>
      <w:r>
        <w:rPr>
          <w:rFonts w:hint="eastAsia" w:ascii="宋体" w:hAnsi="宋体" w:cs="宋体"/>
          <w:color w:val="auto"/>
          <w:sz w:val="24"/>
          <w:szCs w:val="21"/>
          <w:highlight w:val="none"/>
          <w:lang w:val="en-US" w:eastAsia="zh-CN"/>
        </w:rPr>
        <w:t>2026</w:t>
      </w:r>
      <w:r>
        <w:rPr>
          <w:rFonts w:hint="eastAsia" w:ascii="宋体" w:hAnsi="宋体" w:cs="宋体"/>
          <w:color w:val="auto"/>
          <w:sz w:val="24"/>
          <w:szCs w:val="21"/>
          <w:highlight w:val="none"/>
        </w:rPr>
        <w:t xml:space="preserve">年 </w:t>
      </w:r>
      <w:r>
        <w:rPr>
          <w:rFonts w:hint="eastAsia" w:ascii="宋体" w:hAnsi="宋体" w:cs="宋体"/>
          <w:color w:val="auto"/>
          <w:sz w:val="24"/>
          <w:szCs w:val="21"/>
          <w:highlight w:val="none"/>
          <w:lang w:val="en-US" w:eastAsia="zh-CN"/>
        </w:rPr>
        <w:t>10</w:t>
      </w:r>
      <w:r>
        <w:rPr>
          <w:rFonts w:hint="eastAsia" w:ascii="宋体" w:hAnsi="宋体" w:cs="宋体"/>
          <w:color w:val="auto"/>
          <w:sz w:val="24"/>
          <w:szCs w:val="21"/>
          <w:highlight w:val="none"/>
        </w:rPr>
        <w:t xml:space="preserve"> 月</w:t>
      </w:r>
      <w:r>
        <w:rPr>
          <w:rFonts w:hint="eastAsia" w:ascii="宋体" w:hAnsi="宋体" w:cs="宋体"/>
          <w:color w:val="auto"/>
          <w:sz w:val="24"/>
          <w:szCs w:val="21"/>
          <w:highlight w:val="none"/>
          <w:lang w:val="en-US" w:eastAsia="zh-CN"/>
        </w:rPr>
        <w:t>27</w:t>
      </w:r>
      <w:r>
        <w:rPr>
          <w:rFonts w:hint="eastAsia" w:ascii="宋体" w:hAnsi="宋体" w:cs="宋体"/>
          <w:color w:val="auto"/>
          <w:sz w:val="24"/>
          <w:szCs w:val="21"/>
          <w:highlight w:val="none"/>
        </w:rPr>
        <w:t xml:space="preserve"> 日</w:t>
      </w:r>
    </w:p>
    <w:p w14:paraId="55F6B1CE">
      <w:pPr>
        <w:rPr>
          <w:rFonts w:ascii="宋体" w:hAnsi="宋体"/>
          <w:color w:val="auto"/>
          <w:sz w:val="24"/>
          <w:highlight w:val="none"/>
        </w:rPr>
        <w:sectPr>
          <w:pgSz w:w="11906" w:h="16838"/>
          <w:pgMar w:top="1440" w:right="1800" w:bottom="1440" w:left="1800" w:header="851" w:footer="992" w:gutter="0"/>
          <w:cols w:space="720" w:num="1"/>
          <w:docGrid w:type="lines" w:linePitch="312" w:charSpace="0"/>
        </w:sectPr>
      </w:pPr>
    </w:p>
    <w:p w14:paraId="222BF53A">
      <w:pPr>
        <w:spacing w:before="180" w:beforeLines="75" w:after="240" w:afterLines="100"/>
        <w:jc w:val="left"/>
        <w:rPr>
          <w:rFonts w:hint="default" w:ascii="宋体" w:hAnsi="宋体" w:eastAsia="宋体" w:cs="Arial"/>
          <w:b/>
          <w:color w:val="auto"/>
          <w:sz w:val="28"/>
          <w:szCs w:val="28"/>
          <w:highlight w:val="none"/>
          <w:lang w:val="en-US" w:eastAsia="zh-CN"/>
        </w:rPr>
      </w:pPr>
      <w:r>
        <w:rPr>
          <w:rFonts w:hint="eastAsia" w:ascii="宋体" w:hAnsi="宋体" w:cs="Arial"/>
          <w:b/>
          <w:color w:val="auto"/>
          <w:sz w:val="28"/>
          <w:szCs w:val="28"/>
          <w:highlight w:val="none"/>
          <w:lang w:val="en-US" w:eastAsia="zh-CN"/>
        </w:rPr>
        <w:t>附件1：</w:t>
      </w:r>
    </w:p>
    <w:p w14:paraId="023B1FE3">
      <w:pPr>
        <w:spacing w:before="180" w:beforeLines="75" w:after="240" w:afterLines="100"/>
        <w:jc w:val="center"/>
        <w:rPr>
          <w:rFonts w:ascii="宋体" w:hAnsi="宋体" w:cs="Arial"/>
          <w:b/>
          <w:color w:val="auto"/>
          <w:sz w:val="44"/>
          <w:szCs w:val="44"/>
          <w:highlight w:val="none"/>
        </w:rPr>
      </w:pPr>
      <w:r>
        <w:rPr>
          <w:rFonts w:hint="eastAsia" w:ascii="宋体" w:hAnsi="宋体" w:cs="Arial"/>
          <w:b/>
          <w:color w:val="auto"/>
          <w:sz w:val="44"/>
          <w:szCs w:val="44"/>
          <w:highlight w:val="none"/>
        </w:rPr>
        <w:t>法定代表人授权书</w:t>
      </w:r>
    </w:p>
    <w:p w14:paraId="5710401B">
      <w:pPr>
        <w:spacing w:line="480" w:lineRule="auto"/>
        <w:ind w:firstLine="480" w:firstLineChars="200"/>
        <w:jc w:val="left"/>
        <w:rPr>
          <w:rFonts w:ascii="宋体" w:hAnsi="宋体"/>
          <w:color w:val="auto"/>
          <w:sz w:val="24"/>
          <w:highlight w:val="none"/>
        </w:rPr>
      </w:pPr>
      <w:r>
        <w:rPr>
          <w:rFonts w:hint="eastAsia" w:ascii="宋体" w:hAnsi="宋体"/>
          <w:color w:val="auto"/>
          <w:sz w:val="24"/>
          <w:highlight w:val="none"/>
        </w:rPr>
        <w:t>本授权书声明：注册于</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供应商注册地址</w:t>
      </w:r>
      <w:r>
        <w:rPr>
          <w:rFonts w:hint="eastAsia" w:ascii="宋体" w:hAnsi="宋体"/>
          <w:color w:val="auto"/>
          <w:sz w:val="24"/>
          <w:highlight w:val="none"/>
        </w:rPr>
        <w:t>）的（</w:t>
      </w:r>
      <w:r>
        <w:rPr>
          <w:rFonts w:hint="eastAsia" w:ascii="宋体" w:hAnsi="宋体"/>
          <w:i/>
          <w:color w:val="auto"/>
          <w:sz w:val="24"/>
          <w:highlight w:val="none"/>
        </w:rPr>
        <w:t>供应商名称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hint="eastAsia" w:ascii="宋体" w:hAnsi="宋体"/>
          <w:i/>
          <w:color w:val="auto"/>
          <w:sz w:val="24"/>
          <w:highlight w:val="none"/>
        </w:rPr>
        <w:t>法定代表人姓名、职务</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授权 （</w:t>
      </w:r>
      <w:r>
        <w:rPr>
          <w:rFonts w:hint="eastAsia" w:ascii="宋体" w:hAnsi="宋体"/>
          <w:i/>
          <w:color w:val="auto"/>
          <w:sz w:val="24"/>
          <w:highlight w:val="none"/>
        </w:rPr>
        <w:t>单位名称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被授权人的姓名、职务</w:t>
      </w:r>
      <w:r>
        <w:rPr>
          <w:rFonts w:hint="eastAsia" w:ascii="宋体" w:hAnsi="宋体"/>
          <w:color w:val="auto"/>
          <w:sz w:val="24"/>
          <w:highlight w:val="none"/>
        </w:rPr>
        <w:t>）为</w:t>
      </w:r>
      <w:r>
        <w:rPr>
          <w:rFonts w:ascii="宋体" w:hAnsi="宋体"/>
          <w:color w:val="auto"/>
          <w:sz w:val="24"/>
          <w:highlight w:val="none"/>
        </w:rPr>
        <w:t>(</w:t>
      </w:r>
      <w:r>
        <w:rPr>
          <w:rFonts w:hint="eastAsia" w:ascii="宋体" w:hAnsi="宋体"/>
          <w:i/>
          <w:color w:val="auto"/>
          <w:sz w:val="24"/>
          <w:highlight w:val="none"/>
        </w:rPr>
        <w:t>供应商名称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的合法代理人，就</w:t>
      </w:r>
      <w:r>
        <w:rPr>
          <w:rFonts w:hint="eastAsia" w:ascii="宋体" w:hAnsi="宋体"/>
          <w:color w:val="auto"/>
          <w:kern w:val="0"/>
          <w:sz w:val="24"/>
          <w:highlight w:val="none"/>
        </w:rPr>
        <w:t>重庆国际复合材料股份有限公司</w:t>
      </w:r>
      <w:r>
        <w:rPr>
          <w:rFonts w:hint="eastAsia" w:ascii="宋体" w:hAnsi="宋体"/>
          <w:color w:val="auto"/>
          <w:kern w:val="0"/>
          <w:sz w:val="24"/>
          <w:highlight w:val="none"/>
          <w:u w:val="single"/>
        </w:rPr>
        <w:t xml:space="preserve">                   </w:t>
      </w:r>
      <w:r>
        <w:rPr>
          <w:rFonts w:hint="eastAsia" w:ascii="宋体" w:hAnsi="宋体" w:cs="Arial"/>
          <w:color w:val="auto"/>
          <w:sz w:val="24"/>
          <w:highlight w:val="none"/>
        </w:rPr>
        <w:t>项目的</w:t>
      </w:r>
      <w:r>
        <w:rPr>
          <w:rFonts w:hint="eastAsia" w:ascii="宋体" w:hAnsi="宋体"/>
          <w:color w:val="auto"/>
          <w:sz w:val="24"/>
          <w:highlight w:val="none"/>
          <w:lang w:eastAsia="zh-CN"/>
        </w:rPr>
        <w:t>询比采购</w:t>
      </w:r>
      <w:r>
        <w:rPr>
          <w:rFonts w:hint="eastAsia" w:ascii="宋体" w:hAnsi="宋体"/>
          <w:color w:val="auto"/>
          <w:sz w:val="24"/>
          <w:highlight w:val="none"/>
        </w:rPr>
        <w:t>，以</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供应商名称</w:t>
      </w:r>
      <w:r>
        <w:rPr>
          <w:rFonts w:hint="eastAsia" w:ascii="宋体" w:hAnsi="宋体"/>
          <w:color w:val="auto"/>
          <w:sz w:val="24"/>
          <w:highlight w:val="none"/>
        </w:rPr>
        <w:t>）的名义处理一切与之有关的事务。被授权人无转委托权。</w:t>
      </w:r>
    </w:p>
    <w:p w14:paraId="3C64A759">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本授权书于</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u w:val="single"/>
        </w:rPr>
        <w:t xml:space="preserve">      </w:t>
      </w:r>
      <w:r>
        <w:rPr>
          <w:rFonts w:hint="eastAsia" w:ascii="宋体" w:hAnsi="宋体"/>
          <w:color w:val="auto"/>
          <w:sz w:val="24"/>
          <w:highlight w:val="none"/>
        </w:rPr>
        <w:t>日签字生效。</w:t>
      </w:r>
    </w:p>
    <w:p w14:paraId="26F172A0">
      <w:pPr>
        <w:spacing w:line="480" w:lineRule="auto"/>
        <w:rPr>
          <w:rFonts w:ascii="宋体" w:hAnsi="宋体"/>
          <w:color w:val="auto"/>
          <w:sz w:val="24"/>
          <w:highlight w:val="none"/>
        </w:rPr>
      </w:pPr>
    </w:p>
    <w:p w14:paraId="6343EB89">
      <w:pPr>
        <w:spacing w:line="480" w:lineRule="auto"/>
        <w:rPr>
          <w:rFonts w:ascii="宋体" w:hAnsi="宋体"/>
          <w:color w:val="auto"/>
          <w:sz w:val="24"/>
          <w:highlight w:val="none"/>
          <w:u w:val="single"/>
        </w:rPr>
      </w:pPr>
      <w:r>
        <w:rPr>
          <w:rFonts w:hint="eastAsia" w:ascii="宋体" w:hAnsi="宋体"/>
          <w:color w:val="auto"/>
          <w:sz w:val="24"/>
          <w:highlight w:val="none"/>
        </w:rPr>
        <w:t>法定代表人签字：</w:t>
      </w:r>
      <w:r>
        <w:rPr>
          <w:rFonts w:hint="eastAsia" w:ascii="宋体" w:hAnsi="宋体"/>
          <w:color w:val="auto"/>
          <w:sz w:val="24"/>
          <w:highlight w:val="none"/>
          <w:u w:val="single"/>
        </w:rPr>
        <w:t xml:space="preserve">                            </w:t>
      </w:r>
    </w:p>
    <w:p w14:paraId="75A52788">
      <w:pPr>
        <w:spacing w:line="480" w:lineRule="auto"/>
        <w:rPr>
          <w:rFonts w:ascii="宋体" w:hAnsi="宋体"/>
          <w:color w:val="auto"/>
          <w:sz w:val="24"/>
          <w:highlight w:val="none"/>
          <w:u w:val="single"/>
        </w:rPr>
      </w:pPr>
      <w:r>
        <w:rPr>
          <w:rFonts w:hint="eastAsia" w:ascii="宋体" w:hAnsi="宋体"/>
          <w:color w:val="auto"/>
          <w:sz w:val="24"/>
          <w:highlight w:val="none"/>
        </w:rPr>
        <w:t>被授权人签字：</w:t>
      </w:r>
      <w:r>
        <w:rPr>
          <w:rFonts w:hint="eastAsia" w:ascii="宋体" w:hAnsi="宋体"/>
          <w:color w:val="auto"/>
          <w:sz w:val="24"/>
          <w:highlight w:val="none"/>
          <w:u w:val="single"/>
        </w:rPr>
        <w:t xml:space="preserve">                              </w:t>
      </w:r>
    </w:p>
    <w:p w14:paraId="64EA3710">
      <w:pPr>
        <w:rPr>
          <w:rFonts w:ascii="宋体" w:hAnsi="宋体"/>
          <w:color w:val="auto"/>
          <w:highlight w:val="none"/>
        </w:rPr>
      </w:pPr>
    </w:p>
    <w:p w14:paraId="0FD4F39D">
      <w:pPr>
        <w:spacing w:line="360" w:lineRule="auto"/>
        <w:rPr>
          <w:rFonts w:ascii="宋体" w:hAnsi="宋体"/>
          <w:color w:val="auto"/>
          <w:sz w:val="24"/>
          <w:highlight w:val="none"/>
        </w:rPr>
      </w:pPr>
      <w:r>
        <w:rPr>
          <w:rFonts w:hint="eastAsia" w:ascii="宋体" w:hAnsi="宋体"/>
          <w:color w:val="auto"/>
          <w:sz w:val="24"/>
          <w:highlight w:val="none"/>
        </w:rPr>
        <w:t>供应商名称：</w:t>
      </w:r>
      <w:r>
        <w:rPr>
          <w:rFonts w:hint="eastAsia" w:ascii="宋体" w:hAnsi="宋体"/>
          <w:color w:val="auto"/>
          <w:sz w:val="24"/>
          <w:highlight w:val="none"/>
          <w:u w:val="single"/>
        </w:rPr>
        <w:t xml:space="preserve">                       </w:t>
      </w:r>
      <w:r>
        <w:rPr>
          <w:rFonts w:hint="eastAsia" w:ascii="宋体" w:hAnsi="宋体"/>
          <w:color w:val="auto"/>
          <w:sz w:val="24"/>
          <w:highlight w:val="none"/>
        </w:rPr>
        <w:t>（盖公章）</w:t>
      </w:r>
    </w:p>
    <w:p w14:paraId="07CD48F3">
      <w:pPr>
        <w:spacing w:line="360" w:lineRule="auto"/>
        <w:rPr>
          <w:rFonts w:hint="eastAsia" w:ascii="宋体" w:hAnsi="宋体"/>
          <w:color w:val="auto"/>
          <w:sz w:val="24"/>
          <w:highlight w:val="none"/>
        </w:rPr>
      </w:pPr>
    </w:p>
    <w:p w14:paraId="1DAE2BCB">
      <w:pPr>
        <w:spacing w:line="360" w:lineRule="auto"/>
        <w:rPr>
          <w:rFonts w:hint="eastAsia" w:ascii="宋体" w:hAnsi="宋体"/>
          <w:color w:val="auto"/>
          <w:szCs w:val="21"/>
          <w:highlight w:val="none"/>
        </w:rPr>
      </w:pPr>
      <w:r>
        <w:rPr>
          <w:rFonts w:hint="eastAsia" w:ascii="宋体" w:hAnsi="宋体"/>
          <w:color w:val="auto"/>
          <w:sz w:val="24"/>
          <w:highlight w:val="none"/>
        </w:rPr>
        <w:t xml:space="preserve">日期：     年    月 </w:t>
      </w:r>
      <w:r>
        <w:rPr>
          <w:rFonts w:ascii="宋体" w:hAnsi="宋体"/>
          <w:color w:val="auto"/>
          <w:sz w:val="24"/>
          <w:highlight w:val="none"/>
        </w:rPr>
        <w:t xml:space="preserve">  </w:t>
      </w:r>
      <w:r>
        <w:rPr>
          <w:rFonts w:hint="eastAsia" w:ascii="宋体" w:hAnsi="宋体"/>
          <w:color w:val="auto"/>
          <w:sz w:val="24"/>
          <w:highlight w:val="none"/>
        </w:rPr>
        <w:t>日</w:t>
      </w:r>
    </w:p>
    <w:p w14:paraId="525CEF97">
      <w:pPr>
        <w:spacing w:line="360" w:lineRule="auto"/>
        <w:rPr>
          <w:rFonts w:hint="eastAsia" w:ascii="宋体" w:hAnsi="宋体"/>
          <w:color w:val="auto"/>
          <w:sz w:val="24"/>
          <w:highlight w:val="none"/>
        </w:rPr>
      </w:pPr>
    </w:p>
    <w:p w14:paraId="606F2C0A">
      <w:pPr>
        <w:spacing w:line="360" w:lineRule="auto"/>
        <w:rPr>
          <w:rFonts w:hint="eastAsia" w:ascii="宋体" w:hAnsi="宋体"/>
          <w:color w:val="auto"/>
          <w:sz w:val="24"/>
          <w:highlight w:val="none"/>
        </w:rPr>
      </w:pPr>
    </w:p>
    <w:p w14:paraId="4DA93FB6">
      <w:pPr>
        <w:spacing w:line="360" w:lineRule="auto"/>
        <w:rPr>
          <w:rFonts w:hint="eastAsia" w:ascii="宋体" w:hAnsi="宋体"/>
          <w:color w:val="auto"/>
          <w:sz w:val="24"/>
          <w:highlight w:val="none"/>
        </w:rPr>
      </w:pPr>
    </w:p>
    <w:p w14:paraId="07E5BAD6">
      <w:pPr>
        <w:spacing w:line="360" w:lineRule="auto"/>
        <w:rPr>
          <w:rFonts w:hint="eastAsia" w:ascii="宋体" w:hAnsi="宋体"/>
          <w:color w:val="auto"/>
          <w:sz w:val="24"/>
          <w:highlight w:val="none"/>
        </w:rPr>
      </w:pPr>
    </w:p>
    <w:p w14:paraId="4B1CBE0F">
      <w:pPr>
        <w:spacing w:line="360" w:lineRule="auto"/>
        <w:rPr>
          <w:rFonts w:hint="eastAsia" w:ascii="宋体" w:hAnsi="宋体"/>
          <w:color w:val="auto"/>
          <w:sz w:val="24"/>
          <w:highlight w:val="none"/>
        </w:rPr>
      </w:pPr>
    </w:p>
    <w:p w14:paraId="6E2D67BF">
      <w:pPr>
        <w:spacing w:line="360" w:lineRule="auto"/>
        <w:rPr>
          <w:rFonts w:hint="eastAsia" w:ascii="宋体" w:hAnsi="宋体"/>
          <w:color w:val="auto"/>
          <w:sz w:val="24"/>
          <w:highlight w:val="none"/>
        </w:rPr>
      </w:pPr>
    </w:p>
    <w:p w14:paraId="26EADEEB">
      <w:pPr>
        <w:spacing w:line="360" w:lineRule="auto"/>
        <w:rPr>
          <w:rFonts w:hint="eastAsia" w:ascii="宋体" w:hAnsi="宋体"/>
          <w:color w:val="auto"/>
          <w:sz w:val="24"/>
          <w:highlight w:val="none"/>
        </w:rPr>
      </w:pPr>
    </w:p>
    <w:p w14:paraId="495C1E13">
      <w:pPr>
        <w:spacing w:line="360" w:lineRule="auto"/>
        <w:rPr>
          <w:rFonts w:hint="eastAsia" w:ascii="宋体" w:hAnsi="宋体"/>
          <w:color w:val="auto"/>
          <w:sz w:val="24"/>
          <w:highlight w:val="none"/>
        </w:rPr>
      </w:pPr>
    </w:p>
    <w:p w14:paraId="1FC6179C">
      <w:pPr>
        <w:widowControl/>
        <w:jc w:val="center"/>
        <w:rPr>
          <w:rFonts w:ascii="宋体" w:hAnsi="宋体"/>
          <w:b/>
          <w:color w:val="auto"/>
          <w:kern w:val="0"/>
          <w:sz w:val="32"/>
          <w:szCs w:val="28"/>
          <w:highlight w:val="none"/>
        </w:rPr>
      </w:pPr>
      <w:r>
        <w:rPr>
          <w:rFonts w:hint="eastAsia" w:ascii="宋体" w:hAnsi="宋体"/>
          <w:b/>
          <w:color w:val="auto"/>
          <w:kern w:val="0"/>
          <w:sz w:val="32"/>
          <w:szCs w:val="28"/>
          <w:highlight w:val="none"/>
        </w:rPr>
        <w:t>附件</w:t>
      </w:r>
      <w:r>
        <w:rPr>
          <w:rFonts w:hint="eastAsia" w:ascii="宋体" w:hAnsi="宋体"/>
          <w:b/>
          <w:color w:val="auto"/>
          <w:kern w:val="0"/>
          <w:sz w:val="32"/>
          <w:szCs w:val="28"/>
          <w:highlight w:val="none"/>
          <w:lang w:val="en-US" w:eastAsia="zh-CN"/>
        </w:rPr>
        <w:t>2</w:t>
      </w:r>
      <w:r>
        <w:rPr>
          <w:rFonts w:ascii="宋体" w:hAnsi="宋体"/>
          <w:b/>
          <w:color w:val="auto"/>
          <w:kern w:val="0"/>
          <w:sz w:val="32"/>
          <w:szCs w:val="28"/>
          <w:highlight w:val="none"/>
        </w:rPr>
        <w:t xml:space="preserve"> </w:t>
      </w:r>
      <w:r>
        <w:rPr>
          <w:rFonts w:hint="eastAsia" w:ascii="宋体" w:hAnsi="宋体"/>
          <w:b/>
          <w:color w:val="auto"/>
          <w:kern w:val="0"/>
          <w:sz w:val="32"/>
          <w:szCs w:val="28"/>
          <w:highlight w:val="none"/>
        </w:rPr>
        <w:t>资格</w:t>
      </w:r>
      <w:r>
        <w:rPr>
          <w:rFonts w:ascii="宋体" w:hAnsi="宋体"/>
          <w:b/>
          <w:color w:val="auto"/>
          <w:kern w:val="0"/>
          <w:sz w:val="32"/>
          <w:szCs w:val="28"/>
          <w:highlight w:val="none"/>
        </w:rPr>
        <w:t>证明文件</w:t>
      </w:r>
    </w:p>
    <w:p w14:paraId="4B24F3D6">
      <w:pPr>
        <w:widowControl/>
        <w:jc w:val="center"/>
        <w:rPr>
          <w:rFonts w:ascii="宋体" w:hAnsi="宋体"/>
          <w:color w:val="auto"/>
          <w:sz w:val="24"/>
          <w:highlight w:val="none"/>
        </w:rPr>
      </w:pPr>
    </w:p>
    <w:p w14:paraId="6F91E0DC">
      <w:pPr>
        <w:pStyle w:val="19"/>
        <w:ind w:firstLine="0" w:firstLineChars="0"/>
        <w:rPr>
          <w:rFonts w:ascii="宋体" w:hAnsi="宋体"/>
          <w:b/>
          <w:color w:val="auto"/>
          <w:highlight w:val="none"/>
        </w:rPr>
      </w:pPr>
      <w:r>
        <w:rPr>
          <w:rFonts w:hint="eastAsia" w:ascii="宋体" w:hAnsi="宋体"/>
          <w:color w:val="auto"/>
          <w:highlight w:val="none"/>
        </w:rPr>
        <w:t>报价人提交</w:t>
      </w:r>
      <w:r>
        <w:rPr>
          <w:rFonts w:ascii="宋体" w:hAnsi="宋体"/>
          <w:color w:val="auto"/>
          <w:highlight w:val="none"/>
        </w:rPr>
        <w:t>下列</w:t>
      </w:r>
      <w:r>
        <w:rPr>
          <w:rFonts w:hint="eastAsia" w:ascii="宋体" w:hAnsi="宋体"/>
          <w:color w:val="auto"/>
          <w:highlight w:val="none"/>
        </w:rPr>
        <w:t>资格证明文件</w:t>
      </w:r>
    </w:p>
    <w:p w14:paraId="2E2A04F4">
      <w:pPr>
        <w:pStyle w:val="19"/>
        <w:rPr>
          <w:rFonts w:ascii="宋体" w:hAnsi="宋体"/>
          <w:color w:val="auto"/>
          <w:highlight w:val="none"/>
        </w:rPr>
      </w:pPr>
      <w:r>
        <w:rPr>
          <w:rFonts w:hint="eastAsia" w:ascii="宋体" w:hAnsi="宋体"/>
          <w:color w:val="auto"/>
          <w:highlight w:val="none"/>
        </w:rPr>
        <w:t>（1）</w:t>
      </w:r>
      <w:r>
        <w:rPr>
          <w:rFonts w:ascii="宋体" w:hAnsi="宋体"/>
          <w:color w:val="auto"/>
          <w:highlight w:val="none"/>
        </w:rPr>
        <w:t>企业法人营业执照副本</w:t>
      </w:r>
      <w:r>
        <w:rPr>
          <w:rFonts w:hint="eastAsia" w:ascii="宋体" w:hAnsi="宋体"/>
          <w:color w:val="auto"/>
          <w:highlight w:val="none"/>
        </w:rPr>
        <w:t>（清晰</w:t>
      </w:r>
      <w:r>
        <w:rPr>
          <w:rFonts w:ascii="宋体" w:hAnsi="宋体"/>
          <w:color w:val="auto"/>
          <w:highlight w:val="none"/>
        </w:rPr>
        <w:t>复印件</w:t>
      </w:r>
      <w:r>
        <w:rPr>
          <w:rFonts w:hint="eastAsia" w:ascii="宋体" w:hAnsi="宋体"/>
          <w:color w:val="auto"/>
          <w:highlight w:val="none"/>
        </w:rPr>
        <w:t>并</w:t>
      </w:r>
      <w:r>
        <w:rPr>
          <w:rFonts w:ascii="宋体" w:hAnsi="宋体"/>
          <w:color w:val="auto"/>
          <w:highlight w:val="none"/>
        </w:rPr>
        <w:t>加盖有效公章</w:t>
      </w:r>
      <w:r>
        <w:rPr>
          <w:rFonts w:hint="eastAsia" w:ascii="宋体" w:hAnsi="宋体"/>
          <w:color w:val="auto"/>
          <w:highlight w:val="none"/>
        </w:rPr>
        <w:t>）</w:t>
      </w:r>
    </w:p>
    <w:p w14:paraId="22623436">
      <w:pPr>
        <w:pStyle w:val="19"/>
        <w:rPr>
          <w:rFonts w:ascii="宋体" w:hAnsi="宋体"/>
          <w:color w:val="auto"/>
          <w:highlight w:val="none"/>
        </w:rPr>
      </w:pPr>
      <w:r>
        <w:rPr>
          <w:rFonts w:hint="eastAsia" w:ascii="宋体" w:hAnsi="宋体"/>
          <w:color w:val="auto"/>
          <w:highlight w:val="none"/>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询比文件截止时间前一天。</w:t>
      </w:r>
    </w:p>
    <w:p w14:paraId="0A2CDC7A">
      <w:pPr>
        <w:pStyle w:val="19"/>
        <w:rPr>
          <w:rFonts w:hint="eastAsia" w:ascii="宋体" w:hAnsi="宋体" w:eastAsia="宋体"/>
          <w:color w:val="auto"/>
          <w:highlight w:val="none"/>
          <w:lang w:eastAsia="zh-CN"/>
        </w:rPr>
      </w:pPr>
      <w:r>
        <w:rPr>
          <w:rFonts w:hint="eastAsia" w:ascii="宋体" w:hAnsi="宋体"/>
          <w:color w:val="auto"/>
          <w:highlight w:val="none"/>
        </w:rPr>
        <w:t>（3）</w:t>
      </w:r>
      <w:r>
        <w:rPr>
          <w:rFonts w:hint="eastAsia" w:ascii="宋体" w:hAnsi="宋体"/>
          <w:snapToGrid w:val="0"/>
          <w:color w:val="auto"/>
          <w:kern w:val="0"/>
          <w:szCs w:val="21"/>
          <w:highlight w:val="none"/>
        </w:rPr>
        <w:t>有效的安全生产许可证</w:t>
      </w:r>
      <w:r>
        <w:rPr>
          <w:rFonts w:hint="eastAsia" w:ascii="宋体" w:hAnsi="宋体"/>
          <w:snapToGrid w:val="0"/>
          <w:color w:val="auto"/>
          <w:kern w:val="0"/>
          <w:szCs w:val="21"/>
          <w:highlight w:val="none"/>
          <w:lang w:eastAsia="zh-CN"/>
        </w:rPr>
        <w:t>，</w:t>
      </w:r>
      <w:r>
        <w:rPr>
          <w:rFonts w:hint="eastAsia" w:ascii="宋体" w:hAnsi="宋体"/>
          <w:snapToGrid w:val="0"/>
          <w:color w:val="auto"/>
          <w:kern w:val="0"/>
          <w:szCs w:val="21"/>
          <w:highlight w:val="none"/>
        </w:rPr>
        <w:t>建设行政主管部门颁发的有效的建筑机电安装工程专业承包三级及以上资质或机电工程施工总承包三级及以上资质</w:t>
      </w:r>
      <w:r>
        <w:rPr>
          <w:rFonts w:hint="eastAsia" w:ascii="宋体" w:hAnsi="宋体"/>
          <w:snapToGrid w:val="0"/>
          <w:color w:val="auto"/>
          <w:kern w:val="0"/>
          <w:szCs w:val="21"/>
          <w:highlight w:val="none"/>
          <w:lang w:val="en-US" w:eastAsia="zh-CN"/>
        </w:rPr>
        <w:t>等</w:t>
      </w:r>
      <w:r>
        <w:rPr>
          <w:rFonts w:hint="eastAsia" w:ascii="宋体" w:hAnsi="宋体"/>
          <w:snapToGrid w:val="0"/>
          <w:color w:val="auto"/>
          <w:kern w:val="0"/>
          <w:szCs w:val="21"/>
          <w:highlight w:val="none"/>
        </w:rPr>
        <w:t>质</w:t>
      </w:r>
      <w:r>
        <w:rPr>
          <w:rFonts w:hint="eastAsia" w:cs="宋体"/>
          <w:color w:val="auto"/>
          <w:highlight w:val="none"/>
          <w:lang w:bidi="ar"/>
        </w:rPr>
        <w:t>证明材料</w:t>
      </w:r>
      <w:r>
        <w:rPr>
          <w:rFonts w:hint="eastAsia" w:cs="宋体"/>
          <w:color w:val="auto"/>
          <w:highlight w:val="none"/>
          <w:lang w:eastAsia="zh-CN" w:bidi="ar"/>
        </w:rPr>
        <w:t>，</w:t>
      </w:r>
      <w:r>
        <w:rPr>
          <w:rFonts w:hint="eastAsia" w:cs="宋体"/>
          <w:color w:val="auto"/>
          <w:highlight w:val="none"/>
          <w:lang w:val="en-US" w:eastAsia="zh-CN" w:bidi="ar"/>
        </w:rPr>
        <w:t>加</w:t>
      </w:r>
      <w:r>
        <w:rPr>
          <w:rFonts w:hint="eastAsia" w:ascii="宋体" w:hAnsi="宋体"/>
          <w:snapToGrid w:val="0"/>
          <w:color w:val="auto"/>
          <w:kern w:val="0"/>
          <w:szCs w:val="21"/>
          <w:highlight w:val="none"/>
        </w:rPr>
        <w:t>盖报价人公章。</w:t>
      </w:r>
    </w:p>
    <w:p w14:paraId="5BC35675">
      <w:pPr>
        <w:pStyle w:val="19"/>
        <w:rPr>
          <w:rFonts w:ascii="宋体" w:hAnsi="宋体"/>
          <w:color w:val="auto"/>
          <w:highlight w:val="none"/>
        </w:rPr>
      </w:pPr>
      <w:r>
        <w:rPr>
          <w:rFonts w:hint="eastAsia" w:ascii="宋体" w:hAnsi="宋体"/>
          <w:color w:val="auto"/>
          <w:highlight w:val="none"/>
        </w:rPr>
        <w:t>（4）其他</w:t>
      </w:r>
      <w:r>
        <w:rPr>
          <w:rFonts w:ascii="宋体" w:hAnsi="宋体"/>
          <w:color w:val="auto"/>
          <w:highlight w:val="none"/>
        </w:rPr>
        <w:t>证明文件和材料</w:t>
      </w:r>
    </w:p>
    <w:p w14:paraId="707E99B2">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53F96C58">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593B147A">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6022FF5D">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0F71A6A9">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61408B2C">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42F18A85">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4F3CC9F5">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29C8421A">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05265BFF">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4C4CE72A">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5AEA553D">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210AE9C7">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6A38B0BA">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174BC3B7">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0EA9D7BA">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478EA624">
      <w:pPr>
        <w:widowControl/>
        <w:jc w:val="center"/>
        <w:rPr>
          <w:rFonts w:ascii="宋体" w:hAnsi="宋体"/>
          <w:b/>
          <w:color w:val="auto"/>
          <w:kern w:val="0"/>
          <w:sz w:val="32"/>
          <w:szCs w:val="28"/>
          <w:highlight w:val="none"/>
        </w:rPr>
      </w:pPr>
      <w:r>
        <w:rPr>
          <w:rFonts w:hint="eastAsia" w:ascii="宋体" w:hAnsi="宋体"/>
          <w:b/>
          <w:color w:val="auto"/>
          <w:kern w:val="0"/>
          <w:sz w:val="32"/>
          <w:szCs w:val="28"/>
          <w:highlight w:val="none"/>
        </w:rPr>
        <w:t>附件</w:t>
      </w:r>
      <w:r>
        <w:rPr>
          <w:rFonts w:hint="eastAsia" w:ascii="宋体" w:hAnsi="宋体"/>
          <w:b/>
          <w:color w:val="auto"/>
          <w:kern w:val="0"/>
          <w:sz w:val="32"/>
          <w:szCs w:val="28"/>
          <w:highlight w:val="none"/>
          <w:lang w:val="en-US" w:eastAsia="zh-CN"/>
        </w:rPr>
        <w:t>3</w:t>
      </w:r>
      <w:r>
        <w:rPr>
          <w:rFonts w:hint="eastAsia" w:ascii="宋体" w:hAnsi="宋体"/>
          <w:b/>
          <w:color w:val="auto"/>
          <w:kern w:val="0"/>
          <w:sz w:val="32"/>
          <w:szCs w:val="28"/>
          <w:highlight w:val="none"/>
        </w:rPr>
        <w:t xml:space="preserve">  报价函</w:t>
      </w:r>
    </w:p>
    <w:p w14:paraId="3FC1EF72">
      <w:pPr>
        <w:pStyle w:val="20"/>
        <w:spacing w:before="0" w:after="0" w:line="360" w:lineRule="auto"/>
        <w:jc w:val="center"/>
        <w:rPr>
          <w:rStyle w:val="21"/>
          <w:color w:val="auto"/>
          <w:sz w:val="28"/>
          <w:szCs w:val="24"/>
          <w:highlight w:val="none"/>
        </w:rPr>
      </w:pPr>
      <w:r>
        <w:rPr>
          <w:rStyle w:val="21"/>
          <w:color w:val="auto"/>
          <w:sz w:val="28"/>
          <w:highlight w:val="none"/>
        </w:rPr>
        <w:t xml:space="preserve">（一） </w:t>
      </w:r>
      <w:r>
        <w:rPr>
          <w:rStyle w:val="21"/>
          <w:rFonts w:hint="eastAsia"/>
          <w:color w:val="auto"/>
          <w:sz w:val="28"/>
          <w:highlight w:val="none"/>
        </w:rPr>
        <w:t>报价</w:t>
      </w:r>
      <w:r>
        <w:rPr>
          <w:rStyle w:val="21"/>
          <w:color w:val="auto"/>
          <w:sz w:val="28"/>
          <w:highlight w:val="none"/>
        </w:rPr>
        <w:t>函</w:t>
      </w:r>
    </w:p>
    <w:p w14:paraId="51BEC943">
      <w:pPr>
        <w:spacing w:line="360" w:lineRule="auto"/>
        <w:rPr>
          <w:rStyle w:val="21"/>
          <w:color w:val="auto"/>
          <w:position w:val="6"/>
          <w:szCs w:val="21"/>
          <w:highlight w:val="none"/>
        </w:rPr>
      </w:pPr>
    </w:p>
    <w:p w14:paraId="75F26102">
      <w:pPr>
        <w:tabs>
          <w:tab w:val="left" w:pos="2640"/>
        </w:tabs>
        <w:autoSpaceDE w:val="0"/>
        <w:autoSpaceDN w:val="0"/>
        <w:adjustRightInd w:val="0"/>
        <w:spacing w:line="220" w:lineRule="exact"/>
        <w:ind w:left="12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u w:val="single"/>
        </w:rPr>
        <w:t>重庆国际复合材料股份有限公司</w:t>
      </w:r>
      <w:r>
        <w:rPr>
          <w:rFonts w:hint="eastAsia" w:ascii="宋体" w:hAnsi="宋体" w:cs="MingLiU"/>
          <w:snapToGrid w:val="0"/>
          <w:color w:val="auto"/>
          <w:kern w:val="0"/>
          <w:szCs w:val="21"/>
          <w:highlight w:val="none"/>
        </w:rPr>
        <w:t>：</w:t>
      </w:r>
    </w:p>
    <w:p w14:paraId="24C7B42B">
      <w:pPr>
        <w:autoSpaceDE w:val="0"/>
        <w:autoSpaceDN w:val="0"/>
        <w:adjustRightInd w:val="0"/>
        <w:spacing w:before="15" w:line="140" w:lineRule="exact"/>
        <w:jc w:val="left"/>
        <w:rPr>
          <w:rFonts w:ascii="宋体" w:hAnsi="宋体" w:cs="MingLiU"/>
          <w:snapToGrid w:val="0"/>
          <w:color w:val="auto"/>
          <w:kern w:val="0"/>
          <w:sz w:val="14"/>
          <w:szCs w:val="14"/>
          <w:highlight w:val="none"/>
        </w:rPr>
      </w:pPr>
    </w:p>
    <w:p w14:paraId="1D091CEE">
      <w:pPr>
        <w:autoSpaceDE w:val="0"/>
        <w:autoSpaceDN w:val="0"/>
        <w:adjustRightInd w:val="0"/>
        <w:spacing w:line="200" w:lineRule="exact"/>
        <w:jc w:val="left"/>
        <w:rPr>
          <w:rFonts w:ascii="宋体" w:hAnsi="宋体" w:cs="MingLiU"/>
          <w:snapToGrid w:val="0"/>
          <w:color w:val="auto"/>
          <w:kern w:val="0"/>
          <w:sz w:val="20"/>
          <w:szCs w:val="20"/>
          <w:highlight w:val="none"/>
        </w:rPr>
      </w:pPr>
    </w:p>
    <w:p w14:paraId="7D66F2EC">
      <w:pPr>
        <w:tabs>
          <w:tab w:val="left" w:pos="2655"/>
          <w:tab w:val="left" w:pos="3520"/>
          <w:tab w:val="left" w:pos="4920"/>
          <w:tab w:val="left" w:pos="5715"/>
          <w:tab w:val="left" w:pos="6945"/>
          <w:tab w:val="left" w:pos="7980"/>
        </w:tabs>
        <w:autoSpaceDE w:val="0"/>
        <w:autoSpaceDN w:val="0"/>
        <w:adjustRightInd w:val="0"/>
        <w:spacing w:line="354" w:lineRule="auto"/>
        <w:ind w:left="120" w:leftChars="57" w:right="94" w:firstLine="420" w:firstLineChars="200"/>
        <w:rPr>
          <w:rFonts w:ascii="宋体" w:hAnsi="宋体" w:cs="MingLiU"/>
          <w:snapToGrid w:val="0"/>
          <w:color w:val="auto"/>
          <w:kern w:val="0"/>
          <w:szCs w:val="21"/>
          <w:highlight w:val="none"/>
        </w:rPr>
      </w:pPr>
      <w:r>
        <w:rPr>
          <w:rFonts w:ascii="宋体" w:hAnsi="宋体"/>
          <w:snapToGrid w:val="0"/>
          <w:color w:val="auto"/>
          <w:kern w:val="0"/>
          <w:szCs w:val="21"/>
          <w:highlight w:val="none"/>
        </w:rPr>
        <w:t>1</w:t>
      </w:r>
      <w:r>
        <w:rPr>
          <w:rFonts w:hint="eastAsia" w:ascii="宋体" w:hAnsi="宋体" w:cs="MingLiU"/>
          <w:snapToGrid w:val="0"/>
          <w:color w:val="auto"/>
          <w:kern w:val="0"/>
          <w:szCs w:val="21"/>
          <w:highlight w:val="none"/>
        </w:rPr>
        <w:t>．我方已仔细研究了</w:t>
      </w:r>
      <w:r>
        <w:rPr>
          <w:rFonts w:hint="eastAsia" w:ascii="宋体" w:hAnsi="宋体" w:cs="MingLiU"/>
          <w:snapToGrid w:val="0"/>
          <w:color w:val="auto"/>
          <w:kern w:val="0"/>
          <w:szCs w:val="21"/>
          <w:highlight w:val="none"/>
          <w:u w:val="single"/>
        </w:rPr>
        <w:t xml:space="preserve"> 含氟硅胶及硅尾矿石英砂资源化利用研究开发项目高低压柜更换工程 </w:t>
      </w:r>
      <w:r>
        <w:rPr>
          <w:rFonts w:hint="eastAsia" w:ascii="宋体" w:hAnsi="宋体" w:cs="MingLiU"/>
          <w:snapToGrid w:val="0"/>
          <w:color w:val="auto"/>
          <w:kern w:val="0"/>
          <w:szCs w:val="21"/>
          <w:highlight w:val="none"/>
        </w:rPr>
        <w:t>询比采购文件的全部内容，愿意以人民币（大写）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）作为本项目的总报价，其中安全文明施工费为：（大写）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），该</w:t>
      </w:r>
      <w:r>
        <w:rPr>
          <w:rFonts w:cs="MingLiU"/>
          <w:snapToGrid w:val="0"/>
          <w:color w:val="auto"/>
          <w:kern w:val="0"/>
          <w:highlight w:val="none"/>
        </w:rPr>
        <w:t>项目</w:t>
      </w:r>
      <w:r>
        <w:rPr>
          <w:rFonts w:hint="eastAsia" w:cs="MingLiU"/>
          <w:snapToGrid w:val="0"/>
          <w:color w:val="auto"/>
          <w:kern w:val="0"/>
          <w:highlight w:val="none"/>
        </w:rPr>
        <w:t>项目经理</w:t>
      </w:r>
      <w:r>
        <w:rPr>
          <w:rFonts w:cs="MingLiU"/>
          <w:snapToGrid w:val="0"/>
          <w:color w:val="auto"/>
          <w:kern w:val="0"/>
          <w:highlight w:val="none"/>
        </w:rPr>
        <w:t>为</w:t>
      </w:r>
      <w:r>
        <w:rPr>
          <w:rFonts w:hint="eastAsia" w:cs="MingLiU"/>
          <w:snapToGrid w:val="0"/>
          <w:color w:val="auto"/>
          <w:kern w:val="0"/>
          <w:highlight w:val="none"/>
        </w:rPr>
        <w:t xml:space="preserve"> </w:t>
      </w:r>
      <w:r>
        <w:rPr>
          <w:rFonts w:hint="eastAsia" w:cs="MingLiU"/>
          <w:snapToGrid w:val="0"/>
          <w:color w:val="auto"/>
          <w:kern w:val="0"/>
          <w:highlight w:val="none"/>
          <w:u w:val="single"/>
        </w:rPr>
        <w:t xml:space="preserve">     </w:t>
      </w:r>
      <w:r>
        <w:rPr>
          <w:rFonts w:hint="eastAsia" w:ascii="宋体" w:hAnsi="宋体"/>
          <w:snapToGrid w:val="0"/>
          <w:color w:val="auto"/>
          <w:kern w:val="0"/>
          <w:szCs w:val="21"/>
          <w:highlight w:val="none"/>
          <w:u w:val="single"/>
        </w:rPr>
        <w:t xml:space="preserve">    </w:t>
      </w:r>
      <w:r>
        <w:rPr>
          <w:rFonts w:hint="eastAsia" w:ascii="宋体" w:hAnsi="宋体" w:cs="MingLiU"/>
          <w:snapToGrid w:val="0"/>
          <w:color w:val="auto"/>
          <w:kern w:val="0"/>
          <w:szCs w:val="21"/>
          <w:highlight w:val="none"/>
        </w:rPr>
        <w:t>，</w:t>
      </w:r>
      <w:r>
        <w:rPr>
          <w:rFonts w:hint="eastAsia" w:ascii="宋体" w:hAnsi="宋体" w:cs="宋体"/>
          <w:color w:val="auto"/>
          <w:highlight w:val="none"/>
        </w:rPr>
        <w:t>服务期：</w:t>
      </w:r>
      <w:r>
        <w:rPr>
          <w:rFonts w:hint="eastAsia" w:ascii="宋体" w:hAnsi="宋体" w:cs="宋体"/>
          <w:color w:val="auto"/>
          <w:highlight w:val="none"/>
          <w:u w:val="single"/>
        </w:rPr>
        <w:t>（满足/不满足）</w:t>
      </w:r>
      <w:r>
        <w:rPr>
          <w:rFonts w:hint="eastAsia" w:ascii="宋体" w:hAnsi="宋体" w:cs="宋体"/>
          <w:color w:val="auto"/>
          <w:highlight w:val="none"/>
        </w:rPr>
        <w:t>询比采购文件要求</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 xml:space="preserve"> </w:t>
      </w:r>
      <w:r>
        <w:rPr>
          <w:rFonts w:hint="eastAsia" w:ascii="宋体" w:hAnsi="宋体" w:cs="MingLiU"/>
          <w:snapToGrid w:val="0"/>
          <w:color w:val="auto"/>
          <w:kern w:val="0"/>
          <w:szCs w:val="21"/>
          <w:highlight w:val="none"/>
        </w:rPr>
        <w:t>按合同约定实施相关</w:t>
      </w:r>
      <w:r>
        <w:rPr>
          <w:rFonts w:hint="eastAsia" w:ascii="宋体" w:hAnsi="宋体" w:cs="宋体"/>
          <w:color w:val="auto"/>
          <w:szCs w:val="21"/>
          <w:highlight w:val="none"/>
        </w:rPr>
        <w:t>工作</w:t>
      </w:r>
      <w:r>
        <w:rPr>
          <w:rFonts w:hint="eastAsia" w:ascii="宋体" w:hAnsi="宋体" w:cs="MingLiU"/>
          <w:snapToGrid w:val="0"/>
          <w:color w:val="auto"/>
          <w:kern w:val="0"/>
          <w:szCs w:val="21"/>
          <w:highlight w:val="none"/>
        </w:rPr>
        <w:t>。</w:t>
      </w:r>
    </w:p>
    <w:p w14:paraId="5222251F">
      <w:pPr>
        <w:autoSpaceDE w:val="0"/>
        <w:autoSpaceDN w:val="0"/>
        <w:adjustRightInd w:val="0"/>
        <w:spacing w:before="15"/>
        <w:ind w:left="540" w:right="-20"/>
        <w:jc w:val="left"/>
        <w:rPr>
          <w:rFonts w:ascii="宋体" w:hAnsi="宋体" w:cs="MingLiU"/>
          <w:snapToGrid w:val="0"/>
          <w:color w:val="auto"/>
          <w:kern w:val="0"/>
          <w:szCs w:val="21"/>
          <w:highlight w:val="none"/>
        </w:rPr>
      </w:pPr>
      <w:r>
        <w:rPr>
          <w:rFonts w:ascii="宋体" w:hAnsi="宋体"/>
          <w:snapToGrid w:val="0"/>
          <w:color w:val="auto"/>
          <w:kern w:val="0"/>
          <w:szCs w:val="21"/>
          <w:highlight w:val="none"/>
        </w:rPr>
        <w:t>2</w:t>
      </w:r>
      <w:r>
        <w:rPr>
          <w:rFonts w:hint="eastAsia" w:ascii="宋体" w:hAnsi="宋体" w:cs="MingLiU"/>
          <w:snapToGrid w:val="0"/>
          <w:color w:val="auto"/>
          <w:kern w:val="0"/>
          <w:szCs w:val="21"/>
          <w:highlight w:val="none"/>
        </w:rPr>
        <w:t>．我方承诺在竞价有效期内不修改、撤销询比文件。</w:t>
      </w:r>
    </w:p>
    <w:p w14:paraId="78559ACA">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0DD453FD">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4B8A07E1">
      <w:pPr>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rPr>
        <w:t>3</w:t>
      </w:r>
      <w:r>
        <w:rPr>
          <w:rFonts w:hint="eastAsia" w:ascii="宋体" w:hAnsi="宋体" w:cs="MingLiU"/>
          <w:snapToGrid w:val="0"/>
          <w:color w:val="auto"/>
          <w:kern w:val="0"/>
          <w:szCs w:val="21"/>
          <w:highlight w:val="none"/>
        </w:rPr>
        <w:t>．如我方中选：</w:t>
      </w:r>
    </w:p>
    <w:p w14:paraId="7C884E4A">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23623A9B">
      <w:pPr>
        <w:autoSpaceDE w:val="0"/>
        <w:autoSpaceDN w:val="0"/>
        <w:adjustRightInd w:val="0"/>
        <w:spacing w:line="354" w:lineRule="auto"/>
        <w:ind w:left="120" w:right="-9" w:firstLine="420"/>
        <w:jc w:val="left"/>
        <w:rPr>
          <w:rFonts w:ascii="宋体" w:hAnsi="宋体"/>
          <w:snapToGrid w:val="0"/>
          <w:color w:val="auto"/>
          <w:kern w:val="0"/>
          <w:szCs w:val="21"/>
          <w:highlight w:val="none"/>
        </w:rPr>
      </w:pPr>
      <w:r>
        <w:rPr>
          <w:rFonts w:hint="eastAsia" w:ascii="宋体" w:hAnsi="宋体"/>
          <w:snapToGrid w:val="0"/>
          <w:color w:val="auto"/>
          <w:kern w:val="0"/>
          <w:szCs w:val="21"/>
          <w:highlight w:val="none"/>
        </w:rPr>
        <w:t>（</w:t>
      </w:r>
      <w:r>
        <w:rPr>
          <w:rFonts w:ascii="宋体" w:hAnsi="宋体"/>
          <w:snapToGrid w:val="0"/>
          <w:color w:val="auto"/>
          <w:kern w:val="0"/>
          <w:szCs w:val="21"/>
          <w:highlight w:val="none"/>
        </w:rPr>
        <w:t>1</w:t>
      </w:r>
      <w:r>
        <w:rPr>
          <w:rFonts w:hint="eastAsia" w:ascii="宋体" w:hAnsi="宋体"/>
          <w:snapToGrid w:val="0"/>
          <w:color w:val="auto"/>
          <w:kern w:val="0"/>
          <w:szCs w:val="21"/>
          <w:highlight w:val="none"/>
        </w:rPr>
        <w:t>）我方承诺在收到成交通知书后，在成交通知书规定的期限内与你方签订合同。</w:t>
      </w:r>
    </w:p>
    <w:p w14:paraId="063579F8">
      <w:pPr>
        <w:autoSpaceDE w:val="0"/>
        <w:autoSpaceDN w:val="0"/>
        <w:adjustRightInd w:val="0"/>
        <w:spacing w:line="354" w:lineRule="auto"/>
        <w:ind w:left="120" w:right="-9" w:firstLine="420"/>
        <w:jc w:val="left"/>
        <w:rPr>
          <w:rFonts w:ascii="宋体" w:hAnsi="宋体"/>
          <w:snapToGrid w:val="0"/>
          <w:color w:val="auto"/>
          <w:kern w:val="0"/>
          <w:szCs w:val="21"/>
          <w:highlight w:val="none"/>
        </w:rPr>
      </w:pPr>
      <w:r>
        <w:rPr>
          <w:rFonts w:hint="eastAsia" w:ascii="宋体" w:hAnsi="宋体"/>
          <w:snapToGrid w:val="0"/>
          <w:color w:val="auto"/>
          <w:kern w:val="0"/>
          <w:szCs w:val="21"/>
          <w:highlight w:val="none"/>
        </w:rPr>
        <w:t>（2）我方承诺在合同约定的期限内完成全部合同工作。</w:t>
      </w:r>
    </w:p>
    <w:p w14:paraId="3F3926CF">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58199C4A">
      <w:pPr>
        <w:autoSpaceDE w:val="0"/>
        <w:autoSpaceDN w:val="0"/>
        <w:adjustRightInd w:val="0"/>
        <w:spacing w:line="354" w:lineRule="auto"/>
        <w:ind w:left="120" w:right="-9" w:firstLine="4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rPr>
        <w:t>4</w:t>
      </w:r>
      <w:r>
        <w:rPr>
          <w:rFonts w:hint="eastAsia" w:ascii="宋体" w:hAnsi="宋体" w:cs="MingLiU"/>
          <w:snapToGrid w:val="0"/>
          <w:color w:val="auto"/>
          <w:kern w:val="0"/>
          <w:szCs w:val="21"/>
          <w:highlight w:val="none"/>
        </w:rPr>
        <w:t>．我方在此声明，所递交的询比文件及有关资料内容完整、真实和准确。</w:t>
      </w:r>
    </w:p>
    <w:p w14:paraId="0A96DF10">
      <w:pPr>
        <w:tabs>
          <w:tab w:val="left" w:pos="4940"/>
        </w:tabs>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rPr>
        <w:t>5</w:t>
      </w:r>
      <w:r>
        <w:rPr>
          <w:rFonts w:hint="eastAsia" w:ascii="宋体" w:hAnsi="宋体" w:cs="MingLiU"/>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r>
        <w:rPr>
          <w:rFonts w:hint="eastAsia" w:ascii="宋体" w:hAnsi="宋体" w:cs="MingLiU"/>
          <w:snapToGrid w:val="0"/>
          <w:color w:val="auto"/>
          <w:kern w:val="0"/>
          <w:szCs w:val="21"/>
          <w:highlight w:val="none"/>
        </w:rPr>
        <w:t>（其他补充说明）。</w:t>
      </w:r>
    </w:p>
    <w:p w14:paraId="018FB473">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p>
    <w:p w14:paraId="429BC084">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p>
    <w:p w14:paraId="7DEC3A5D">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p>
    <w:p w14:paraId="43C37A17">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p>
    <w:p w14:paraId="47EC95F9">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p>
    <w:p w14:paraId="398109FC">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r>
        <w:rPr>
          <w:rFonts w:hint="eastAsia" w:ascii="宋体" w:hAnsi="宋体"/>
          <w:snapToGrid w:val="0"/>
          <w:color w:val="auto"/>
          <w:kern w:val="0"/>
          <w:szCs w:val="21"/>
          <w:highlight w:val="none"/>
        </w:rPr>
        <w:t>报价人</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（盖单位法人章）</w:t>
      </w:r>
      <w:r>
        <w:rPr>
          <w:rFonts w:ascii="宋体" w:hAnsi="宋体"/>
          <w:snapToGrid w:val="0"/>
          <w:color w:val="auto"/>
          <w:kern w:val="0"/>
          <w:szCs w:val="21"/>
          <w:highlight w:val="none"/>
        </w:rPr>
        <w:t xml:space="preserve"> </w:t>
      </w:r>
    </w:p>
    <w:p w14:paraId="2D0A3B69">
      <w:pPr>
        <w:tabs>
          <w:tab w:val="left" w:pos="7140"/>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法定代表人或其委托代理人：</w:t>
      </w:r>
      <w:r>
        <w:rPr>
          <w:rFonts w:hint="eastAsia" w:ascii="宋体" w:hAnsi="宋体" w:cs="MingLiU"/>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hint="eastAsia" w:ascii="宋体" w:hAnsi="宋体" w:cs="MingLiU"/>
          <w:snapToGrid w:val="0"/>
          <w:color w:val="auto"/>
          <w:kern w:val="0"/>
          <w:szCs w:val="21"/>
          <w:highlight w:val="none"/>
        </w:rPr>
        <w:t>（签字或盖章）</w:t>
      </w:r>
    </w:p>
    <w:p w14:paraId="2192B1FE">
      <w:pPr>
        <w:tabs>
          <w:tab w:val="left" w:pos="7035"/>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地址：</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p>
    <w:p w14:paraId="75935DA9">
      <w:pPr>
        <w:tabs>
          <w:tab w:val="left" w:pos="8300"/>
        </w:tabs>
        <w:autoSpaceDE w:val="0"/>
        <w:autoSpaceDN w:val="0"/>
        <w:adjustRightInd w:val="0"/>
        <w:spacing w:before="1"/>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网址：</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4B75D468">
      <w:pPr>
        <w:autoSpaceDE w:val="0"/>
        <w:autoSpaceDN w:val="0"/>
        <w:adjustRightInd w:val="0"/>
        <w:spacing w:before="14" w:line="200" w:lineRule="exact"/>
        <w:jc w:val="left"/>
        <w:rPr>
          <w:rFonts w:ascii="宋体" w:hAnsi="宋体" w:cs="MingLiU"/>
          <w:snapToGrid w:val="0"/>
          <w:color w:val="auto"/>
          <w:kern w:val="0"/>
          <w:sz w:val="20"/>
          <w:szCs w:val="20"/>
          <w:highlight w:val="none"/>
        </w:rPr>
      </w:pPr>
    </w:p>
    <w:p w14:paraId="4A9E1826">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电话：</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5399D83F">
      <w:pPr>
        <w:autoSpaceDE w:val="0"/>
        <w:autoSpaceDN w:val="0"/>
        <w:adjustRightInd w:val="0"/>
        <w:spacing w:before="13" w:line="200" w:lineRule="exact"/>
        <w:jc w:val="left"/>
        <w:rPr>
          <w:rFonts w:ascii="宋体" w:hAnsi="宋体" w:cs="MingLiU"/>
          <w:snapToGrid w:val="0"/>
          <w:color w:val="auto"/>
          <w:kern w:val="0"/>
          <w:sz w:val="20"/>
          <w:szCs w:val="20"/>
          <w:highlight w:val="none"/>
        </w:rPr>
      </w:pPr>
    </w:p>
    <w:p w14:paraId="0839DE00">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传真：</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55D7B680">
      <w:pPr>
        <w:tabs>
          <w:tab w:val="left" w:pos="8300"/>
        </w:tabs>
        <w:autoSpaceDE w:val="0"/>
        <w:autoSpaceDN w:val="0"/>
        <w:adjustRightInd w:val="0"/>
        <w:spacing w:line="220" w:lineRule="exact"/>
        <w:ind w:left="3796" w:right="-20"/>
        <w:jc w:val="left"/>
        <w:rPr>
          <w:rFonts w:ascii="宋体" w:hAnsi="宋体" w:cs="MingLiU"/>
          <w:snapToGrid w:val="0"/>
          <w:color w:val="auto"/>
          <w:kern w:val="0"/>
          <w:szCs w:val="21"/>
          <w:highlight w:val="none"/>
        </w:rPr>
      </w:pPr>
    </w:p>
    <w:p w14:paraId="3E2E9D00">
      <w:pPr>
        <w:tabs>
          <w:tab w:val="left" w:pos="8300"/>
        </w:tabs>
        <w:autoSpaceDE w:val="0"/>
        <w:autoSpaceDN w:val="0"/>
        <w:adjustRightInd w:val="0"/>
        <w:spacing w:line="220" w:lineRule="exact"/>
        <w:ind w:left="1985" w:right="-20"/>
        <w:jc w:val="left"/>
        <w:rPr>
          <w:rFonts w:ascii="宋体" w:hAnsi="宋体" w:cs="MingLiU"/>
          <w:snapToGrid w:val="0"/>
          <w:color w:val="auto"/>
          <w:kern w:val="0"/>
          <w:sz w:val="20"/>
          <w:szCs w:val="20"/>
          <w:highlight w:val="none"/>
        </w:rPr>
      </w:pPr>
      <w:r>
        <w:rPr>
          <w:rFonts w:hint="eastAsia" w:ascii="宋体" w:hAnsi="宋体" w:cs="MingLiU"/>
          <w:snapToGrid w:val="0"/>
          <w:color w:val="auto"/>
          <w:kern w:val="0"/>
          <w:szCs w:val="21"/>
          <w:highlight w:val="none"/>
        </w:rPr>
        <w:t>邮政编码：</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w:t>
      </w:r>
    </w:p>
    <w:p w14:paraId="772452DB">
      <w:pPr>
        <w:tabs>
          <w:tab w:val="left" w:pos="6000"/>
          <w:tab w:val="left" w:pos="7040"/>
          <w:tab w:val="left" w:pos="8100"/>
        </w:tabs>
        <w:autoSpaceDE w:val="0"/>
        <w:autoSpaceDN w:val="0"/>
        <w:adjustRightInd w:val="0"/>
        <w:spacing w:line="220" w:lineRule="exact"/>
        <w:ind w:right="-20"/>
        <w:jc w:val="left"/>
        <w:rPr>
          <w:rFonts w:ascii="宋体" w:hAnsi="宋体" w:cs="MingLiU"/>
          <w:snapToGrid w:val="0"/>
          <w:color w:val="auto"/>
          <w:kern w:val="0"/>
          <w:szCs w:val="21"/>
          <w:highlight w:val="none"/>
          <w:u w:val="single"/>
        </w:rPr>
      </w:pPr>
    </w:p>
    <w:p w14:paraId="485A2BB8">
      <w:pPr>
        <w:spacing w:line="360" w:lineRule="auto"/>
        <w:ind w:firstLine="2377" w:firstLineChars="1132"/>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年</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月</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日</w:t>
      </w:r>
    </w:p>
    <w:p w14:paraId="27D0308E">
      <w:pPr>
        <w:spacing w:line="360" w:lineRule="auto"/>
        <w:ind w:firstLine="2343" w:firstLineChars="1132"/>
        <w:rPr>
          <w:rFonts w:hint="eastAsia"/>
          <w:color w:val="auto"/>
          <w:w w:val="99"/>
          <w:highlight w:val="none"/>
        </w:rPr>
      </w:pPr>
    </w:p>
    <w:p w14:paraId="466C9513">
      <w:pPr>
        <w:widowControl/>
        <w:jc w:val="center"/>
        <w:rPr>
          <w:rFonts w:ascii="宋体" w:hAnsi="宋体"/>
          <w:bCs/>
          <w:color w:val="auto"/>
          <w:kern w:val="0"/>
          <w:sz w:val="28"/>
          <w:szCs w:val="28"/>
          <w:highlight w:val="none"/>
        </w:rPr>
      </w:pPr>
      <w:r>
        <w:rPr>
          <w:rFonts w:hint="eastAsia" w:ascii="宋体" w:hAnsi="宋体"/>
          <w:bCs/>
          <w:color w:val="auto"/>
          <w:kern w:val="0"/>
          <w:sz w:val="28"/>
          <w:szCs w:val="28"/>
          <w:highlight w:val="none"/>
        </w:rPr>
        <w:t>附件</w:t>
      </w:r>
      <w:r>
        <w:rPr>
          <w:rFonts w:hint="eastAsia" w:ascii="宋体" w:hAnsi="宋体"/>
          <w:bCs/>
          <w:color w:val="auto"/>
          <w:kern w:val="0"/>
          <w:sz w:val="28"/>
          <w:szCs w:val="28"/>
          <w:highlight w:val="none"/>
          <w:lang w:val="en-US" w:eastAsia="zh-CN"/>
        </w:rPr>
        <w:t>4</w:t>
      </w:r>
      <w:r>
        <w:rPr>
          <w:rFonts w:hint="eastAsia" w:ascii="宋体" w:hAnsi="宋体"/>
          <w:bCs/>
          <w:color w:val="auto"/>
          <w:kern w:val="0"/>
          <w:sz w:val="28"/>
          <w:szCs w:val="28"/>
          <w:highlight w:val="none"/>
        </w:rPr>
        <w:t>.合同模板</w:t>
      </w:r>
    </w:p>
    <w:p w14:paraId="4657E492">
      <w:pPr>
        <w:jc w:val="left"/>
        <w:rPr>
          <w:rFonts w:eastAsia="仿宋_GB2312"/>
          <w:bCs/>
          <w:color w:val="auto"/>
          <w:sz w:val="32"/>
          <w:szCs w:val="32"/>
          <w:highlight w:val="none"/>
        </w:rPr>
      </w:pPr>
      <w:r>
        <w:rPr>
          <w:rFonts w:eastAsia="仿宋_GB2312"/>
          <w:bCs/>
          <w:color w:val="auto"/>
          <w:sz w:val="32"/>
          <w:szCs w:val="32"/>
          <w:highlight w:val="none"/>
        </w:rPr>
        <w:t>（GF—201</w:t>
      </w:r>
      <w:r>
        <w:rPr>
          <w:rFonts w:hint="eastAsia" w:eastAsia="仿宋_GB2312"/>
          <w:bCs/>
          <w:color w:val="auto"/>
          <w:sz w:val="32"/>
          <w:szCs w:val="32"/>
          <w:highlight w:val="none"/>
        </w:rPr>
        <w:t>7</w:t>
      </w:r>
      <w:r>
        <w:rPr>
          <w:rFonts w:eastAsia="仿宋_GB2312"/>
          <w:bCs/>
          <w:color w:val="auto"/>
          <w:sz w:val="32"/>
          <w:szCs w:val="32"/>
          <w:highlight w:val="none"/>
        </w:rPr>
        <w:t>—</w:t>
      </w:r>
      <w:r>
        <w:rPr>
          <w:rFonts w:hint="eastAsia" w:eastAsia="仿宋_GB2312"/>
          <w:bCs/>
          <w:color w:val="auto"/>
          <w:sz w:val="32"/>
          <w:szCs w:val="32"/>
          <w:highlight w:val="none"/>
        </w:rPr>
        <w:t>0201）</w:t>
      </w:r>
    </w:p>
    <w:p w14:paraId="1EAEEFDC">
      <w:pPr>
        <w:jc w:val="center"/>
        <w:rPr>
          <w:rFonts w:eastAsia="华文中宋"/>
          <w:b/>
          <w:color w:val="auto"/>
          <w:sz w:val="52"/>
          <w:szCs w:val="52"/>
          <w:highlight w:val="none"/>
        </w:rPr>
      </w:pPr>
    </w:p>
    <w:p w14:paraId="2DCD989A">
      <w:pPr>
        <w:jc w:val="center"/>
        <w:rPr>
          <w:rFonts w:eastAsia="华文中宋"/>
          <w:b/>
          <w:color w:val="auto"/>
          <w:sz w:val="52"/>
          <w:szCs w:val="52"/>
          <w:highlight w:val="none"/>
        </w:rPr>
      </w:pPr>
    </w:p>
    <w:p w14:paraId="3AC2E9AB">
      <w:pPr>
        <w:jc w:val="center"/>
        <w:rPr>
          <w:rFonts w:eastAsia="华文中宋"/>
          <w:b/>
          <w:color w:val="auto"/>
          <w:sz w:val="52"/>
          <w:szCs w:val="52"/>
          <w:highlight w:val="none"/>
        </w:rPr>
      </w:pPr>
    </w:p>
    <w:p w14:paraId="53182F4E">
      <w:pPr>
        <w:jc w:val="center"/>
        <w:rPr>
          <w:rFonts w:eastAsia="华文中宋"/>
          <w:b/>
          <w:color w:val="auto"/>
          <w:sz w:val="52"/>
          <w:szCs w:val="52"/>
          <w:highlight w:val="none"/>
        </w:rPr>
      </w:pPr>
    </w:p>
    <w:p w14:paraId="75E3DAB3">
      <w:pPr>
        <w:jc w:val="center"/>
        <w:rPr>
          <w:rFonts w:eastAsia="华文中宋"/>
          <w:b/>
          <w:color w:val="auto"/>
          <w:sz w:val="52"/>
          <w:szCs w:val="52"/>
          <w:highlight w:val="none"/>
        </w:rPr>
      </w:pPr>
      <w:r>
        <w:rPr>
          <w:rFonts w:eastAsia="华文中宋"/>
          <w:b/>
          <w:color w:val="auto"/>
          <w:sz w:val="72"/>
          <w:szCs w:val="52"/>
          <w:highlight w:val="none"/>
        </w:rPr>
        <w:t>建设工程施工合同</w:t>
      </w:r>
      <w:r>
        <w:rPr>
          <w:rFonts w:eastAsia="华文中宋"/>
          <w:b/>
          <w:color w:val="auto"/>
          <w:sz w:val="52"/>
          <w:szCs w:val="52"/>
          <w:highlight w:val="none"/>
        </w:rPr>
        <w:br w:type="textWrapping"/>
      </w:r>
    </w:p>
    <w:p w14:paraId="479E070B">
      <w:pPr>
        <w:jc w:val="center"/>
        <w:rPr>
          <w:rFonts w:eastAsia="华文中宋"/>
          <w:b/>
          <w:color w:val="auto"/>
          <w:sz w:val="52"/>
          <w:szCs w:val="52"/>
          <w:highlight w:val="none"/>
        </w:rPr>
      </w:pPr>
    </w:p>
    <w:p w14:paraId="16EDE36A">
      <w:pPr>
        <w:jc w:val="center"/>
        <w:rPr>
          <w:rFonts w:eastAsia="黑体"/>
          <w:b/>
          <w:color w:val="auto"/>
          <w:sz w:val="72"/>
          <w:szCs w:val="72"/>
          <w:highlight w:val="none"/>
        </w:rPr>
      </w:pPr>
    </w:p>
    <w:p w14:paraId="340F8495">
      <w:pPr>
        <w:jc w:val="center"/>
        <w:rPr>
          <w:rFonts w:eastAsia="楷体_GB2312"/>
          <w:b/>
          <w:color w:val="auto"/>
          <w:sz w:val="72"/>
          <w:szCs w:val="72"/>
          <w:highlight w:val="none"/>
        </w:rPr>
      </w:pPr>
    </w:p>
    <w:p w14:paraId="18293A59">
      <w:pPr>
        <w:jc w:val="center"/>
        <w:rPr>
          <w:rFonts w:eastAsia="黑体"/>
          <w:b/>
          <w:color w:val="auto"/>
          <w:sz w:val="52"/>
          <w:szCs w:val="52"/>
          <w:highlight w:val="none"/>
        </w:rPr>
      </w:pPr>
    </w:p>
    <w:p w14:paraId="135DB2A1">
      <w:pPr>
        <w:rPr>
          <w:b/>
          <w:color w:val="auto"/>
          <w:sz w:val="28"/>
          <w:szCs w:val="28"/>
          <w:highlight w:val="none"/>
        </w:rPr>
      </w:pPr>
    </w:p>
    <w:p w14:paraId="3804F683">
      <w:pPr>
        <w:rPr>
          <w:b/>
          <w:color w:val="auto"/>
          <w:sz w:val="28"/>
          <w:szCs w:val="28"/>
          <w:highlight w:val="none"/>
        </w:rPr>
      </w:pPr>
    </w:p>
    <w:p w14:paraId="08446D3F">
      <w:pPr>
        <w:rPr>
          <w:b/>
          <w:color w:val="auto"/>
          <w:sz w:val="28"/>
          <w:szCs w:val="28"/>
          <w:highlight w:val="none"/>
        </w:rPr>
      </w:pPr>
    </w:p>
    <w:p w14:paraId="2FCE65EF">
      <w:pPr>
        <w:rPr>
          <w:b/>
          <w:color w:val="auto"/>
          <w:sz w:val="28"/>
          <w:szCs w:val="28"/>
          <w:highlight w:val="none"/>
        </w:rPr>
      </w:pPr>
    </w:p>
    <w:p w14:paraId="2149EE56">
      <w:pPr>
        <w:rPr>
          <w:b/>
          <w:color w:val="auto"/>
          <w:sz w:val="28"/>
          <w:szCs w:val="28"/>
          <w:highlight w:val="none"/>
        </w:rPr>
      </w:pPr>
    </w:p>
    <w:p w14:paraId="6695B069">
      <w:pPr>
        <w:ind w:right="2719" w:rightChars="1295" w:firstLine="2738" w:firstLineChars="1304"/>
        <w:jc w:val="distribute"/>
        <w:rPr>
          <w:b/>
          <w:color w:val="auto"/>
          <w:sz w:val="32"/>
          <w:szCs w:val="28"/>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723900" cy="457200"/>
                <wp:effectExtent l="4445" t="4445" r="8255" b="8255"/>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3F64C188">
                            <w:pPr>
                              <w:rPr>
                                <w:b/>
                                <w:bCs/>
                                <w:sz w:val="32"/>
                              </w:rPr>
                            </w:pPr>
                            <w:r>
                              <w:rPr>
                                <w:rFonts w:hint="eastAsia"/>
                                <w:b/>
                                <w:bCs/>
                                <w:sz w:val="32"/>
                              </w:rPr>
                              <w:t>制定</w:t>
                            </w:r>
                          </w:p>
                        </w:txbxContent>
                      </wps:txbx>
                      <wps:bodyPr vert="horz" wrap="square" anchor="t" anchorCtr="0" upright="1"/>
                    </wps:wsp>
                  </a:graphicData>
                </a:graphic>
              </wp:anchor>
            </w:drawing>
          </mc:Choice>
          <mc:Fallback>
            <w:pict>
              <v:shape id="_x0000_s1026" o:spid="_x0000_s1026"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Qc0tcdgAAAAJAQAADwAAAAAAAAABACAAAAAiAAAAZHJzL2Rvd25yZXYueG1sUEsBAhQAFAAA&#10;AAgAh07iQMgRjrMoAgAATQQAAA4AAAAAAAAAAQAgAAAAJwEAAGRycy9lMm9Eb2MueG1sUEsFBgAA&#10;AAAGAAYAWQEAAMEFAAAAAA==&#10;">
                <v:fill on="f" focussize="0,0"/>
                <v:stroke color="#FFFFFF" joinstyle="miter"/>
                <v:imagedata o:title=""/>
                <o:lock v:ext="edit" aspectratio="f"/>
                <v:textbox>
                  <w:txbxContent>
                    <w:p w14:paraId="3F64C188">
                      <w:pPr>
                        <w:rPr>
                          <w:b/>
                          <w:bCs/>
                          <w:sz w:val="32"/>
                        </w:rPr>
                      </w:pPr>
                      <w:r>
                        <w:rPr>
                          <w:rFonts w:hint="eastAsia"/>
                          <w:b/>
                          <w:bCs/>
                          <w:sz w:val="32"/>
                        </w:rPr>
                        <w:t>制定</w:t>
                      </w:r>
                    </w:p>
                  </w:txbxContent>
                </v:textbox>
              </v:shape>
            </w:pict>
          </mc:Fallback>
        </mc:AlternateContent>
      </w:r>
      <w:r>
        <w:rPr>
          <w:b/>
          <w:color w:val="auto"/>
          <w:sz w:val="32"/>
          <w:szCs w:val="28"/>
          <w:highlight w:val="none"/>
        </w:rPr>
        <w:t>住房城乡建设部</w:t>
      </w:r>
    </w:p>
    <w:p w14:paraId="3277264D">
      <w:pPr>
        <w:ind w:right="2719" w:rightChars="1295" w:firstLine="2750" w:firstLineChars="856"/>
        <w:jc w:val="distribute"/>
        <w:rPr>
          <w:b/>
          <w:color w:val="auto"/>
          <w:sz w:val="32"/>
          <w:szCs w:val="28"/>
          <w:highlight w:val="none"/>
        </w:rPr>
        <w:sectPr>
          <w:footerReference r:id="rId4" w:type="first"/>
          <w:footerReference r:id="rId3" w:type="default"/>
          <w:pgSz w:w="11906" w:h="16838"/>
          <w:pgMar w:top="1418" w:right="1555" w:bottom="1418" w:left="1531" w:header="851" w:footer="992" w:gutter="0"/>
          <w:pgNumType w:start="1"/>
          <w:cols w:space="720" w:num="1"/>
          <w:titlePg/>
          <w:docGrid w:type="lines" w:linePitch="312" w:charSpace="0"/>
        </w:sectPr>
      </w:pPr>
      <w:r>
        <w:rPr>
          <w:b/>
          <w:color w:val="auto"/>
          <w:sz w:val="32"/>
          <w:szCs w:val="28"/>
          <w:highlight w:val="none"/>
        </w:rPr>
        <w:t>国家工商行政管理总局</w:t>
      </w:r>
      <w:bookmarkStart w:id="5" w:name="_Toc296503025"/>
      <w:bookmarkStart w:id="6" w:name="_Toc296890982"/>
    </w:p>
    <w:p w14:paraId="2A152111">
      <w:pPr>
        <w:tabs>
          <w:tab w:val="left" w:pos="2424"/>
        </w:tabs>
        <w:rPr>
          <w:rFonts w:ascii="华文中宋" w:hAnsi="华文中宋" w:eastAsia="华文中宋"/>
          <w:color w:val="auto"/>
          <w:sz w:val="44"/>
          <w:szCs w:val="44"/>
          <w:highlight w:val="none"/>
        </w:rPr>
      </w:pPr>
      <w:bookmarkStart w:id="7" w:name="_Toc351203480"/>
      <w:r>
        <w:rPr>
          <w:color w:val="auto"/>
          <w:highlight w:val="none"/>
        </w:rPr>
        <w:tab/>
      </w:r>
      <w:r>
        <w:rPr>
          <w:rFonts w:ascii="华文中宋" w:hAnsi="华文中宋" w:eastAsia="华文中宋"/>
          <w:color w:val="auto"/>
          <w:sz w:val="44"/>
          <w:szCs w:val="44"/>
          <w:highlight w:val="none"/>
        </w:rPr>
        <w:tab/>
      </w:r>
    </w:p>
    <w:p w14:paraId="634CA656">
      <w:pPr>
        <w:tabs>
          <w:tab w:val="left" w:pos="2424"/>
        </w:tabs>
        <w:jc w:val="center"/>
        <w:rPr>
          <w:rFonts w:eastAsia="华文中宋"/>
          <w:b/>
          <w:color w:val="auto"/>
          <w:sz w:val="44"/>
          <w:szCs w:val="44"/>
          <w:highlight w:val="none"/>
        </w:rPr>
      </w:pPr>
      <w:r>
        <w:rPr>
          <w:rFonts w:ascii="华文中宋" w:hAnsi="华文中宋" w:eastAsia="华文中宋"/>
          <w:color w:val="auto"/>
          <w:sz w:val="44"/>
          <w:szCs w:val="44"/>
          <w:highlight w:val="none"/>
        </w:rPr>
        <w:t>第一部分 合同协议书</w:t>
      </w:r>
      <w:bookmarkEnd w:id="5"/>
      <w:bookmarkEnd w:id="6"/>
      <w:bookmarkEnd w:id="7"/>
    </w:p>
    <w:p w14:paraId="3D25FB97">
      <w:pPr>
        <w:spacing w:line="360" w:lineRule="auto"/>
        <w:rPr>
          <w:rFonts w:eastAsia="仿宋_GB2312"/>
          <w:b/>
          <w:color w:val="auto"/>
          <w:sz w:val="30"/>
          <w:szCs w:val="30"/>
          <w:highlight w:val="none"/>
          <w:u w:val="single"/>
        </w:rPr>
      </w:pPr>
      <w:r>
        <w:rPr>
          <w:rFonts w:eastAsia="仿宋_GB2312"/>
          <w:b/>
          <w:color w:val="auto"/>
          <w:sz w:val="30"/>
          <w:szCs w:val="30"/>
          <w:highlight w:val="none"/>
        </w:rPr>
        <w:t>发包人（全称）：</w:t>
      </w:r>
      <w:r>
        <w:rPr>
          <w:rFonts w:eastAsia="仿宋_GB2312"/>
          <w:b/>
          <w:color w:val="auto"/>
          <w:sz w:val="30"/>
          <w:szCs w:val="30"/>
          <w:highlight w:val="none"/>
          <w:u w:val="single"/>
        </w:rPr>
        <w:t xml:space="preserve">                                    </w:t>
      </w:r>
    </w:p>
    <w:p w14:paraId="1E6902AA">
      <w:pPr>
        <w:spacing w:line="360" w:lineRule="auto"/>
        <w:rPr>
          <w:rFonts w:eastAsia="仿宋_GB2312"/>
          <w:b/>
          <w:color w:val="auto"/>
          <w:sz w:val="30"/>
          <w:szCs w:val="30"/>
          <w:highlight w:val="none"/>
          <w:u w:val="single"/>
        </w:rPr>
      </w:pPr>
      <w:r>
        <w:rPr>
          <w:rFonts w:eastAsia="仿宋_GB2312"/>
          <w:b/>
          <w:color w:val="auto"/>
          <w:sz w:val="30"/>
          <w:szCs w:val="30"/>
          <w:highlight w:val="none"/>
        </w:rPr>
        <w:t>承包人（全称）：</w:t>
      </w:r>
      <w:r>
        <w:rPr>
          <w:rFonts w:eastAsia="仿宋_GB2312"/>
          <w:b/>
          <w:color w:val="auto"/>
          <w:sz w:val="30"/>
          <w:szCs w:val="30"/>
          <w:highlight w:val="none"/>
          <w:u w:val="single"/>
        </w:rPr>
        <w:t xml:space="preserve">                                    </w:t>
      </w:r>
    </w:p>
    <w:p w14:paraId="777B4AFE">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w:t>
      </w:r>
      <w:r>
        <w:rPr>
          <w:rFonts w:hint="eastAsia" w:eastAsia="仿宋_GB2312"/>
          <w:color w:val="auto"/>
          <w:sz w:val="30"/>
          <w:szCs w:val="30"/>
          <w:highlight w:val="none"/>
        </w:rPr>
        <w:t>中华人民共和国民法典</w:t>
      </w:r>
      <w:r>
        <w:rPr>
          <w:rFonts w:eastAsia="仿宋_GB2312"/>
          <w:color w:val="auto"/>
          <w:sz w:val="30"/>
          <w:szCs w:val="30"/>
          <w:highlight w:val="none"/>
        </w:rPr>
        <w:t>》、《中华人民共和国建筑法》及有关法律规定，遵循平等、自愿、公平和诚实信用的原则，双方就</w:t>
      </w:r>
    </w:p>
    <w:p w14:paraId="00A1D1AA">
      <w:pPr>
        <w:spacing w:line="360" w:lineRule="auto"/>
        <w:rPr>
          <w:rFonts w:eastAsia="仿宋_GB2312"/>
          <w:color w:val="auto"/>
          <w:sz w:val="30"/>
          <w:szCs w:val="30"/>
          <w:highlight w:val="none"/>
        </w:rPr>
      </w:pPr>
      <w:r>
        <w:rPr>
          <w:rFonts w:eastAsia="仿宋_GB2312"/>
          <w:color w:val="auto"/>
          <w:sz w:val="30"/>
          <w:szCs w:val="30"/>
          <w:highlight w:val="none"/>
          <w:u w:val="single"/>
        </w:rPr>
        <w:t xml:space="preserve">                 </w:t>
      </w:r>
      <w:r>
        <w:rPr>
          <w:rFonts w:eastAsia="仿宋_GB2312"/>
          <w:color w:val="auto"/>
          <w:sz w:val="30"/>
          <w:szCs w:val="30"/>
          <w:highlight w:val="none"/>
        </w:rPr>
        <w:t>工程施工及有关事项协商一致</w:t>
      </w:r>
      <w:r>
        <w:rPr>
          <w:rFonts w:hint="eastAsia" w:eastAsia="仿宋_GB2312"/>
          <w:color w:val="auto"/>
          <w:sz w:val="30"/>
          <w:szCs w:val="30"/>
          <w:highlight w:val="none"/>
        </w:rPr>
        <w:t>，</w:t>
      </w:r>
      <w:r>
        <w:rPr>
          <w:rFonts w:eastAsia="仿宋_GB2312"/>
          <w:color w:val="auto"/>
          <w:sz w:val="30"/>
          <w:szCs w:val="30"/>
          <w:highlight w:val="none"/>
        </w:rPr>
        <w:t>共同达成如下协议：</w:t>
      </w:r>
    </w:p>
    <w:p w14:paraId="2B758645">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 w:name="_Toc351203481"/>
      <w:r>
        <w:rPr>
          <w:rFonts w:ascii="Times New Roman" w:hAnsi="Times New Roman" w:eastAsia="黑体"/>
          <w:b w:val="0"/>
          <w:color w:val="auto"/>
          <w:sz w:val="32"/>
          <w:szCs w:val="32"/>
          <w:highlight w:val="none"/>
        </w:rPr>
        <w:t>一、工程概况</w:t>
      </w:r>
      <w:bookmarkEnd w:id="8"/>
    </w:p>
    <w:p w14:paraId="349A49D1">
      <w:pPr>
        <w:spacing w:line="360" w:lineRule="auto"/>
        <w:ind w:firstLine="588" w:firstLineChars="196"/>
        <w:rPr>
          <w:rFonts w:eastAsia="仿宋_GB2312"/>
          <w:color w:val="auto"/>
          <w:sz w:val="30"/>
          <w:szCs w:val="30"/>
          <w:highlight w:val="none"/>
          <w:u w:val="single"/>
        </w:rPr>
      </w:pPr>
      <w:r>
        <w:rPr>
          <w:rFonts w:eastAsia="仿宋_GB2312"/>
          <w:bCs/>
          <w:color w:val="auto"/>
          <w:sz w:val="30"/>
          <w:szCs w:val="30"/>
          <w:highlight w:val="none"/>
        </w:rPr>
        <w:t>1.工程名称</w:t>
      </w:r>
      <w:r>
        <w:rPr>
          <w:rFonts w:eastAsia="仿宋_GB2312"/>
          <w:color w:val="auto"/>
          <w:sz w:val="30"/>
          <w:szCs w:val="30"/>
          <w:highlight w:val="none"/>
        </w:rPr>
        <w:t>：</w:t>
      </w:r>
      <w:r>
        <w:rPr>
          <w:rFonts w:eastAsia="仿宋_GB2312"/>
          <w:color w:val="auto"/>
          <w:sz w:val="30"/>
          <w:szCs w:val="30"/>
          <w:highlight w:val="none"/>
          <w:u w:val="single"/>
        </w:rPr>
        <w:t xml:space="preserve">                              </w:t>
      </w:r>
      <w:r>
        <w:rPr>
          <w:rFonts w:eastAsia="仿宋_GB2312"/>
          <w:color w:val="auto"/>
          <w:sz w:val="30"/>
          <w:szCs w:val="30"/>
          <w:highlight w:val="none"/>
        </w:rPr>
        <w:t>。</w:t>
      </w:r>
    </w:p>
    <w:p w14:paraId="62A1BB07">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2.工程地点：</w:t>
      </w:r>
      <w:r>
        <w:rPr>
          <w:rFonts w:eastAsia="仿宋_GB2312"/>
          <w:color w:val="auto"/>
          <w:sz w:val="30"/>
          <w:szCs w:val="30"/>
          <w:highlight w:val="none"/>
          <w:u w:val="single"/>
        </w:rPr>
        <w:t xml:space="preserve">                              </w:t>
      </w:r>
      <w:r>
        <w:rPr>
          <w:rFonts w:eastAsia="仿宋_GB2312"/>
          <w:color w:val="auto"/>
          <w:sz w:val="30"/>
          <w:szCs w:val="30"/>
          <w:highlight w:val="none"/>
        </w:rPr>
        <w:t>。</w:t>
      </w:r>
    </w:p>
    <w:p w14:paraId="42602BF2">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3.工程立项批准文号：</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606635D6">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4.资金来源：</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3446A299">
      <w:pPr>
        <w:spacing w:line="360" w:lineRule="auto"/>
        <w:ind w:firstLine="588" w:firstLineChars="196"/>
        <w:rPr>
          <w:rFonts w:eastAsia="仿宋_GB2312"/>
          <w:bCs/>
          <w:color w:val="auto"/>
          <w:sz w:val="30"/>
          <w:szCs w:val="30"/>
          <w:highlight w:val="none"/>
        </w:rPr>
      </w:pPr>
      <w:r>
        <w:rPr>
          <w:rFonts w:hint="eastAsia" w:eastAsia="仿宋_GB2312"/>
          <w:bCs/>
          <w:color w:val="auto"/>
          <w:sz w:val="30"/>
          <w:szCs w:val="30"/>
          <w:highlight w:val="none"/>
        </w:rPr>
        <w:t>5.工程内容：</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518B97F9">
      <w:pPr>
        <w:spacing w:line="360" w:lineRule="auto"/>
        <w:ind w:firstLine="600" w:firstLineChars="200"/>
        <w:rPr>
          <w:rFonts w:eastAsia="仿宋_GB2312"/>
          <w:color w:val="auto"/>
          <w:sz w:val="30"/>
          <w:szCs w:val="30"/>
          <w:highlight w:val="none"/>
        </w:rPr>
      </w:pPr>
      <w:r>
        <w:rPr>
          <w:rFonts w:hint="eastAsia" w:eastAsia="仿宋_GB2312"/>
          <w:bCs/>
          <w:color w:val="auto"/>
          <w:sz w:val="30"/>
          <w:szCs w:val="30"/>
          <w:highlight w:val="none"/>
        </w:rPr>
        <w:t>6</w:t>
      </w:r>
      <w:r>
        <w:rPr>
          <w:rFonts w:eastAsia="仿宋_GB2312"/>
          <w:bCs/>
          <w:color w:val="auto"/>
          <w:sz w:val="30"/>
          <w:szCs w:val="30"/>
          <w:highlight w:val="none"/>
        </w:rPr>
        <w:t>.工程承包范围：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5CE0A250">
      <w:pPr>
        <w:pStyle w:val="7"/>
        <w:ind w:right="63" w:firstLine="600" w:firstLineChars="200"/>
        <w:rPr>
          <w:color w:val="auto"/>
          <w:highlight w:val="none"/>
        </w:rPr>
      </w:pPr>
      <w:r>
        <w:rPr>
          <w:rFonts w:hint="eastAsia" w:eastAsia="仿宋_GB2312"/>
          <w:bCs/>
          <w:color w:val="auto"/>
          <w:sz w:val="30"/>
          <w:szCs w:val="30"/>
          <w:highlight w:val="none"/>
        </w:rPr>
        <w:t>7</w:t>
      </w:r>
      <w:r>
        <w:rPr>
          <w:rFonts w:eastAsia="仿宋_GB2312"/>
          <w:bCs/>
          <w:color w:val="auto"/>
          <w:sz w:val="30"/>
          <w:szCs w:val="30"/>
          <w:highlight w:val="none"/>
        </w:rPr>
        <w:t>.</w:t>
      </w:r>
      <w:r>
        <w:rPr>
          <w:rFonts w:hint="eastAsia" w:eastAsia="仿宋_GB2312"/>
          <w:bCs/>
          <w:color w:val="auto"/>
          <w:sz w:val="30"/>
          <w:szCs w:val="30"/>
          <w:highlight w:val="none"/>
        </w:rPr>
        <w:t>甲供材</w:t>
      </w:r>
      <w:r>
        <w:rPr>
          <w:rFonts w:eastAsia="仿宋_GB2312"/>
          <w:bCs/>
          <w:color w:val="auto"/>
          <w:sz w:val="30"/>
          <w:szCs w:val="30"/>
          <w:highlight w:val="none"/>
        </w:rPr>
        <w:t>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1500826E">
      <w:pPr>
        <w:pStyle w:val="7"/>
        <w:ind w:left="63" w:right="63"/>
        <w:rPr>
          <w:color w:val="auto"/>
          <w:highlight w:val="none"/>
        </w:rPr>
      </w:pPr>
    </w:p>
    <w:p w14:paraId="555E5D96">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   </w:t>
      </w:r>
      <w:bookmarkStart w:id="9" w:name="_Toc351203482"/>
      <w:r>
        <w:rPr>
          <w:rFonts w:ascii="Times New Roman" w:hAnsi="Times New Roman" w:eastAsia="黑体"/>
          <w:b w:val="0"/>
          <w:color w:val="auto"/>
          <w:sz w:val="32"/>
          <w:szCs w:val="32"/>
          <w:highlight w:val="none"/>
        </w:rPr>
        <w:t>二、合同工期</w:t>
      </w:r>
      <w:bookmarkEnd w:id="9"/>
    </w:p>
    <w:p w14:paraId="62EF6FB5">
      <w:pPr>
        <w:spacing w:line="360" w:lineRule="auto"/>
        <w:ind w:firstLine="459"/>
        <w:rPr>
          <w:rFonts w:eastAsia="仿宋_GB2312"/>
          <w:color w:val="auto"/>
          <w:sz w:val="30"/>
          <w:szCs w:val="30"/>
          <w:highlight w:val="none"/>
        </w:rPr>
      </w:pPr>
      <w:r>
        <w:rPr>
          <w:rFonts w:eastAsia="仿宋_GB2312"/>
          <w:color w:val="auto"/>
          <w:sz w:val="30"/>
          <w:szCs w:val="30"/>
          <w:highlight w:val="none"/>
        </w:rPr>
        <w:t>计划开工日期：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2F4415F9">
      <w:pPr>
        <w:spacing w:line="360" w:lineRule="auto"/>
        <w:ind w:firstLine="459"/>
        <w:rPr>
          <w:rFonts w:eastAsia="仿宋_GB2312"/>
          <w:color w:val="auto"/>
          <w:sz w:val="30"/>
          <w:szCs w:val="30"/>
          <w:highlight w:val="none"/>
        </w:rPr>
      </w:pPr>
      <w:r>
        <w:rPr>
          <w:rFonts w:eastAsia="仿宋_GB2312"/>
          <w:color w:val="auto"/>
          <w:sz w:val="30"/>
          <w:szCs w:val="30"/>
          <w:highlight w:val="none"/>
        </w:rPr>
        <w:t>计划竣工日期：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59A99496">
      <w:pPr>
        <w:spacing w:line="360" w:lineRule="auto"/>
        <w:ind w:firstLine="459"/>
        <w:rPr>
          <w:rFonts w:eastAsia="仿宋_GB2312"/>
          <w:color w:val="auto"/>
          <w:sz w:val="30"/>
          <w:szCs w:val="30"/>
          <w:highlight w:val="none"/>
        </w:rPr>
      </w:pPr>
      <w:r>
        <w:rPr>
          <w:rFonts w:eastAsia="仿宋_GB2312"/>
          <w:color w:val="auto"/>
          <w:sz w:val="30"/>
          <w:szCs w:val="30"/>
          <w:highlight w:val="none"/>
        </w:rPr>
        <w:t>工期总日历天数：</w:t>
      </w:r>
      <w:r>
        <w:rPr>
          <w:rFonts w:eastAsia="仿宋_GB2312"/>
          <w:color w:val="auto"/>
          <w:sz w:val="30"/>
          <w:szCs w:val="30"/>
          <w:highlight w:val="none"/>
          <w:u w:val="single"/>
        </w:rPr>
        <w:t xml:space="preserve">      </w:t>
      </w:r>
      <w:r>
        <w:rPr>
          <w:rFonts w:eastAsia="仿宋_GB2312"/>
          <w:color w:val="auto"/>
          <w:sz w:val="30"/>
          <w:szCs w:val="30"/>
          <w:highlight w:val="none"/>
        </w:rPr>
        <w:t>天。</w:t>
      </w:r>
      <w:r>
        <w:rPr>
          <w:rFonts w:hint="eastAsia" w:eastAsia="仿宋_GB2312"/>
          <w:color w:val="auto"/>
          <w:sz w:val="30"/>
          <w:szCs w:val="30"/>
          <w:highlight w:val="none"/>
        </w:rPr>
        <w:t>合同工期为合同范围内所有工程内容的整体工期，竣工验收之日应以合同内最后一个单位工程验收合格之日为准。</w:t>
      </w:r>
      <w:r>
        <w:rPr>
          <w:rFonts w:eastAsia="仿宋_GB2312"/>
          <w:color w:val="auto"/>
          <w:sz w:val="30"/>
          <w:szCs w:val="30"/>
          <w:highlight w:val="none"/>
        </w:rPr>
        <w:t>工期总日历天数与根据前述计划开竣工日期计算的工期天数不一致的，以工期总日历天数为准。</w:t>
      </w:r>
    </w:p>
    <w:p w14:paraId="470571F8">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10" w:name="_Toc351203483"/>
      <w:r>
        <w:rPr>
          <w:rFonts w:ascii="Times New Roman" w:hAnsi="Times New Roman" w:eastAsia="黑体"/>
          <w:b w:val="0"/>
          <w:color w:val="auto"/>
          <w:sz w:val="32"/>
          <w:szCs w:val="32"/>
          <w:highlight w:val="none"/>
        </w:rPr>
        <w:t>三、质量标准</w:t>
      </w:r>
      <w:bookmarkEnd w:id="10"/>
    </w:p>
    <w:p w14:paraId="0770365C">
      <w:pPr>
        <w:spacing w:line="360" w:lineRule="auto"/>
        <w:ind w:firstLine="459"/>
        <w:rPr>
          <w:rFonts w:eastAsia="仿宋_GB2312"/>
          <w:color w:val="auto"/>
          <w:sz w:val="30"/>
          <w:szCs w:val="30"/>
          <w:highlight w:val="none"/>
        </w:rPr>
      </w:pPr>
      <w:r>
        <w:rPr>
          <w:rFonts w:eastAsia="仿宋_GB2312"/>
          <w:color w:val="auto"/>
          <w:sz w:val="30"/>
          <w:szCs w:val="30"/>
          <w:highlight w:val="none"/>
        </w:rPr>
        <w:t>工程质量符合</w:t>
      </w:r>
      <w:r>
        <w:rPr>
          <w:rFonts w:hint="eastAsia" w:eastAsia="仿宋_GB2312"/>
          <w:color w:val="auto"/>
          <w:sz w:val="30"/>
          <w:szCs w:val="30"/>
          <w:highlight w:val="none"/>
          <w:u w:val="single"/>
        </w:rPr>
        <w:t xml:space="preserve"> 国家现行有关施工质量验收规范及双方约定的施工方案的要求，并达到合格 </w:t>
      </w:r>
      <w:r>
        <w:rPr>
          <w:rFonts w:eastAsia="仿宋_GB2312"/>
          <w:color w:val="auto"/>
          <w:sz w:val="30"/>
          <w:szCs w:val="30"/>
          <w:highlight w:val="none"/>
        </w:rPr>
        <w:t>标准。</w:t>
      </w:r>
    </w:p>
    <w:p w14:paraId="14E58520">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11" w:name="_Toc351203484"/>
      <w:r>
        <w:rPr>
          <w:rFonts w:ascii="Times New Roman" w:hAnsi="Times New Roman" w:eastAsia="黑体"/>
          <w:b w:val="0"/>
          <w:color w:val="auto"/>
          <w:sz w:val="32"/>
          <w:szCs w:val="32"/>
          <w:highlight w:val="none"/>
        </w:rPr>
        <w:t>四、签约合同价与合同价格形式</w:t>
      </w:r>
      <w:bookmarkEnd w:id="11"/>
      <w:r>
        <w:rPr>
          <w:rFonts w:ascii="Times New Roman" w:hAnsi="Times New Roman" w:eastAsia="黑体"/>
          <w:b w:val="0"/>
          <w:color w:val="auto"/>
          <w:sz w:val="32"/>
          <w:szCs w:val="32"/>
          <w:highlight w:val="none"/>
        </w:rPr>
        <w:tab/>
      </w:r>
    </w:p>
    <w:p w14:paraId="52FD736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1.签约合同价为：</w:t>
      </w:r>
    </w:p>
    <w:p w14:paraId="0D951EB3">
      <w:pPr>
        <w:spacing w:line="360" w:lineRule="auto"/>
        <w:ind w:firstLine="750" w:firstLineChars="2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1ADAA0FC">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其中：</w:t>
      </w:r>
    </w:p>
    <w:p w14:paraId="218BA499">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（1）安全文明施工费：</w:t>
      </w:r>
    </w:p>
    <w:p w14:paraId="4B208704">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7DDE4165">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（2）暂列金额：</w:t>
      </w:r>
    </w:p>
    <w:p w14:paraId="4851518A">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27FE4534">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2.合同价格形式：</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固定单价合同</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6625B9F4">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12" w:name="_Toc351203485"/>
      <w:r>
        <w:rPr>
          <w:rFonts w:ascii="Times New Roman" w:hAnsi="Times New Roman" w:eastAsia="黑体"/>
          <w:b w:val="0"/>
          <w:color w:val="auto"/>
          <w:sz w:val="32"/>
          <w:szCs w:val="32"/>
          <w:highlight w:val="none"/>
        </w:rPr>
        <w:t>五、</w:t>
      </w:r>
      <w:bookmarkEnd w:id="12"/>
      <w:r>
        <w:rPr>
          <w:rFonts w:ascii="Times New Roman" w:hAnsi="Times New Roman" w:eastAsia="黑体"/>
          <w:b w:val="0"/>
          <w:color w:val="auto"/>
          <w:sz w:val="32"/>
          <w:szCs w:val="32"/>
          <w:highlight w:val="none"/>
        </w:rPr>
        <w:t>项目经理</w:t>
      </w:r>
    </w:p>
    <w:p w14:paraId="66A4E9FC">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承包人项目经理：</w:t>
      </w:r>
      <w:r>
        <w:rPr>
          <w:rFonts w:eastAsia="仿宋_GB2312"/>
          <w:color w:val="auto"/>
          <w:sz w:val="30"/>
          <w:szCs w:val="30"/>
          <w:highlight w:val="none"/>
          <w:u w:val="single"/>
        </w:rPr>
        <w:t xml:space="preserve">                  </w:t>
      </w:r>
      <w:r>
        <w:rPr>
          <w:rFonts w:eastAsia="仿宋_GB2312"/>
          <w:color w:val="auto"/>
          <w:sz w:val="30"/>
          <w:szCs w:val="30"/>
          <w:highlight w:val="none"/>
        </w:rPr>
        <w:t>。</w:t>
      </w:r>
    </w:p>
    <w:p w14:paraId="34634CC8">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13" w:name="_Toc351203486"/>
      <w:r>
        <w:rPr>
          <w:rFonts w:ascii="Times New Roman" w:hAnsi="Times New Roman" w:eastAsia="黑体"/>
          <w:b w:val="0"/>
          <w:color w:val="auto"/>
          <w:sz w:val="32"/>
          <w:szCs w:val="32"/>
          <w:highlight w:val="none"/>
        </w:rPr>
        <w:t>六、合同文件构成</w:t>
      </w:r>
      <w:bookmarkEnd w:id="13"/>
    </w:p>
    <w:p w14:paraId="41949AAA">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本协议书与下列文件一起构成合同文件：</w:t>
      </w:r>
    </w:p>
    <w:p w14:paraId="406DF4A7">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（1）</w:t>
      </w:r>
      <w:r>
        <w:rPr>
          <w:rFonts w:hint="eastAsia" w:eastAsia="仿宋_GB2312"/>
          <w:color w:val="auto"/>
          <w:sz w:val="30"/>
          <w:szCs w:val="30"/>
          <w:highlight w:val="none"/>
        </w:rPr>
        <w:t>成交</w:t>
      </w:r>
      <w:r>
        <w:rPr>
          <w:rFonts w:eastAsia="仿宋_GB2312"/>
          <w:color w:val="auto"/>
          <w:sz w:val="30"/>
          <w:szCs w:val="30"/>
          <w:highlight w:val="none"/>
        </w:rPr>
        <w:t>通知书；</w:t>
      </w:r>
    </w:p>
    <w:p w14:paraId="24DF9BA9">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（2）报价</w:t>
      </w:r>
      <w:r>
        <w:rPr>
          <w:rFonts w:hint="eastAsia" w:eastAsia="仿宋_GB2312" w:cs="仿宋_GB2312"/>
          <w:color w:val="auto"/>
          <w:sz w:val="30"/>
          <w:szCs w:val="32"/>
          <w:highlight w:val="none"/>
          <w:lang w:bidi="ar"/>
        </w:rPr>
        <w:t>响应书</w:t>
      </w:r>
      <w:r>
        <w:rPr>
          <w:rFonts w:eastAsia="仿宋_GB2312"/>
          <w:color w:val="auto"/>
          <w:sz w:val="30"/>
          <w:szCs w:val="30"/>
          <w:highlight w:val="none"/>
        </w:rPr>
        <w:t xml:space="preserve">及其附录； </w:t>
      </w:r>
    </w:p>
    <w:p w14:paraId="4E7198CF">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（3）专用合同条款及其附件；</w:t>
      </w:r>
    </w:p>
    <w:p w14:paraId="25DF9895">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（4）通用合同条款；</w:t>
      </w:r>
    </w:p>
    <w:p w14:paraId="6B2B49AE">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（5）技术标准和要求；</w:t>
      </w:r>
    </w:p>
    <w:p w14:paraId="7981E171">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（6）图纸；</w:t>
      </w:r>
    </w:p>
    <w:p w14:paraId="37CD1F37">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（7）已标价工程量清单或预算书；</w:t>
      </w:r>
    </w:p>
    <w:p w14:paraId="4AAC9A26">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（8）</w:t>
      </w:r>
      <w:r>
        <w:rPr>
          <w:rFonts w:hint="eastAsia" w:eastAsia="仿宋_GB2312"/>
          <w:color w:val="auto"/>
          <w:sz w:val="30"/>
          <w:szCs w:val="30"/>
          <w:highlight w:val="none"/>
        </w:rPr>
        <w:t>询比采购文件</w:t>
      </w:r>
    </w:p>
    <w:p w14:paraId="4D51B5CA">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（9）其他合同文件。</w:t>
      </w:r>
    </w:p>
    <w:p w14:paraId="4B989AFD">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在合同订立及履行过程中形成的与合同有关的文件均构成合同文件组成部分。</w:t>
      </w:r>
    </w:p>
    <w:p w14:paraId="037381BD">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上述各项合同文件包括合同当事人就该项合同文件所作出的补充和修改，属于同一类内容的文件，应以最新签署的为准。</w:t>
      </w:r>
      <w:r>
        <w:rPr>
          <w:rFonts w:hint="eastAsia" w:eastAsia="仿宋_GB2312"/>
          <w:color w:val="auto"/>
          <w:sz w:val="30"/>
          <w:szCs w:val="30"/>
          <w:highlight w:val="none"/>
        </w:rPr>
        <w:t>专用合同条款及其附件须经合同当事人签字或盖章。</w:t>
      </w:r>
    </w:p>
    <w:p w14:paraId="45D46CF6">
      <w:pPr>
        <w:pStyle w:val="5"/>
        <w:spacing w:before="120" w:after="120" w:line="360" w:lineRule="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14" w:name="_Toc351203487"/>
      <w:r>
        <w:rPr>
          <w:rFonts w:ascii="Times New Roman" w:hAnsi="Times New Roman" w:eastAsia="黑体"/>
          <w:b w:val="0"/>
          <w:color w:val="auto"/>
          <w:sz w:val="32"/>
          <w:szCs w:val="32"/>
          <w:highlight w:val="none"/>
        </w:rPr>
        <w:t>七、承诺</w:t>
      </w:r>
      <w:bookmarkEnd w:id="14"/>
    </w:p>
    <w:p w14:paraId="1BF690A4">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1.发包人承诺按照法律规定履行项目审批手续、筹集工程建设资金并按照合同约定的期限和方式支付合同价款。</w:t>
      </w:r>
    </w:p>
    <w:p w14:paraId="5DD73443">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2.承包人承诺按照法律规定及合同约定组织完成工程施工，确保工程质量和安全，不进行转包及违法分包，并在缺陷责任期及保修期内承担相应的工程维修责任。</w:t>
      </w:r>
    </w:p>
    <w:p w14:paraId="30789991">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3.发包人和承包人通过招投标形式签订合同的，双方理解并</w:t>
      </w:r>
      <w:r>
        <w:rPr>
          <w:rFonts w:hint="eastAsia" w:eastAsia="仿宋_GB2312"/>
          <w:bCs/>
          <w:color w:val="auto"/>
          <w:sz w:val="30"/>
          <w:szCs w:val="30"/>
          <w:highlight w:val="none"/>
        </w:rPr>
        <w:t>承诺</w:t>
      </w:r>
      <w:r>
        <w:rPr>
          <w:rFonts w:eastAsia="仿宋_GB2312"/>
          <w:bCs/>
          <w:color w:val="auto"/>
          <w:sz w:val="30"/>
          <w:szCs w:val="30"/>
          <w:highlight w:val="none"/>
        </w:rPr>
        <w:t>不再就同一工程另行签订与合同实质性内容相背离的协议。</w:t>
      </w:r>
    </w:p>
    <w:p w14:paraId="7E3C11E3">
      <w:pPr>
        <w:spacing w:line="360" w:lineRule="auto"/>
        <w:rPr>
          <w:rFonts w:eastAsia="黑体"/>
          <w:bCs/>
          <w:color w:val="auto"/>
          <w:sz w:val="32"/>
          <w:szCs w:val="32"/>
          <w:highlight w:val="none"/>
        </w:rPr>
      </w:pPr>
      <w:bookmarkStart w:id="15" w:name="_Toc351203488"/>
      <w:r>
        <w:rPr>
          <w:rFonts w:hint="eastAsia" w:eastAsia="黑体"/>
          <w:b/>
          <w:color w:val="auto"/>
          <w:sz w:val="32"/>
          <w:szCs w:val="32"/>
          <w:highlight w:val="none"/>
        </w:rPr>
        <w:t xml:space="preserve">    </w:t>
      </w:r>
      <w:r>
        <w:rPr>
          <w:rFonts w:eastAsia="黑体"/>
          <w:b/>
          <w:color w:val="auto"/>
          <w:sz w:val="32"/>
          <w:szCs w:val="32"/>
          <w:highlight w:val="none"/>
        </w:rPr>
        <w:t>八、词语含义</w:t>
      </w:r>
      <w:bookmarkEnd w:id="15"/>
    </w:p>
    <w:p w14:paraId="1575BB9D">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本协议书中词语含义与第二部分通用合同条款中赋予的含义相同。</w:t>
      </w:r>
    </w:p>
    <w:p w14:paraId="7A1F926B">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16" w:name="_Toc351203489"/>
      <w:r>
        <w:rPr>
          <w:rFonts w:ascii="Times New Roman" w:hAnsi="Times New Roman" w:eastAsia="黑体"/>
          <w:b w:val="0"/>
          <w:color w:val="auto"/>
          <w:sz w:val="32"/>
          <w:szCs w:val="32"/>
          <w:highlight w:val="none"/>
        </w:rPr>
        <w:t>九、签订时间</w:t>
      </w:r>
      <w:bookmarkEnd w:id="16"/>
    </w:p>
    <w:p w14:paraId="7130F636">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本合同于</w:t>
      </w:r>
      <w:r>
        <w:rPr>
          <w:rFonts w:eastAsia="仿宋_GB2312"/>
          <w:color w:val="auto"/>
          <w:sz w:val="30"/>
          <w:szCs w:val="30"/>
          <w:highlight w:val="none"/>
          <w:u w:val="single"/>
        </w:rPr>
        <w:t xml:space="preserve">         </w:t>
      </w:r>
      <w:r>
        <w:rPr>
          <w:rFonts w:eastAsia="仿宋_GB2312"/>
          <w:bCs/>
          <w:color w:val="auto"/>
          <w:sz w:val="30"/>
          <w:szCs w:val="30"/>
          <w:highlight w:val="none"/>
        </w:rPr>
        <w:t>年</w:t>
      </w:r>
      <w:r>
        <w:rPr>
          <w:rFonts w:eastAsia="仿宋_GB2312"/>
          <w:color w:val="auto"/>
          <w:sz w:val="30"/>
          <w:szCs w:val="30"/>
          <w:highlight w:val="none"/>
          <w:u w:val="single"/>
        </w:rPr>
        <w:t xml:space="preserve">         </w:t>
      </w:r>
      <w:r>
        <w:rPr>
          <w:rFonts w:eastAsia="仿宋_GB2312"/>
          <w:bCs/>
          <w:color w:val="auto"/>
          <w:sz w:val="30"/>
          <w:szCs w:val="30"/>
          <w:highlight w:val="none"/>
        </w:rPr>
        <w:t>月</w:t>
      </w:r>
      <w:r>
        <w:rPr>
          <w:rFonts w:eastAsia="仿宋_GB2312"/>
          <w:color w:val="auto"/>
          <w:sz w:val="30"/>
          <w:szCs w:val="30"/>
          <w:highlight w:val="none"/>
          <w:u w:val="single"/>
        </w:rPr>
        <w:t xml:space="preserve">         </w:t>
      </w:r>
      <w:r>
        <w:rPr>
          <w:rFonts w:eastAsia="仿宋_GB2312"/>
          <w:bCs/>
          <w:color w:val="auto"/>
          <w:sz w:val="30"/>
          <w:szCs w:val="30"/>
          <w:highlight w:val="none"/>
        </w:rPr>
        <w:t>日签订。</w:t>
      </w:r>
    </w:p>
    <w:p w14:paraId="1D8786B2">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17" w:name="_Toc351203490"/>
      <w:r>
        <w:rPr>
          <w:rFonts w:ascii="Times New Roman" w:hAnsi="Times New Roman" w:eastAsia="黑体"/>
          <w:b w:val="0"/>
          <w:color w:val="auto"/>
          <w:sz w:val="32"/>
          <w:szCs w:val="32"/>
          <w:highlight w:val="none"/>
        </w:rPr>
        <w:t>十、签订地点</w:t>
      </w:r>
      <w:bookmarkEnd w:id="17"/>
    </w:p>
    <w:p w14:paraId="36E186E7">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本合同在</w:t>
      </w:r>
      <w:r>
        <w:rPr>
          <w:rFonts w:eastAsia="仿宋_GB2312"/>
          <w:color w:val="auto"/>
          <w:sz w:val="30"/>
          <w:szCs w:val="30"/>
          <w:highlight w:val="none"/>
          <w:u w:val="single"/>
        </w:rPr>
        <w:t xml:space="preserve">                                </w:t>
      </w:r>
      <w:r>
        <w:rPr>
          <w:rFonts w:eastAsia="仿宋_GB2312"/>
          <w:bCs/>
          <w:color w:val="auto"/>
          <w:sz w:val="30"/>
          <w:szCs w:val="30"/>
          <w:highlight w:val="none"/>
        </w:rPr>
        <w:t>签订。</w:t>
      </w:r>
    </w:p>
    <w:p w14:paraId="0BBBE4A6">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18" w:name="_Toc351203491"/>
      <w:r>
        <w:rPr>
          <w:rFonts w:ascii="Times New Roman" w:hAnsi="Times New Roman" w:eastAsia="黑体"/>
          <w:b w:val="0"/>
          <w:color w:val="auto"/>
          <w:sz w:val="32"/>
          <w:szCs w:val="32"/>
          <w:highlight w:val="none"/>
        </w:rPr>
        <w:t>十一、补充协议</w:t>
      </w:r>
      <w:bookmarkEnd w:id="18"/>
    </w:p>
    <w:p w14:paraId="247028E4">
      <w:pPr>
        <w:spacing w:line="360" w:lineRule="auto"/>
        <w:ind w:firstLine="600" w:firstLineChars="200"/>
        <w:rPr>
          <w:rFonts w:eastAsia="仿宋_GB2312"/>
          <w:b/>
          <w:bCs/>
          <w:color w:val="auto"/>
          <w:sz w:val="30"/>
          <w:szCs w:val="30"/>
          <w:highlight w:val="none"/>
        </w:rPr>
      </w:pPr>
      <w:r>
        <w:rPr>
          <w:rFonts w:eastAsia="仿宋_GB2312"/>
          <w:bCs/>
          <w:color w:val="auto"/>
          <w:sz w:val="30"/>
          <w:szCs w:val="30"/>
          <w:highlight w:val="none"/>
        </w:rPr>
        <w:t>合同未尽事宜，合同当事人另行签订补充协议</w:t>
      </w:r>
      <w:r>
        <w:rPr>
          <w:rFonts w:hint="eastAsia" w:eastAsia="仿宋_GB2312"/>
          <w:bCs/>
          <w:color w:val="auto"/>
          <w:sz w:val="30"/>
          <w:szCs w:val="30"/>
          <w:highlight w:val="none"/>
        </w:rPr>
        <w:t>，</w:t>
      </w:r>
      <w:r>
        <w:rPr>
          <w:rFonts w:eastAsia="仿宋_GB2312"/>
          <w:bCs/>
          <w:color w:val="auto"/>
          <w:sz w:val="30"/>
          <w:szCs w:val="30"/>
          <w:highlight w:val="none"/>
        </w:rPr>
        <w:t>补充协议是合同的组成部分。</w:t>
      </w:r>
    </w:p>
    <w:p w14:paraId="70072EE6">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19" w:name="_Toc351203492"/>
      <w:r>
        <w:rPr>
          <w:rFonts w:ascii="Times New Roman" w:hAnsi="Times New Roman" w:eastAsia="黑体"/>
          <w:b w:val="0"/>
          <w:color w:val="auto"/>
          <w:sz w:val="32"/>
          <w:szCs w:val="32"/>
          <w:highlight w:val="none"/>
        </w:rPr>
        <w:t>十二、合同生效</w:t>
      </w:r>
      <w:bookmarkEnd w:id="19"/>
    </w:p>
    <w:p w14:paraId="3ACAE0F5">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本合同自（1）、（2）后生效</w:t>
      </w:r>
    </w:p>
    <w:p w14:paraId="28875515">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（1）经双方法定代表人或其委托代理人签名并加盖公章或合同专用章</w:t>
      </w:r>
    </w:p>
    <w:p w14:paraId="51E0CDE8">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（2）承包人按合同约定向发包人提交履约担保后</w:t>
      </w:r>
    </w:p>
    <w:p w14:paraId="66B6B0EC">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20" w:name="_Toc351203493"/>
      <w:r>
        <w:rPr>
          <w:rFonts w:ascii="Times New Roman" w:hAnsi="Times New Roman" w:eastAsia="黑体"/>
          <w:b w:val="0"/>
          <w:color w:val="auto"/>
          <w:sz w:val="32"/>
          <w:szCs w:val="32"/>
          <w:highlight w:val="none"/>
        </w:rPr>
        <w:t>十三、合同份数</w:t>
      </w:r>
      <w:bookmarkEnd w:id="20"/>
    </w:p>
    <w:p w14:paraId="7F281130">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本合同一式</w:t>
      </w:r>
      <w:r>
        <w:rPr>
          <w:rFonts w:eastAsia="仿宋_GB2312"/>
          <w:color w:val="auto"/>
          <w:sz w:val="30"/>
          <w:szCs w:val="30"/>
          <w:highlight w:val="none"/>
          <w:u w:val="single"/>
        </w:rPr>
        <w:t xml:space="preserve">         </w:t>
      </w:r>
      <w:r>
        <w:rPr>
          <w:rFonts w:eastAsia="仿宋_GB2312"/>
          <w:bCs/>
          <w:color w:val="auto"/>
          <w:sz w:val="30"/>
          <w:szCs w:val="30"/>
          <w:highlight w:val="none"/>
        </w:rPr>
        <w:t>份，均具有同等法律效力，发包人执</w:t>
      </w:r>
      <w:r>
        <w:rPr>
          <w:rFonts w:eastAsia="仿宋_GB2312"/>
          <w:color w:val="auto"/>
          <w:sz w:val="30"/>
          <w:szCs w:val="30"/>
          <w:highlight w:val="none"/>
          <w:u w:val="single"/>
        </w:rPr>
        <w:t xml:space="preserve">         </w:t>
      </w:r>
      <w:r>
        <w:rPr>
          <w:rFonts w:eastAsia="仿宋_GB2312"/>
          <w:bCs/>
          <w:color w:val="auto"/>
          <w:sz w:val="30"/>
          <w:szCs w:val="30"/>
          <w:highlight w:val="none"/>
        </w:rPr>
        <w:t>份，承包人执</w:t>
      </w:r>
      <w:r>
        <w:rPr>
          <w:rFonts w:eastAsia="仿宋_GB2312"/>
          <w:color w:val="auto"/>
          <w:sz w:val="30"/>
          <w:szCs w:val="30"/>
          <w:highlight w:val="none"/>
          <w:u w:val="single"/>
        </w:rPr>
        <w:t xml:space="preserve">         </w:t>
      </w:r>
      <w:r>
        <w:rPr>
          <w:rFonts w:eastAsia="仿宋_GB2312"/>
          <w:bCs/>
          <w:color w:val="auto"/>
          <w:sz w:val="30"/>
          <w:szCs w:val="30"/>
          <w:highlight w:val="none"/>
        </w:rPr>
        <w:t>份。</w:t>
      </w:r>
    </w:p>
    <w:p w14:paraId="5E907A18">
      <w:pPr>
        <w:spacing w:line="360" w:lineRule="auto"/>
        <w:rPr>
          <w:rFonts w:eastAsia="仿宋_GB2312"/>
          <w:bCs/>
          <w:color w:val="auto"/>
          <w:sz w:val="30"/>
          <w:szCs w:val="30"/>
          <w:highlight w:val="none"/>
        </w:rPr>
      </w:pPr>
    </w:p>
    <w:p w14:paraId="3C41026F">
      <w:pPr>
        <w:spacing w:line="360" w:lineRule="auto"/>
        <w:rPr>
          <w:rFonts w:eastAsia="仿宋_GB2312"/>
          <w:color w:val="auto"/>
          <w:sz w:val="30"/>
          <w:szCs w:val="30"/>
          <w:highlight w:val="none"/>
        </w:rPr>
      </w:pPr>
    </w:p>
    <w:p w14:paraId="20E3DE4C">
      <w:pPr>
        <w:spacing w:line="360" w:lineRule="auto"/>
        <w:rPr>
          <w:rFonts w:eastAsia="仿宋_GB2312"/>
          <w:color w:val="auto"/>
          <w:sz w:val="30"/>
          <w:szCs w:val="30"/>
          <w:highlight w:val="none"/>
        </w:rPr>
      </w:pPr>
      <w:r>
        <w:rPr>
          <w:rFonts w:eastAsia="仿宋_GB2312"/>
          <w:color w:val="auto"/>
          <w:sz w:val="30"/>
          <w:szCs w:val="30"/>
          <w:highlight w:val="none"/>
        </w:rPr>
        <w:t>发包人</w:t>
      </w:r>
      <w:r>
        <w:rPr>
          <w:rFonts w:hint="eastAsia" w:eastAsia="仿宋_GB2312"/>
          <w:color w:val="auto"/>
          <w:sz w:val="30"/>
          <w:szCs w:val="30"/>
          <w:highlight w:val="none"/>
        </w:rPr>
        <w:t xml:space="preserve">：  </w:t>
      </w:r>
      <w:r>
        <w:rPr>
          <w:rFonts w:eastAsia="仿宋_GB2312"/>
          <w:color w:val="auto"/>
          <w:sz w:val="30"/>
          <w:szCs w:val="30"/>
          <w:highlight w:val="none"/>
        </w:rPr>
        <w:t>(公章)</w:t>
      </w:r>
      <w:r>
        <w:rPr>
          <w:rFonts w:hint="eastAsia" w:eastAsia="仿宋_GB2312"/>
          <w:color w:val="auto"/>
          <w:sz w:val="30"/>
          <w:szCs w:val="30"/>
          <w:highlight w:val="none"/>
        </w:rPr>
        <w:t xml:space="preserve">             </w:t>
      </w:r>
      <w:r>
        <w:rPr>
          <w:rFonts w:eastAsia="仿宋_GB2312"/>
          <w:color w:val="auto"/>
          <w:sz w:val="30"/>
          <w:szCs w:val="30"/>
          <w:highlight w:val="none"/>
        </w:rPr>
        <w:t>承包人</w:t>
      </w:r>
      <w:r>
        <w:rPr>
          <w:rFonts w:hint="eastAsia" w:eastAsia="仿宋_GB2312"/>
          <w:color w:val="auto"/>
          <w:sz w:val="30"/>
          <w:szCs w:val="30"/>
          <w:highlight w:val="none"/>
        </w:rPr>
        <w:t xml:space="preserve">：  </w:t>
      </w:r>
      <w:r>
        <w:rPr>
          <w:rFonts w:eastAsia="仿宋_GB2312"/>
          <w:color w:val="auto"/>
          <w:sz w:val="30"/>
          <w:szCs w:val="30"/>
          <w:highlight w:val="none"/>
        </w:rPr>
        <w:t>(公章)</w:t>
      </w:r>
    </w:p>
    <w:p w14:paraId="77C9FBDA">
      <w:pPr>
        <w:spacing w:line="360" w:lineRule="auto"/>
        <w:rPr>
          <w:rFonts w:eastAsia="仿宋_GB2312"/>
          <w:color w:val="auto"/>
          <w:sz w:val="30"/>
          <w:szCs w:val="30"/>
          <w:highlight w:val="none"/>
          <w:u w:val="single"/>
        </w:rPr>
      </w:pPr>
      <w:r>
        <w:rPr>
          <w:rFonts w:hint="eastAsia" w:eastAsia="仿宋_GB2312"/>
          <w:color w:val="auto"/>
          <w:sz w:val="30"/>
          <w:szCs w:val="30"/>
          <w:highlight w:val="none"/>
        </w:rPr>
        <w:t xml:space="preserve">                                 </w:t>
      </w:r>
    </w:p>
    <w:p w14:paraId="43C3483A">
      <w:pPr>
        <w:spacing w:line="360" w:lineRule="auto"/>
        <w:rPr>
          <w:rFonts w:eastAsia="仿宋_GB2312"/>
          <w:color w:val="auto"/>
          <w:sz w:val="30"/>
          <w:szCs w:val="30"/>
          <w:highlight w:val="none"/>
        </w:rPr>
      </w:pPr>
      <w:r>
        <w:rPr>
          <w:rFonts w:hint="eastAsia" w:eastAsia="仿宋_GB2312"/>
          <w:color w:val="auto"/>
          <w:sz w:val="30"/>
          <w:szCs w:val="30"/>
          <w:highlight w:val="none"/>
        </w:rPr>
        <w:t>法定代表人或其委托代理人：  法定代表人或其委托代理人：</w:t>
      </w:r>
    </w:p>
    <w:p w14:paraId="3A6F9FC1">
      <w:pPr>
        <w:spacing w:line="360" w:lineRule="auto"/>
        <w:rPr>
          <w:rFonts w:eastAsia="仿宋_GB2312"/>
          <w:color w:val="auto"/>
          <w:sz w:val="30"/>
          <w:szCs w:val="30"/>
          <w:highlight w:val="none"/>
        </w:rPr>
      </w:pPr>
      <w:r>
        <w:rPr>
          <w:rFonts w:hint="eastAsia" w:eastAsia="仿宋_GB2312"/>
          <w:color w:val="auto"/>
          <w:sz w:val="30"/>
          <w:szCs w:val="30"/>
          <w:highlight w:val="none"/>
        </w:rPr>
        <w:t>（签字）                    （签字）</w:t>
      </w:r>
    </w:p>
    <w:p w14:paraId="4626EC23">
      <w:pPr>
        <w:spacing w:line="360" w:lineRule="auto"/>
        <w:rPr>
          <w:rFonts w:eastAsia="仿宋_GB2312"/>
          <w:color w:val="auto"/>
          <w:sz w:val="30"/>
          <w:szCs w:val="30"/>
          <w:highlight w:val="none"/>
          <w:u w:val="single"/>
        </w:rPr>
      </w:pPr>
    </w:p>
    <w:p w14:paraId="622390C0">
      <w:pPr>
        <w:tabs>
          <w:tab w:val="left" w:pos="4410"/>
        </w:tabs>
        <w:spacing w:line="360" w:lineRule="auto"/>
        <w:rPr>
          <w:rFonts w:eastAsia="仿宋_GB2312"/>
          <w:color w:val="auto"/>
          <w:sz w:val="30"/>
          <w:szCs w:val="30"/>
          <w:highlight w:val="none"/>
        </w:rPr>
      </w:pPr>
      <w:r>
        <w:rPr>
          <w:rFonts w:hint="eastAsia" w:eastAsia="仿宋_GB2312"/>
          <w:color w:val="auto"/>
          <w:sz w:val="30"/>
          <w:szCs w:val="30"/>
          <w:highlight w:val="none"/>
        </w:rPr>
        <w:t>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p>
    <w:p w14:paraId="0E6F977E">
      <w:pPr>
        <w:spacing w:line="360" w:lineRule="auto"/>
        <w:rPr>
          <w:rFonts w:eastAsia="仿宋_GB2312"/>
          <w:color w:val="auto"/>
          <w:sz w:val="30"/>
          <w:szCs w:val="30"/>
          <w:highlight w:val="none"/>
        </w:rPr>
      </w:pPr>
      <w:r>
        <w:rPr>
          <w:rFonts w:eastAsia="仿宋_GB2312"/>
          <w:color w:val="auto"/>
          <w:sz w:val="30"/>
          <w:szCs w:val="30"/>
          <w:highlight w:val="none"/>
        </w:rPr>
        <w:t>地  址：</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地  址：</w:t>
      </w:r>
      <w:r>
        <w:rPr>
          <w:rFonts w:eastAsia="仿宋_GB2312"/>
          <w:color w:val="auto"/>
          <w:sz w:val="30"/>
          <w:szCs w:val="30"/>
          <w:highlight w:val="none"/>
          <w:u w:val="single"/>
        </w:rPr>
        <w:t xml:space="preserve">                 </w:t>
      </w:r>
    </w:p>
    <w:p w14:paraId="1CFC0B71">
      <w:pPr>
        <w:spacing w:line="360" w:lineRule="auto"/>
        <w:rPr>
          <w:rFonts w:eastAsia="仿宋_GB2312"/>
          <w:color w:val="auto"/>
          <w:sz w:val="30"/>
          <w:szCs w:val="30"/>
          <w:highlight w:val="none"/>
        </w:rPr>
      </w:pPr>
      <w:r>
        <w:rPr>
          <w:rFonts w:eastAsia="仿宋_GB2312"/>
          <w:color w:val="auto"/>
          <w:sz w:val="30"/>
          <w:szCs w:val="30"/>
          <w:highlight w:val="none"/>
        </w:rPr>
        <w:t>邮政编码：</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邮政编码：</w:t>
      </w:r>
      <w:r>
        <w:rPr>
          <w:rFonts w:eastAsia="仿宋_GB2312"/>
          <w:color w:val="auto"/>
          <w:sz w:val="30"/>
          <w:szCs w:val="30"/>
          <w:highlight w:val="none"/>
          <w:u w:val="single"/>
        </w:rPr>
        <w:t xml:space="preserve">               </w:t>
      </w:r>
    </w:p>
    <w:p w14:paraId="423FE59A">
      <w:pPr>
        <w:spacing w:line="360" w:lineRule="auto"/>
        <w:rPr>
          <w:rFonts w:eastAsia="仿宋_GB2312"/>
          <w:color w:val="auto"/>
          <w:sz w:val="30"/>
          <w:szCs w:val="30"/>
          <w:highlight w:val="none"/>
        </w:rPr>
      </w:pPr>
      <w:r>
        <w:rPr>
          <w:rFonts w:eastAsia="仿宋_GB2312"/>
          <w:color w:val="auto"/>
          <w:sz w:val="30"/>
          <w:szCs w:val="30"/>
          <w:highlight w:val="none"/>
        </w:rPr>
        <w:t>法定代表人：</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法定代表人：</w:t>
      </w:r>
      <w:r>
        <w:rPr>
          <w:rFonts w:eastAsia="仿宋_GB2312"/>
          <w:color w:val="auto"/>
          <w:sz w:val="30"/>
          <w:szCs w:val="30"/>
          <w:highlight w:val="none"/>
          <w:u w:val="single"/>
        </w:rPr>
        <w:t xml:space="preserve">             </w:t>
      </w:r>
    </w:p>
    <w:p w14:paraId="1CF61C68">
      <w:pPr>
        <w:spacing w:line="360" w:lineRule="auto"/>
        <w:rPr>
          <w:rFonts w:eastAsia="仿宋_GB2312"/>
          <w:color w:val="auto"/>
          <w:sz w:val="30"/>
          <w:szCs w:val="30"/>
          <w:highlight w:val="none"/>
        </w:rPr>
      </w:pPr>
      <w:r>
        <w:rPr>
          <w:rFonts w:eastAsia="仿宋_GB2312"/>
          <w:color w:val="auto"/>
          <w:sz w:val="30"/>
          <w:szCs w:val="30"/>
          <w:highlight w:val="none"/>
        </w:rPr>
        <w:t>委托代理人：</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委托代理人：</w:t>
      </w:r>
      <w:r>
        <w:rPr>
          <w:rFonts w:eastAsia="仿宋_GB2312"/>
          <w:color w:val="auto"/>
          <w:sz w:val="30"/>
          <w:szCs w:val="30"/>
          <w:highlight w:val="none"/>
          <w:u w:val="single"/>
        </w:rPr>
        <w:t xml:space="preserve">             </w:t>
      </w:r>
    </w:p>
    <w:p w14:paraId="0EB91500">
      <w:pPr>
        <w:spacing w:line="360" w:lineRule="auto"/>
        <w:rPr>
          <w:rFonts w:eastAsia="仿宋_GB2312"/>
          <w:color w:val="auto"/>
          <w:sz w:val="30"/>
          <w:szCs w:val="30"/>
          <w:highlight w:val="none"/>
        </w:rPr>
      </w:pPr>
      <w:r>
        <w:rPr>
          <w:rFonts w:eastAsia="仿宋_GB2312"/>
          <w:color w:val="auto"/>
          <w:sz w:val="30"/>
          <w:szCs w:val="30"/>
          <w:highlight w:val="none"/>
        </w:rPr>
        <w:t>电  话：</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电  话：</w:t>
      </w:r>
      <w:r>
        <w:rPr>
          <w:rFonts w:eastAsia="仿宋_GB2312"/>
          <w:color w:val="auto"/>
          <w:sz w:val="30"/>
          <w:szCs w:val="30"/>
          <w:highlight w:val="none"/>
          <w:u w:val="single"/>
        </w:rPr>
        <w:t xml:space="preserve">                 </w:t>
      </w:r>
    </w:p>
    <w:p w14:paraId="597BE721">
      <w:pPr>
        <w:spacing w:line="360" w:lineRule="auto"/>
        <w:rPr>
          <w:rFonts w:eastAsia="仿宋_GB2312"/>
          <w:color w:val="auto"/>
          <w:sz w:val="30"/>
          <w:szCs w:val="30"/>
          <w:highlight w:val="none"/>
        </w:rPr>
      </w:pPr>
      <w:r>
        <w:rPr>
          <w:rFonts w:eastAsia="仿宋_GB2312"/>
          <w:color w:val="auto"/>
          <w:sz w:val="30"/>
          <w:szCs w:val="30"/>
          <w:highlight w:val="none"/>
        </w:rPr>
        <w:t>传  真：</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传  真：</w:t>
      </w:r>
      <w:r>
        <w:rPr>
          <w:rFonts w:eastAsia="仿宋_GB2312"/>
          <w:color w:val="auto"/>
          <w:sz w:val="30"/>
          <w:szCs w:val="30"/>
          <w:highlight w:val="none"/>
          <w:u w:val="single"/>
        </w:rPr>
        <w:t xml:space="preserve">                 </w:t>
      </w:r>
    </w:p>
    <w:p w14:paraId="5C2CFF07">
      <w:pPr>
        <w:spacing w:line="360" w:lineRule="auto"/>
        <w:rPr>
          <w:rFonts w:eastAsia="仿宋_GB2312"/>
          <w:color w:val="auto"/>
          <w:sz w:val="30"/>
          <w:szCs w:val="30"/>
          <w:highlight w:val="none"/>
        </w:rPr>
      </w:pPr>
      <w:r>
        <w:rPr>
          <w:rFonts w:eastAsia="仿宋_GB2312"/>
          <w:color w:val="auto"/>
          <w:sz w:val="30"/>
          <w:szCs w:val="30"/>
          <w:highlight w:val="none"/>
        </w:rPr>
        <w:t>电子信箱：</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电子信箱：</w:t>
      </w:r>
      <w:r>
        <w:rPr>
          <w:rFonts w:eastAsia="仿宋_GB2312"/>
          <w:color w:val="auto"/>
          <w:sz w:val="30"/>
          <w:szCs w:val="30"/>
          <w:highlight w:val="none"/>
          <w:u w:val="single"/>
        </w:rPr>
        <w:t xml:space="preserve">               </w:t>
      </w:r>
    </w:p>
    <w:p w14:paraId="6EB46040">
      <w:pPr>
        <w:spacing w:line="360" w:lineRule="auto"/>
        <w:rPr>
          <w:rFonts w:eastAsia="仿宋_GB2312"/>
          <w:color w:val="auto"/>
          <w:sz w:val="30"/>
          <w:szCs w:val="30"/>
          <w:highlight w:val="none"/>
        </w:rPr>
      </w:pPr>
      <w:r>
        <w:rPr>
          <w:rFonts w:eastAsia="仿宋_GB2312"/>
          <w:color w:val="auto"/>
          <w:sz w:val="30"/>
          <w:szCs w:val="30"/>
          <w:highlight w:val="none"/>
        </w:rPr>
        <w:t>开户银行：</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开户银行：</w:t>
      </w:r>
      <w:r>
        <w:rPr>
          <w:rFonts w:eastAsia="仿宋_GB2312"/>
          <w:color w:val="auto"/>
          <w:sz w:val="30"/>
          <w:szCs w:val="30"/>
          <w:highlight w:val="none"/>
          <w:u w:val="single"/>
        </w:rPr>
        <w:t xml:space="preserve">               </w:t>
      </w:r>
    </w:p>
    <w:p w14:paraId="3F9BE156">
      <w:pPr>
        <w:spacing w:line="360" w:lineRule="auto"/>
        <w:rPr>
          <w:rFonts w:eastAsia="仿宋_GB2312"/>
          <w:color w:val="auto"/>
          <w:sz w:val="30"/>
          <w:szCs w:val="30"/>
          <w:highlight w:val="none"/>
        </w:rPr>
      </w:pPr>
      <w:r>
        <w:rPr>
          <w:rFonts w:eastAsia="仿宋_GB2312"/>
          <w:color w:val="auto"/>
          <w:sz w:val="30"/>
          <w:szCs w:val="30"/>
          <w:highlight w:val="none"/>
        </w:rPr>
        <w:t>账  号：</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账</w:t>
      </w:r>
      <w:r>
        <w:rPr>
          <w:rFonts w:hint="eastAsia" w:eastAsia="仿宋_GB2312"/>
          <w:color w:val="auto"/>
          <w:sz w:val="30"/>
          <w:szCs w:val="30"/>
          <w:highlight w:val="none"/>
        </w:rPr>
        <w:t xml:space="preserve"> </w:t>
      </w:r>
      <w:r>
        <w:rPr>
          <w:rFonts w:eastAsia="仿宋_GB2312"/>
          <w:color w:val="auto"/>
          <w:sz w:val="30"/>
          <w:szCs w:val="30"/>
          <w:highlight w:val="none"/>
        </w:rPr>
        <w:t xml:space="preserve"> 号：</w:t>
      </w:r>
      <w:r>
        <w:rPr>
          <w:rFonts w:eastAsia="仿宋_GB2312"/>
          <w:color w:val="auto"/>
          <w:sz w:val="30"/>
          <w:szCs w:val="30"/>
          <w:highlight w:val="none"/>
          <w:u w:val="single"/>
        </w:rPr>
        <w:t xml:space="preserve">                 </w:t>
      </w:r>
    </w:p>
    <w:p w14:paraId="79D4C651">
      <w:pPr>
        <w:pStyle w:val="4"/>
        <w:jc w:val="center"/>
        <w:rPr>
          <w:rFonts w:ascii="华文中宋" w:hAnsi="华文中宋" w:eastAsia="华文中宋"/>
          <w:color w:val="auto"/>
          <w:sz w:val="44"/>
          <w:szCs w:val="44"/>
          <w:highlight w:val="none"/>
        </w:rPr>
      </w:pPr>
      <w:r>
        <w:rPr>
          <w:rFonts w:eastAsia="仿宋_GB2312"/>
          <w:color w:val="auto"/>
          <w:highlight w:val="none"/>
        </w:rPr>
        <w:br w:type="page"/>
      </w:r>
      <w:bookmarkStart w:id="21" w:name="_Toc351203494"/>
      <w:r>
        <w:rPr>
          <w:rFonts w:ascii="华文中宋" w:hAnsi="华文中宋" w:eastAsia="华文中宋"/>
          <w:color w:val="auto"/>
          <w:sz w:val="44"/>
          <w:szCs w:val="44"/>
          <w:highlight w:val="none"/>
        </w:rPr>
        <w:t>第二部分 通用合同条款</w:t>
      </w:r>
      <w:bookmarkEnd w:id="21"/>
      <w:bookmarkStart w:id="22" w:name="_Toc337558727"/>
    </w:p>
    <w:p w14:paraId="5EF68F05">
      <w:pPr>
        <w:widowControl/>
        <w:spacing w:line="360" w:lineRule="auto"/>
        <w:ind w:firstLine="600" w:firstLineChars="200"/>
        <w:jc w:val="left"/>
        <w:rPr>
          <w:rFonts w:ascii="宋体" w:hAnsi="宋体" w:cs="黑体"/>
          <w:b/>
          <w:color w:val="auto"/>
          <w:sz w:val="24"/>
          <w:highlight w:val="none"/>
        </w:rPr>
      </w:pPr>
      <w:r>
        <w:rPr>
          <w:rFonts w:hint="eastAsia" w:ascii="仿宋_GB2312" w:eastAsia="仿宋_GB2312"/>
          <w:b/>
          <w:color w:val="auto"/>
          <w:sz w:val="30"/>
          <w:szCs w:val="30"/>
          <w:highlight w:val="none"/>
        </w:rPr>
        <w:t>住房城乡建设部、国家工商行政管理总局制定的《建设工程施工合同（示范文本）》（GF-20</w:t>
      </w:r>
      <w:r>
        <w:rPr>
          <w:rFonts w:ascii="仿宋_GB2312" w:eastAsia="仿宋_GB2312"/>
          <w:b/>
          <w:color w:val="auto"/>
          <w:sz w:val="30"/>
          <w:szCs w:val="30"/>
          <w:highlight w:val="none"/>
        </w:rPr>
        <w:tab/>
      </w:r>
      <w:r>
        <w:rPr>
          <w:rFonts w:hint="eastAsia" w:ascii="仿宋_GB2312" w:eastAsia="仿宋_GB2312"/>
          <w:b/>
          <w:color w:val="auto"/>
          <w:sz w:val="30"/>
          <w:szCs w:val="30"/>
          <w:highlight w:val="none"/>
        </w:rPr>
        <w:t>17-0201）</w:t>
      </w:r>
      <w:r>
        <w:rPr>
          <w:rFonts w:hint="eastAsia" w:ascii="宋体" w:hAnsi="宋体" w:cs="黑体"/>
          <w:b/>
          <w:color w:val="auto"/>
          <w:sz w:val="24"/>
          <w:highlight w:val="none"/>
        </w:rPr>
        <w:t>。</w:t>
      </w:r>
    </w:p>
    <w:p w14:paraId="773D40DC">
      <w:pPr>
        <w:pStyle w:val="4"/>
        <w:rPr>
          <w:rFonts w:ascii="华文中宋" w:hAnsi="华文中宋" w:eastAsia="华文中宋"/>
          <w:color w:val="auto"/>
          <w:sz w:val="44"/>
          <w:szCs w:val="44"/>
          <w:highlight w:val="none"/>
        </w:rPr>
      </w:pPr>
    </w:p>
    <w:p w14:paraId="7E3222DF">
      <w:pPr>
        <w:pStyle w:val="4"/>
        <w:jc w:val="center"/>
        <w:rPr>
          <w:rFonts w:ascii="华文中宋" w:hAnsi="华文中宋" w:eastAsia="华文中宋"/>
          <w:color w:val="auto"/>
          <w:sz w:val="44"/>
          <w:szCs w:val="44"/>
          <w:highlight w:val="none"/>
        </w:rPr>
      </w:pPr>
      <w:r>
        <w:rPr>
          <w:color w:val="auto"/>
          <w:highlight w:val="none"/>
        </w:rPr>
        <w:br w:type="page"/>
      </w:r>
      <w:bookmarkEnd w:id="22"/>
      <w:bookmarkStart w:id="23" w:name="_Toc351203632"/>
      <w:r>
        <w:rPr>
          <w:rFonts w:ascii="华文中宋" w:hAnsi="华文中宋" w:eastAsia="华文中宋"/>
          <w:color w:val="auto"/>
          <w:sz w:val="44"/>
          <w:szCs w:val="44"/>
          <w:highlight w:val="none"/>
        </w:rPr>
        <w:t xml:space="preserve">第三部分 </w:t>
      </w:r>
      <w:r>
        <w:rPr>
          <w:rFonts w:hint="eastAsia" w:ascii="华文中宋" w:hAnsi="华文中宋" w:eastAsia="华文中宋"/>
          <w:color w:val="auto"/>
          <w:sz w:val="44"/>
          <w:szCs w:val="44"/>
          <w:highlight w:val="none"/>
        </w:rPr>
        <w:t>专用合同条款</w:t>
      </w:r>
      <w:bookmarkEnd w:id="23"/>
    </w:p>
    <w:p w14:paraId="7A109274">
      <w:pPr>
        <w:pStyle w:val="5"/>
        <w:spacing w:before="120" w:after="120" w:line="360" w:lineRule="auto"/>
        <w:rPr>
          <w:rFonts w:ascii="Times New Roman" w:hAnsi="Times New Roman" w:eastAsia="黑体"/>
          <w:b w:val="0"/>
          <w:color w:val="auto"/>
          <w:sz w:val="32"/>
          <w:szCs w:val="32"/>
          <w:highlight w:val="none"/>
        </w:rPr>
      </w:pPr>
      <w:bookmarkStart w:id="24" w:name="_Toc351203633"/>
      <w:r>
        <w:rPr>
          <w:rFonts w:ascii="Times New Roman" w:hAnsi="Times New Roman" w:eastAsia="黑体"/>
          <w:b w:val="0"/>
          <w:color w:val="auto"/>
          <w:sz w:val="32"/>
          <w:szCs w:val="32"/>
          <w:highlight w:val="none"/>
        </w:rPr>
        <w:t>1</w:t>
      </w:r>
      <w:bookmarkStart w:id="25" w:name="_Toc297048342"/>
      <w:bookmarkStart w:id="26" w:name="_Toc296890984"/>
      <w:bookmarkStart w:id="27" w:name="_Toc296503156"/>
      <w:bookmarkStart w:id="28" w:name="_Toc292559361"/>
      <w:bookmarkStart w:id="29" w:name="_Toc296944495"/>
      <w:bookmarkStart w:id="30" w:name="_Toc296891196"/>
      <w:bookmarkStart w:id="31" w:name="_Toc292559866"/>
      <w:bookmarkStart w:id="32" w:name="_Toc296346657"/>
      <w:bookmarkStart w:id="33" w:name="_Toc296347155"/>
      <w:bookmarkStart w:id="34" w:name="_Toc297120456"/>
      <w:r>
        <w:rPr>
          <w:rFonts w:ascii="Times New Roman" w:hAnsi="Times New Roman" w:eastAsia="黑体"/>
          <w:b w:val="0"/>
          <w:color w:val="auto"/>
          <w:sz w:val="32"/>
          <w:szCs w:val="32"/>
          <w:highlight w:val="none"/>
        </w:rPr>
        <w:t>. 一般约定</w:t>
      </w:r>
      <w:bookmarkEnd w:id="24"/>
    </w:p>
    <w:bookmarkEnd w:id="25"/>
    <w:bookmarkEnd w:id="26"/>
    <w:bookmarkEnd w:id="27"/>
    <w:bookmarkEnd w:id="28"/>
    <w:bookmarkEnd w:id="29"/>
    <w:bookmarkEnd w:id="30"/>
    <w:bookmarkEnd w:id="31"/>
    <w:bookmarkEnd w:id="32"/>
    <w:bookmarkEnd w:id="33"/>
    <w:bookmarkEnd w:id="34"/>
    <w:p w14:paraId="39D4AB3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 词语定义</w:t>
      </w:r>
    </w:p>
    <w:p w14:paraId="39C9166D">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1.1.1合同</w:t>
      </w:r>
    </w:p>
    <w:p w14:paraId="047743C0">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1.1.1.10其他合同文件包括：</w:t>
      </w:r>
      <w:r>
        <w:rPr>
          <w:rFonts w:hint="eastAsia" w:eastAsia="仿宋_GB2312"/>
          <w:color w:val="auto"/>
          <w:sz w:val="30"/>
          <w:szCs w:val="32"/>
          <w:highlight w:val="none"/>
          <w:u w:val="single"/>
        </w:rPr>
        <w:t xml:space="preserve">(1)双方有关工程的洽商、变更等书面记录和文件；（2）发包人或监理工程师有关通知及工程会议纪要   </w:t>
      </w:r>
      <w:r>
        <w:rPr>
          <w:rFonts w:eastAsia="仿宋_GB2312"/>
          <w:color w:val="auto"/>
          <w:sz w:val="30"/>
          <w:szCs w:val="32"/>
          <w:highlight w:val="none"/>
        </w:rPr>
        <w:t>。</w:t>
      </w:r>
    </w:p>
    <w:p w14:paraId="39331FB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 合同当事人及其他相关方</w:t>
      </w:r>
    </w:p>
    <w:p w14:paraId="346C0517">
      <w:pPr>
        <w:spacing w:line="360" w:lineRule="auto"/>
        <w:ind w:firstLine="600" w:firstLineChars="200"/>
        <w:rPr>
          <w:rFonts w:hint="eastAsia" w:eastAsia="仿宋_GB2312"/>
          <w:color w:val="auto"/>
          <w:sz w:val="30"/>
          <w:szCs w:val="32"/>
          <w:highlight w:val="none"/>
        </w:rPr>
      </w:pPr>
      <w:r>
        <w:rPr>
          <w:rFonts w:eastAsia="仿宋_GB2312"/>
          <w:color w:val="auto"/>
          <w:sz w:val="30"/>
          <w:szCs w:val="32"/>
          <w:highlight w:val="none"/>
        </w:rPr>
        <w:t>1.1.2.4监理人：</w:t>
      </w:r>
      <w:r>
        <w:rPr>
          <w:rFonts w:hint="eastAsia" w:eastAsia="仿宋_GB2312"/>
          <w:color w:val="auto"/>
          <w:sz w:val="30"/>
          <w:szCs w:val="32"/>
          <w:highlight w:val="none"/>
        </w:rPr>
        <w:t>/</w:t>
      </w:r>
    </w:p>
    <w:p w14:paraId="6496ED40">
      <w:pPr>
        <w:spacing w:line="360" w:lineRule="auto"/>
        <w:ind w:firstLine="600" w:firstLineChars="200"/>
        <w:rPr>
          <w:rFonts w:hint="eastAsia" w:eastAsia="仿宋_GB2312"/>
          <w:color w:val="auto"/>
          <w:sz w:val="30"/>
          <w:szCs w:val="32"/>
          <w:highlight w:val="none"/>
        </w:rPr>
      </w:pPr>
      <w:r>
        <w:rPr>
          <w:rFonts w:eastAsia="仿宋_GB2312"/>
          <w:color w:val="auto"/>
          <w:sz w:val="30"/>
          <w:szCs w:val="32"/>
          <w:highlight w:val="none"/>
        </w:rPr>
        <w:t>1.1.2.5 设计人：</w:t>
      </w:r>
      <w:r>
        <w:rPr>
          <w:rFonts w:hint="eastAsia" w:eastAsia="仿宋_GB2312"/>
          <w:color w:val="auto"/>
          <w:sz w:val="30"/>
          <w:szCs w:val="32"/>
          <w:highlight w:val="none"/>
        </w:rPr>
        <w:t>/</w:t>
      </w:r>
    </w:p>
    <w:p w14:paraId="25706E6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1.1.3 工程和设备</w:t>
      </w:r>
    </w:p>
    <w:p w14:paraId="3B415EE7">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1.1.3.10 临时占地包括：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临时施工用地、临时便道用地 </w:t>
      </w:r>
      <w:r>
        <w:rPr>
          <w:rFonts w:eastAsia="仿宋_GB2312"/>
          <w:color w:val="auto"/>
          <w:kern w:val="0"/>
          <w:sz w:val="30"/>
          <w:szCs w:val="32"/>
          <w:highlight w:val="none"/>
        </w:rPr>
        <w:t>。</w:t>
      </w:r>
    </w:p>
    <w:p w14:paraId="0161FEB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 xml:space="preserve">1.3法律 </w:t>
      </w:r>
    </w:p>
    <w:p w14:paraId="34302AE7">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适用于合同的其他规范性文件：</w:t>
      </w:r>
      <w:r>
        <w:rPr>
          <w:rFonts w:hint="eastAsia" w:eastAsia="仿宋_GB2312"/>
          <w:color w:val="auto"/>
          <w:sz w:val="30"/>
          <w:szCs w:val="32"/>
          <w:highlight w:val="none"/>
          <w:u w:val="single"/>
        </w:rPr>
        <w:t>国家及地方现行相关规范性文件</w:t>
      </w:r>
      <w:r>
        <w:rPr>
          <w:rFonts w:eastAsia="仿宋_GB2312"/>
          <w:color w:val="auto"/>
          <w:sz w:val="30"/>
          <w:szCs w:val="32"/>
          <w:highlight w:val="none"/>
          <w:u w:val="single"/>
        </w:rPr>
        <w:t xml:space="preserve"> </w:t>
      </w:r>
      <w:r>
        <w:rPr>
          <w:rFonts w:eastAsia="仿宋_GB2312"/>
          <w:color w:val="auto"/>
          <w:sz w:val="30"/>
          <w:szCs w:val="32"/>
          <w:highlight w:val="none"/>
        </w:rPr>
        <w:t>。</w:t>
      </w:r>
    </w:p>
    <w:p w14:paraId="3984D895">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 合同文件的优先顺序</w:t>
      </w:r>
    </w:p>
    <w:p w14:paraId="4234D4A6">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合同文件组成及优先顺序为：</w:t>
      </w:r>
    </w:p>
    <w:p w14:paraId="7E5DBB6C">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w:t>
      </w:r>
      <w:r>
        <w:rPr>
          <w:rFonts w:eastAsia="仿宋_GB2312"/>
          <w:color w:val="auto"/>
          <w:sz w:val="30"/>
          <w:szCs w:val="32"/>
          <w:highlight w:val="none"/>
        </w:rPr>
        <w:t>）</w:t>
      </w:r>
      <w:r>
        <w:rPr>
          <w:rFonts w:hint="eastAsia" w:eastAsia="仿宋_GB2312"/>
          <w:color w:val="auto"/>
          <w:sz w:val="30"/>
          <w:szCs w:val="32"/>
          <w:highlight w:val="none"/>
        </w:rPr>
        <w:t>合同协议书</w:t>
      </w:r>
      <w:r>
        <w:rPr>
          <w:rFonts w:eastAsia="仿宋_GB2312"/>
          <w:color w:val="auto"/>
          <w:sz w:val="30"/>
          <w:szCs w:val="32"/>
          <w:highlight w:val="none"/>
        </w:rPr>
        <w:t>；</w:t>
      </w:r>
    </w:p>
    <w:p w14:paraId="2FC9E759">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2</w:t>
      </w:r>
      <w:r>
        <w:rPr>
          <w:rFonts w:eastAsia="仿宋_GB2312"/>
          <w:color w:val="auto"/>
          <w:sz w:val="30"/>
          <w:szCs w:val="32"/>
          <w:highlight w:val="none"/>
        </w:rPr>
        <w:t>）</w:t>
      </w:r>
      <w:r>
        <w:rPr>
          <w:rFonts w:hint="eastAsia" w:eastAsia="仿宋_GB2312"/>
          <w:color w:val="auto"/>
          <w:sz w:val="30"/>
          <w:szCs w:val="32"/>
          <w:highlight w:val="none"/>
        </w:rPr>
        <w:t>成交通知书</w:t>
      </w:r>
      <w:r>
        <w:rPr>
          <w:rFonts w:eastAsia="仿宋_GB2312"/>
          <w:color w:val="auto"/>
          <w:sz w:val="30"/>
          <w:szCs w:val="32"/>
          <w:highlight w:val="none"/>
        </w:rPr>
        <w:t>；</w:t>
      </w:r>
    </w:p>
    <w:p w14:paraId="0A2B58CD">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3</w:t>
      </w:r>
      <w:r>
        <w:rPr>
          <w:rFonts w:eastAsia="仿宋_GB2312"/>
          <w:color w:val="auto"/>
          <w:sz w:val="30"/>
          <w:szCs w:val="32"/>
          <w:highlight w:val="none"/>
        </w:rPr>
        <w:t>）</w:t>
      </w:r>
      <w:r>
        <w:rPr>
          <w:rFonts w:hint="eastAsia" w:eastAsia="仿宋_GB2312"/>
          <w:color w:val="auto"/>
          <w:sz w:val="30"/>
          <w:szCs w:val="32"/>
          <w:highlight w:val="none"/>
        </w:rPr>
        <w:t>报价响应书及其附录</w:t>
      </w:r>
      <w:r>
        <w:rPr>
          <w:rFonts w:eastAsia="仿宋_GB2312"/>
          <w:color w:val="auto"/>
          <w:sz w:val="30"/>
          <w:szCs w:val="32"/>
          <w:highlight w:val="none"/>
        </w:rPr>
        <w:t>；</w:t>
      </w:r>
    </w:p>
    <w:p w14:paraId="0D2824B4">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4</w:t>
      </w:r>
      <w:r>
        <w:rPr>
          <w:rFonts w:eastAsia="仿宋_GB2312"/>
          <w:color w:val="auto"/>
          <w:sz w:val="30"/>
          <w:szCs w:val="32"/>
          <w:highlight w:val="none"/>
        </w:rPr>
        <w:t>）专用合同条款</w:t>
      </w:r>
      <w:r>
        <w:rPr>
          <w:rFonts w:hint="eastAsia" w:eastAsia="仿宋_GB2312"/>
          <w:color w:val="auto"/>
          <w:sz w:val="30"/>
          <w:szCs w:val="32"/>
          <w:highlight w:val="none"/>
        </w:rPr>
        <w:t>及其附件</w:t>
      </w:r>
      <w:r>
        <w:rPr>
          <w:rFonts w:eastAsia="仿宋_GB2312"/>
          <w:color w:val="auto"/>
          <w:sz w:val="30"/>
          <w:szCs w:val="32"/>
          <w:highlight w:val="none"/>
        </w:rPr>
        <w:t>；</w:t>
      </w:r>
    </w:p>
    <w:p w14:paraId="20939F9C">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5</w:t>
      </w:r>
      <w:r>
        <w:rPr>
          <w:rFonts w:eastAsia="仿宋_GB2312"/>
          <w:color w:val="auto"/>
          <w:sz w:val="30"/>
          <w:szCs w:val="32"/>
          <w:highlight w:val="none"/>
        </w:rPr>
        <w:t xml:space="preserve">）通用合同条款； </w:t>
      </w:r>
    </w:p>
    <w:p w14:paraId="29F55F4C">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6</w:t>
      </w:r>
      <w:r>
        <w:rPr>
          <w:rFonts w:eastAsia="仿宋_GB2312"/>
          <w:color w:val="auto"/>
          <w:sz w:val="30"/>
          <w:szCs w:val="32"/>
          <w:highlight w:val="none"/>
        </w:rPr>
        <w:t>）技术标准和要求；</w:t>
      </w:r>
    </w:p>
    <w:p w14:paraId="640389C5">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7</w:t>
      </w:r>
      <w:r>
        <w:rPr>
          <w:rFonts w:eastAsia="仿宋_GB2312"/>
          <w:color w:val="auto"/>
          <w:sz w:val="30"/>
          <w:szCs w:val="32"/>
          <w:highlight w:val="none"/>
        </w:rPr>
        <w:t>）图纸；</w:t>
      </w:r>
    </w:p>
    <w:p w14:paraId="7AEAD5DD">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8</w:t>
      </w:r>
      <w:r>
        <w:rPr>
          <w:rFonts w:eastAsia="仿宋_GB2312"/>
          <w:color w:val="auto"/>
          <w:sz w:val="30"/>
          <w:szCs w:val="32"/>
          <w:highlight w:val="none"/>
        </w:rPr>
        <w:t>）已标价</w:t>
      </w:r>
      <w:r>
        <w:rPr>
          <w:rFonts w:hint="eastAsia" w:eastAsia="仿宋_GB2312"/>
          <w:color w:val="auto"/>
          <w:sz w:val="30"/>
          <w:szCs w:val="32"/>
          <w:highlight w:val="none"/>
        </w:rPr>
        <w:t>工程量清单或</w:t>
      </w:r>
      <w:r>
        <w:rPr>
          <w:rFonts w:eastAsia="仿宋_GB2312"/>
          <w:color w:val="auto"/>
          <w:sz w:val="30"/>
          <w:szCs w:val="32"/>
          <w:highlight w:val="none"/>
        </w:rPr>
        <w:t>预算书；</w:t>
      </w:r>
    </w:p>
    <w:p w14:paraId="11FAE147">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9</w:t>
      </w:r>
      <w:r>
        <w:rPr>
          <w:rFonts w:eastAsia="仿宋_GB2312"/>
          <w:color w:val="auto"/>
          <w:sz w:val="30"/>
          <w:szCs w:val="32"/>
          <w:highlight w:val="none"/>
        </w:rPr>
        <w:t>）</w:t>
      </w:r>
      <w:r>
        <w:rPr>
          <w:rFonts w:hint="eastAsia" w:eastAsia="仿宋_GB2312"/>
          <w:color w:val="auto"/>
          <w:sz w:val="30"/>
          <w:szCs w:val="32"/>
          <w:highlight w:val="none"/>
        </w:rPr>
        <w:t>询比采购文件</w:t>
      </w:r>
      <w:r>
        <w:rPr>
          <w:rFonts w:eastAsia="仿宋_GB2312"/>
          <w:color w:val="auto"/>
          <w:sz w:val="30"/>
          <w:szCs w:val="32"/>
          <w:highlight w:val="none"/>
        </w:rPr>
        <w:t>；</w:t>
      </w:r>
    </w:p>
    <w:p w14:paraId="2E6F452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10</w:t>
      </w:r>
      <w:r>
        <w:rPr>
          <w:rFonts w:eastAsia="仿宋_GB2312"/>
          <w:color w:val="auto"/>
          <w:sz w:val="30"/>
          <w:szCs w:val="32"/>
          <w:highlight w:val="none"/>
        </w:rPr>
        <w:t>）其他合同文件</w:t>
      </w:r>
      <w:r>
        <w:rPr>
          <w:rFonts w:eastAsia="仿宋_GB2312"/>
          <w:color w:val="auto"/>
          <w:sz w:val="30"/>
          <w:szCs w:val="32"/>
          <w:highlight w:val="none"/>
        </w:rPr>
        <w:tab/>
      </w:r>
    </w:p>
    <w:p w14:paraId="6C5F2875">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 图纸和承包人文件</w:t>
      </w:r>
      <w:r>
        <w:rPr>
          <w:rFonts w:eastAsia="黑体"/>
          <w:color w:val="auto"/>
          <w:sz w:val="30"/>
          <w:szCs w:val="32"/>
          <w:highlight w:val="none"/>
        </w:rPr>
        <w:tab/>
      </w:r>
    </w:p>
    <w:p w14:paraId="0B7C9E9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1.6.1 图纸的提供</w:t>
      </w:r>
    </w:p>
    <w:p w14:paraId="2DF5D54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发包人向承包人提供图纸的期限：</w:t>
      </w:r>
      <w:r>
        <w:rPr>
          <w:rFonts w:hint="eastAsia" w:eastAsia="仿宋_GB2312"/>
          <w:color w:val="auto"/>
          <w:sz w:val="30"/>
          <w:szCs w:val="32"/>
          <w:highlight w:val="none"/>
          <w:u w:val="single"/>
        </w:rPr>
        <w:t xml:space="preserve"> 开工前七日内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7579BB7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发包人向承包人提供图纸的数量：</w:t>
      </w:r>
      <w:r>
        <w:rPr>
          <w:rFonts w:hint="eastAsia" w:eastAsia="仿宋_GB2312"/>
          <w:color w:val="auto"/>
          <w:sz w:val="30"/>
          <w:szCs w:val="32"/>
          <w:highlight w:val="none"/>
          <w:u w:val="single"/>
        </w:rPr>
        <w:t>叁套，承包人确需增加图纸套数的，需经发包人同意，所需费用由承包人自行承担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46A7AB77">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发包人对图纸的保密要求：</w:t>
      </w:r>
      <w:r>
        <w:rPr>
          <w:rFonts w:hint="eastAsia" w:eastAsia="仿宋_GB2312"/>
          <w:color w:val="auto"/>
          <w:sz w:val="30"/>
          <w:szCs w:val="32"/>
          <w:highlight w:val="none"/>
          <w:u w:val="single"/>
        </w:rPr>
        <w:t>未经发包人书面同意，施工图纸及资料不得拷贝、复印、转让给第三方。若承包人违反此保密义务，承包人应在发包人追究承包人此违约责任之日起5日内，向发包人支付违约金</w:t>
      </w:r>
      <w:r>
        <w:rPr>
          <w:rFonts w:hint="eastAsia" w:eastAsia="仿宋_GB2312"/>
          <w:color w:val="auto"/>
          <w:sz w:val="30"/>
          <w:szCs w:val="32"/>
          <w:highlight w:val="none"/>
          <w:u w:val="single"/>
        </w:rPr>
        <w:t>贰拾</w:t>
      </w:r>
      <w:r>
        <w:rPr>
          <w:rFonts w:hint="eastAsia" w:eastAsia="仿宋_GB2312"/>
          <w:color w:val="auto"/>
          <w:sz w:val="30"/>
          <w:szCs w:val="32"/>
          <w:highlight w:val="none"/>
          <w:u w:val="single"/>
        </w:rPr>
        <w:t>万元。逾期支付，承包人应额外向发包人支付未付违约金额0.5‰/天的逾期违约金直至完全支付为止。发包人有权单方解除合同且不承担违约责任。</w:t>
      </w:r>
    </w:p>
    <w:p w14:paraId="2CB73F8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1.6.4 承包人文件</w:t>
      </w:r>
    </w:p>
    <w:p w14:paraId="08C11AB4">
      <w:pPr>
        <w:spacing w:line="360" w:lineRule="auto"/>
        <w:ind w:left="596" w:leftChars="284"/>
        <w:jc w:val="left"/>
        <w:rPr>
          <w:rFonts w:eastAsia="仿宋_GB2312"/>
          <w:color w:val="auto"/>
          <w:sz w:val="30"/>
          <w:szCs w:val="32"/>
          <w:highlight w:val="none"/>
        </w:rPr>
      </w:pPr>
      <w:r>
        <w:rPr>
          <w:rFonts w:eastAsia="仿宋_GB2312"/>
          <w:color w:val="auto"/>
          <w:sz w:val="30"/>
          <w:szCs w:val="32"/>
          <w:highlight w:val="none"/>
        </w:rPr>
        <w:t>需要由承包人提供的文件，包括：</w:t>
      </w:r>
      <w:r>
        <w:rPr>
          <w:rFonts w:hint="eastAsia" w:eastAsia="仿宋_GB2312"/>
          <w:color w:val="auto"/>
          <w:sz w:val="30"/>
          <w:szCs w:val="32"/>
          <w:highlight w:val="none"/>
          <w:u w:val="single"/>
        </w:rPr>
        <w:t xml:space="preserve">施工组织设计、专项施工方案、进度计划等 </w:t>
      </w:r>
      <w:r>
        <w:rPr>
          <w:rFonts w:eastAsia="仿宋_GB2312"/>
          <w:color w:val="auto"/>
          <w:sz w:val="30"/>
          <w:szCs w:val="32"/>
          <w:highlight w:val="none"/>
        </w:rPr>
        <w:t>；</w:t>
      </w:r>
    </w:p>
    <w:p w14:paraId="10A8C19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承包人提供的文件的期限为：</w:t>
      </w:r>
      <w:r>
        <w:rPr>
          <w:rFonts w:hint="eastAsia" w:eastAsia="仿宋_GB2312"/>
          <w:color w:val="auto"/>
          <w:sz w:val="30"/>
          <w:szCs w:val="32"/>
          <w:highlight w:val="none"/>
          <w:u w:val="single"/>
        </w:rPr>
        <w:t>施工组织设计、进度计划在开工前7天，专项施工方案在专项工程实施前7天</w:t>
      </w:r>
      <w:r>
        <w:rPr>
          <w:rFonts w:eastAsia="仿宋_GB2312"/>
          <w:color w:val="auto"/>
          <w:sz w:val="30"/>
          <w:szCs w:val="32"/>
          <w:highlight w:val="none"/>
        </w:rPr>
        <w:t>；</w:t>
      </w:r>
    </w:p>
    <w:p w14:paraId="2C7FC76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承包人提供的文件的数量为：</w:t>
      </w:r>
      <w:r>
        <w:rPr>
          <w:rFonts w:hint="eastAsia" w:eastAsia="仿宋_GB2312"/>
          <w:color w:val="auto"/>
          <w:sz w:val="30"/>
          <w:szCs w:val="32"/>
          <w:highlight w:val="none"/>
          <w:u w:val="single"/>
        </w:rPr>
        <w:t xml:space="preserve">三份 </w:t>
      </w:r>
      <w:r>
        <w:rPr>
          <w:rFonts w:eastAsia="仿宋_GB2312"/>
          <w:color w:val="auto"/>
          <w:sz w:val="30"/>
          <w:szCs w:val="32"/>
          <w:highlight w:val="none"/>
        </w:rPr>
        <w:t>；</w:t>
      </w:r>
    </w:p>
    <w:p w14:paraId="50EDC98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承包人提供的文件的形式为：</w:t>
      </w:r>
      <w:r>
        <w:rPr>
          <w:rFonts w:hint="eastAsia" w:eastAsia="仿宋_GB2312"/>
          <w:color w:val="auto"/>
          <w:sz w:val="30"/>
          <w:szCs w:val="32"/>
          <w:highlight w:val="none"/>
          <w:u w:val="single"/>
        </w:rPr>
        <w:t>正式纸质文件（承包人已完善签字盖章）</w:t>
      </w:r>
      <w:r>
        <w:rPr>
          <w:rFonts w:eastAsia="仿宋_GB2312"/>
          <w:color w:val="auto"/>
          <w:sz w:val="30"/>
          <w:szCs w:val="32"/>
          <w:highlight w:val="none"/>
        </w:rPr>
        <w:t>；</w:t>
      </w:r>
    </w:p>
    <w:p w14:paraId="4543533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w:t>
      </w:r>
      <w:r>
        <w:rPr>
          <w:rFonts w:hint="eastAsia" w:eastAsia="仿宋_GB2312"/>
          <w:color w:val="auto"/>
          <w:sz w:val="30"/>
          <w:szCs w:val="32"/>
          <w:highlight w:val="none"/>
        </w:rPr>
        <w:t>审批</w:t>
      </w:r>
      <w:r>
        <w:rPr>
          <w:rFonts w:eastAsia="仿宋_GB2312"/>
          <w:color w:val="auto"/>
          <w:sz w:val="30"/>
          <w:szCs w:val="32"/>
          <w:highlight w:val="none"/>
        </w:rPr>
        <w:t>承包人文件的期限：</w:t>
      </w:r>
      <w:r>
        <w:rPr>
          <w:rFonts w:hint="eastAsia" w:eastAsia="仿宋_GB2312"/>
          <w:color w:val="auto"/>
          <w:sz w:val="30"/>
          <w:szCs w:val="32"/>
          <w:highlight w:val="none"/>
          <w:u w:val="single"/>
        </w:rPr>
        <w:t>收到文件后7天内审核完毕</w:t>
      </w:r>
      <w:r>
        <w:rPr>
          <w:rFonts w:eastAsia="仿宋_GB2312"/>
          <w:color w:val="auto"/>
          <w:sz w:val="30"/>
          <w:szCs w:val="32"/>
          <w:highlight w:val="none"/>
        </w:rPr>
        <w:t>。</w:t>
      </w:r>
    </w:p>
    <w:p w14:paraId="1714382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 联络</w:t>
      </w:r>
    </w:p>
    <w:p w14:paraId="59F50875">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1.7.1发包人和承包人应当在</w:t>
      </w:r>
      <w:r>
        <w:rPr>
          <w:rFonts w:hint="eastAsia" w:eastAsia="仿宋_GB2312"/>
          <w:color w:val="auto"/>
          <w:kern w:val="0"/>
          <w:sz w:val="30"/>
          <w:szCs w:val="32"/>
          <w:highlight w:val="none"/>
        </w:rPr>
        <w:t>事件发生后</w:t>
      </w:r>
      <w:r>
        <w:rPr>
          <w:rFonts w:hint="eastAsia" w:eastAsia="仿宋_GB2312"/>
          <w:color w:val="auto"/>
          <w:kern w:val="0"/>
          <w:sz w:val="30"/>
          <w:szCs w:val="32"/>
          <w:highlight w:val="none"/>
          <w:u w:val="single"/>
        </w:rPr>
        <w:t xml:space="preserve"> </w:t>
      </w:r>
      <w:r>
        <w:rPr>
          <w:rFonts w:eastAsia="仿宋_GB2312"/>
          <w:color w:val="auto"/>
          <w:sz w:val="30"/>
          <w:szCs w:val="32"/>
          <w:highlight w:val="none"/>
          <w:u w:val="single"/>
        </w:rPr>
        <w:t xml:space="preserve">3 </w:t>
      </w:r>
      <w:r>
        <w:rPr>
          <w:rFonts w:eastAsia="仿宋_GB2312"/>
          <w:color w:val="auto"/>
          <w:kern w:val="0"/>
          <w:sz w:val="30"/>
          <w:szCs w:val="32"/>
          <w:highlight w:val="none"/>
        </w:rPr>
        <w:t>天内将与合同有关的通知、批准、证明、证书、指示、指令、要求、请求、同意、意见、确定和决定等书面函件送达对方当事人</w:t>
      </w:r>
      <w:r>
        <w:rPr>
          <w:rFonts w:hint="eastAsia" w:eastAsia="仿宋_GB2312"/>
          <w:color w:val="auto"/>
          <w:kern w:val="0"/>
          <w:sz w:val="30"/>
          <w:szCs w:val="32"/>
          <w:highlight w:val="none"/>
        </w:rPr>
        <w:t>。</w:t>
      </w:r>
    </w:p>
    <w:p w14:paraId="44F81A88">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1.7.2 发包人接收文件的地点：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7CDEFE77">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C5730EE">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35425E5D">
      <w:pPr>
        <w:spacing w:line="360" w:lineRule="auto"/>
        <w:ind w:firstLine="600" w:firstLineChars="200"/>
        <w:rPr>
          <w:rFonts w:hint="eastAsia" w:eastAsia="仿宋_GB2312"/>
          <w:color w:val="auto"/>
          <w:kern w:val="0"/>
          <w:sz w:val="30"/>
          <w:szCs w:val="32"/>
          <w:highlight w:val="none"/>
        </w:rPr>
      </w:pPr>
      <w:r>
        <w:rPr>
          <w:rFonts w:eastAsia="仿宋_GB2312"/>
          <w:color w:val="auto"/>
          <w:kern w:val="0"/>
          <w:sz w:val="30"/>
          <w:szCs w:val="32"/>
          <w:highlight w:val="none"/>
        </w:rPr>
        <w:t>承包人指定的接收人为：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0C0C3A49">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1.10 交通运输</w:t>
      </w:r>
    </w:p>
    <w:p w14:paraId="59774F71">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1</w:t>
      </w:r>
      <w:bookmarkStart w:id="35" w:name="_Toc312677987"/>
      <w:bookmarkStart w:id="36" w:name="_Toc303539101"/>
      <w:bookmarkStart w:id="37" w:name="_Toc304295522"/>
      <w:bookmarkStart w:id="38" w:name="_Toc300934944"/>
      <w:bookmarkStart w:id="39" w:name="_Toc318581156"/>
      <w:r>
        <w:rPr>
          <w:rFonts w:eastAsia="仿宋_GB2312"/>
          <w:color w:val="auto"/>
          <w:sz w:val="30"/>
          <w:szCs w:val="32"/>
          <w:highlight w:val="none"/>
        </w:rPr>
        <w:t>.10.3 场内交通</w:t>
      </w:r>
    </w:p>
    <w:p w14:paraId="135FB2F4">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关于场外交通和场内交通的边界的约定：</w:t>
      </w:r>
      <w:r>
        <w:rPr>
          <w:rFonts w:hint="eastAsia" w:eastAsia="仿宋_GB2312"/>
          <w:color w:val="auto"/>
          <w:sz w:val="30"/>
          <w:szCs w:val="32"/>
          <w:highlight w:val="none"/>
          <w:u w:val="single"/>
        </w:rPr>
        <w:t xml:space="preserve">以发包人厂区外围围墙为边界 </w:t>
      </w:r>
      <w:r>
        <w:rPr>
          <w:rFonts w:eastAsia="仿宋_GB2312"/>
          <w:color w:val="auto"/>
          <w:sz w:val="30"/>
          <w:szCs w:val="32"/>
          <w:highlight w:val="none"/>
        </w:rPr>
        <w:t>。</w:t>
      </w:r>
    </w:p>
    <w:p w14:paraId="7910781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关于发包人向承包人免费提供满足工程施工需要的场内道路和交通设施的约定：</w:t>
      </w:r>
      <w:r>
        <w:rPr>
          <w:rFonts w:hint="eastAsia" w:eastAsia="仿宋_GB2312"/>
          <w:color w:val="auto"/>
          <w:sz w:val="30"/>
          <w:szCs w:val="32"/>
          <w:highlight w:val="none"/>
          <w:u w:val="single"/>
        </w:rPr>
        <w:t xml:space="preserve">施工场地与城市公共道路已开通，施工场地内的临时道路由承包人负责，费用由承包人自行承担  </w:t>
      </w:r>
      <w:r>
        <w:rPr>
          <w:rFonts w:eastAsia="仿宋_GB2312"/>
          <w:color w:val="auto"/>
          <w:sz w:val="30"/>
          <w:szCs w:val="32"/>
          <w:highlight w:val="none"/>
        </w:rPr>
        <w:t>。</w:t>
      </w:r>
      <w:bookmarkEnd w:id="35"/>
      <w:bookmarkEnd w:id="36"/>
      <w:bookmarkEnd w:id="37"/>
      <w:bookmarkEnd w:id="38"/>
      <w:bookmarkEnd w:id="39"/>
      <w:r>
        <w:rPr>
          <w:rFonts w:eastAsia="仿宋_GB2312"/>
          <w:color w:val="auto"/>
          <w:sz w:val="30"/>
          <w:szCs w:val="32"/>
          <w:highlight w:val="none"/>
        </w:rPr>
        <w:t xml:space="preserve">  </w:t>
      </w:r>
      <w:bookmarkStart w:id="40" w:name="_Toc318581157"/>
    </w:p>
    <w:bookmarkEnd w:id="40"/>
    <w:p w14:paraId="402FAD8D">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1.11 知识产权</w:t>
      </w:r>
    </w:p>
    <w:p w14:paraId="6328E92E">
      <w:pPr>
        <w:spacing w:line="360" w:lineRule="auto"/>
        <w:ind w:firstLine="600" w:firstLineChars="200"/>
        <w:outlineLvl w:val="0"/>
        <w:rPr>
          <w:rFonts w:eastAsia="仿宋_GB2312"/>
          <w:color w:val="auto"/>
          <w:kern w:val="0"/>
          <w:sz w:val="30"/>
          <w:szCs w:val="32"/>
          <w:highlight w:val="none"/>
        </w:rPr>
      </w:pPr>
      <w:r>
        <w:rPr>
          <w:rFonts w:eastAsia="仿宋_GB2312"/>
          <w:color w:val="auto"/>
          <w:sz w:val="30"/>
          <w:szCs w:val="32"/>
          <w:highlight w:val="none"/>
        </w:rPr>
        <w:t>1.11.4 承包人在施工过程中所采用的专利、专有技术、技术秘密的使用费的承担方式：</w:t>
      </w:r>
      <w:r>
        <w:rPr>
          <w:rFonts w:hint="eastAsia" w:eastAsia="仿宋_GB2312"/>
          <w:color w:val="auto"/>
          <w:sz w:val="30"/>
          <w:szCs w:val="32"/>
          <w:highlight w:val="none"/>
          <w:u w:val="single"/>
        </w:rPr>
        <w:t xml:space="preserve">由承包人承担 </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10892F9E">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1.13工程量清单错误的修正</w:t>
      </w:r>
    </w:p>
    <w:p w14:paraId="12A885E0">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出现工程量清单错误时，是否调整合同价格：</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是</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20F2E71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允许调整合同价格的工程量偏差范围：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工程量出现偏差不允许调整清单单价</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30CD6342">
      <w:pPr>
        <w:pStyle w:val="5"/>
        <w:spacing w:before="120" w:after="120" w:line="360" w:lineRule="auto"/>
        <w:rPr>
          <w:rFonts w:ascii="Times New Roman" w:hAnsi="Times New Roman" w:eastAsia="黑体"/>
          <w:b w:val="0"/>
          <w:color w:val="auto"/>
          <w:sz w:val="32"/>
          <w:szCs w:val="32"/>
          <w:highlight w:val="none"/>
        </w:rPr>
      </w:pPr>
      <w:bookmarkStart w:id="41" w:name="_Toc351203634"/>
      <w:r>
        <w:rPr>
          <w:rFonts w:ascii="Times New Roman" w:hAnsi="Times New Roman" w:eastAsia="黑体"/>
          <w:b w:val="0"/>
          <w:color w:val="auto"/>
          <w:sz w:val="32"/>
          <w:szCs w:val="32"/>
          <w:highlight w:val="none"/>
        </w:rPr>
        <w:t>2</w:t>
      </w:r>
      <w:bookmarkStart w:id="42" w:name="_Toc296891197"/>
      <w:bookmarkStart w:id="43" w:name="_Toc296503157"/>
      <w:bookmarkStart w:id="44" w:name="_Toc296347156"/>
      <w:bookmarkStart w:id="45" w:name="_Toc297120457"/>
      <w:bookmarkStart w:id="46" w:name="_Toc296944496"/>
      <w:bookmarkStart w:id="47" w:name="_Toc292559362"/>
      <w:bookmarkStart w:id="48" w:name="_Toc297048343"/>
      <w:bookmarkStart w:id="49" w:name="_Toc296890985"/>
      <w:bookmarkStart w:id="50" w:name="_Toc292559867"/>
      <w:bookmarkStart w:id="51" w:name="_Toc296346658"/>
      <w:r>
        <w:rPr>
          <w:rFonts w:ascii="Times New Roman" w:hAnsi="Times New Roman" w:eastAsia="黑体"/>
          <w:b w:val="0"/>
          <w:color w:val="auto"/>
          <w:sz w:val="32"/>
          <w:szCs w:val="32"/>
          <w:highlight w:val="none"/>
        </w:rPr>
        <w:t>. 发包人</w:t>
      </w:r>
      <w:bookmarkEnd w:id="41"/>
    </w:p>
    <w:bookmarkEnd w:id="42"/>
    <w:bookmarkEnd w:id="43"/>
    <w:bookmarkEnd w:id="44"/>
    <w:bookmarkEnd w:id="45"/>
    <w:bookmarkEnd w:id="46"/>
    <w:bookmarkEnd w:id="47"/>
    <w:bookmarkEnd w:id="48"/>
    <w:bookmarkEnd w:id="49"/>
    <w:bookmarkEnd w:id="50"/>
    <w:bookmarkEnd w:id="51"/>
    <w:p w14:paraId="5CE373F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2.2 发包人代表</w:t>
      </w:r>
    </w:p>
    <w:p w14:paraId="3031248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发包人代表：</w:t>
      </w:r>
    </w:p>
    <w:p w14:paraId="25E4367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393FDBA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32B4C8E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062FC72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0EC4762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7B83F3B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10EE8675">
      <w:pPr>
        <w:spacing w:line="360" w:lineRule="auto"/>
        <w:ind w:firstLine="600" w:firstLineChars="200"/>
        <w:rPr>
          <w:rFonts w:eastAsia="仿宋_GB2312"/>
          <w:b/>
          <w:color w:val="auto"/>
          <w:sz w:val="30"/>
          <w:szCs w:val="32"/>
          <w:highlight w:val="none"/>
        </w:rPr>
      </w:pPr>
      <w:r>
        <w:rPr>
          <w:rFonts w:eastAsia="仿宋_GB2312"/>
          <w:color w:val="auto"/>
          <w:sz w:val="30"/>
          <w:szCs w:val="32"/>
          <w:highlight w:val="none"/>
        </w:rPr>
        <w:t>发包人对发包人代表的授权范围如下：</w:t>
      </w:r>
      <w:r>
        <w:rPr>
          <w:rFonts w:hint="eastAsia" w:eastAsia="仿宋_GB2312"/>
          <w:color w:val="auto"/>
          <w:sz w:val="30"/>
          <w:szCs w:val="32"/>
          <w:highlight w:val="none"/>
          <w:u w:val="single"/>
        </w:rPr>
        <w:t>1、检查和监督承包人执行合同；2、参与工程质量、安全、投资、进度的管理及各有关协作单位的协调；3、参与审核工程进度款的支付；4、发包人代表的指令、通知由其本人及发包人工装工程中心主管/分管领导签字并加盖发包人公章后，以书面形式交给项目经理后生效；5、对工程设计变更的审批权（工程设计变更还须完成发包人内部审批）；6、组织竣工验收</w:t>
      </w:r>
      <w:r>
        <w:rPr>
          <w:rFonts w:eastAsia="仿宋_GB2312"/>
          <w:color w:val="auto"/>
          <w:sz w:val="30"/>
          <w:szCs w:val="32"/>
          <w:highlight w:val="none"/>
        </w:rPr>
        <w:t>。</w:t>
      </w:r>
    </w:p>
    <w:p w14:paraId="50DA8D0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2.4 施工现场、施工条件和基础资料的提供</w:t>
      </w:r>
    </w:p>
    <w:p w14:paraId="5303891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2.4.1 提供施工现场</w:t>
      </w:r>
    </w:p>
    <w:p w14:paraId="039F05B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关于发包人移交施工现场的期限要求：</w:t>
      </w:r>
      <w:r>
        <w:rPr>
          <w:rFonts w:hint="eastAsia" w:eastAsia="仿宋_GB2312"/>
          <w:color w:val="auto"/>
          <w:sz w:val="30"/>
          <w:szCs w:val="32"/>
          <w:highlight w:val="none"/>
          <w:u w:val="single"/>
        </w:rPr>
        <w:t>合同签订后至开工报告发出前</w:t>
      </w:r>
      <w:r>
        <w:rPr>
          <w:rFonts w:eastAsia="仿宋_GB2312"/>
          <w:color w:val="auto"/>
          <w:sz w:val="30"/>
          <w:szCs w:val="32"/>
          <w:highlight w:val="none"/>
          <w:u w:val="single"/>
        </w:rPr>
        <w:t xml:space="preserve">   </w:t>
      </w:r>
      <w:r>
        <w:rPr>
          <w:rFonts w:eastAsia="仿宋_GB2312"/>
          <w:color w:val="auto"/>
          <w:sz w:val="30"/>
          <w:szCs w:val="32"/>
          <w:highlight w:val="none"/>
        </w:rPr>
        <w:t>。</w:t>
      </w:r>
    </w:p>
    <w:p w14:paraId="2BECEAB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2.4.2 提供施工条件</w:t>
      </w:r>
    </w:p>
    <w:p w14:paraId="2530109F">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rPr>
        <w:t>关于发包人应负责提供施工</w:t>
      </w:r>
      <w:r>
        <w:rPr>
          <w:rFonts w:hint="eastAsia" w:eastAsia="仿宋_GB2312"/>
          <w:color w:val="auto"/>
          <w:sz w:val="30"/>
          <w:szCs w:val="32"/>
          <w:highlight w:val="none"/>
        </w:rPr>
        <w:t>所需要的条件，</w:t>
      </w:r>
      <w:r>
        <w:rPr>
          <w:rFonts w:eastAsia="仿宋_GB2312"/>
          <w:color w:val="auto"/>
          <w:sz w:val="30"/>
          <w:szCs w:val="32"/>
          <w:highlight w:val="none"/>
        </w:rPr>
        <w:t>包括：</w:t>
      </w:r>
      <w:r>
        <w:rPr>
          <w:rFonts w:hint="eastAsia" w:eastAsia="仿宋_GB2312"/>
          <w:color w:val="auto"/>
          <w:sz w:val="30"/>
          <w:szCs w:val="32"/>
          <w:highlight w:val="none"/>
          <w:u w:val="single"/>
        </w:rPr>
        <w:t xml:space="preserve">于开工前将施工所需的水、电、电讯线路接至施工场地      </w:t>
      </w:r>
      <w:r>
        <w:rPr>
          <w:rFonts w:eastAsia="仿宋_GB2312"/>
          <w:color w:val="auto"/>
          <w:sz w:val="30"/>
          <w:szCs w:val="32"/>
          <w:highlight w:val="none"/>
          <w:u w:val="single"/>
        </w:rPr>
        <w:t xml:space="preserve">   </w:t>
      </w:r>
      <w:r>
        <w:rPr>
          <w:rFonts w:eastAsia="仿宋_GB2312"/>
          <w:color w:val="auto"/>
          <w:sz w:val="30"/>
          <w:szCs w:val="32"/>
          <w:highlight w:val="none"/>
        </w:rPr>
        <w:t>。</w:t>
      </w:r>
    </w:p>
    <w:p w14:paraId="728DA35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2.5 资金来源证明及支付担保</w:t>
      </w:r>
    </w:p>
    <w:p w14:paraId="533A560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发包人提供资金来源证明的期限要求：</w:t>
      </w:r>
      <w:r>
        <w:rPr>
          <w:rFonts w:hint="eastAsia" w:eastAsia="仿宋_GB2312"/>
          <w:color w:val="auto"/>
          <w:sz w:val="30"/>
          <w:szCs w:val="32"/>
          <w:highlight w:val="none"/>
          <w:u w:val="single"/>
        </w:rPr>
        <w:t xml:space="preserve">不提供 </w:t>
      </w:r>
      <w:r>
        <w:rPr>
          <w:rFonts w:eastAsia="仿宋_GB2312"/>
          <w:color w:val="auto"/>
          <w:sz w:val="30"/>
          <w:szCs w:val="32"/>
          <w:highlight w:val="none"/>
          <w:u w:val="single"/>
        </w:rPr>
        <w:t xml:space="preserve">  </w:t>
      </w:r>
      <w:r>
        <w:rPr>
          <w:rFonts w:eastAsia="仿宋_GB2312"/>
          <w:color w:val="auto"/>
          <w:sz w:val="30"/>
          <w:szCs w:val="32"/>
          <w:highlight w:val="none"/>
        </w:rPr>
        <w:t>。</w:t>
      </w:r>
    </w:p>
    <w:p w14:paraId="035A9F5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发包人是否提供支付担保：</w:t>
      </w:r>
      <w:r>
        <w:rPr>
          <w:rFonts w:hint="eastAsia" w:eastAsia="仿宋_GB2312"/>
          <w:color w:val="auto"/>
          <w:sz w:val="30"/>
          <w:szCs w:val="32"/>
          <w:highlight w:val="none"/>
          <w:u w:val="single"/>
        </w:rPr>
        <w:t>不提供</w:t>
      </w:r>
      <w:r>
        <w:rPr>
          <w:rFonts w:eastAsia="仿宋_GB2312"/>
          <w:color w:val="auto"/>
          <w:sz w:val="30"/>
          <w:szCs w:val="32"/>
          <w:highlight w:val="none"/>
          <w:u w:val="single"/>
        </w:rPr>
        <w:t xml:space="preserve">   </w:t>
      </w:r>
      <w:r>
        <w:rPr>
          <w:rFonts w:eastAsia="仿宋_GB2312"/>
          <w:color w:val="auto"/>
          <w:sz w:val="30"/>
          <w:szCs w:val="32"/>
          <w:highlight w:val="none"/>
        </w:rPr>
        <w:t>。</w:t>
      </w:r>
    </w:p>
    <w:p w14:paraId="216600AA">
      <w:pPr>
        <w:pStyle w:val="5"/>
        <w:spacing w:before="120" w:after="120" w:line="360" w:lineRule="auto"/>
        <w:rPr>
          <w:rFonts w:ascii="Times New Roman" w:hAnsi="Times New Roman" w:eastAsia="黑体"/>
          <w:b w:val="0"/>
          <w:color w:val="auto"/>
          <w:sz w:val="32"/>
          <w:szCs w:val="32"/>
          <w:highlight w:val="none"/>
        </w:rPr>
      </w:pPr>
      <w:bookmarkStart w:id="52" w:name="_Toc351203635"/>
      <w:r>
        <w:rPr>
          <w:rFonts w:ascii="Times New Roman" w:hAnsi="Times New Roman" w:eastAsia="黑体"/>
          <w:b w:val="0"/>
          <w:color w:val="auto"/>
          <w:sz w:val="32"/>
          <w:szCs w:val="32"/>
          <w:highlight w:val="none"/>
        </w:rPr>
        <w:t>3</w:t>
      </w:r>
      <w:bookmarkStart w:id="53" w:name="_Toc296503158"/>
      <w:bookmarkStart w:id="54" w:name="_Toc296890986"/>
      <w:bookmarkStart w:id="55" w:name="_Toc297120458"/>
      <w:bookmarkStart w:id="56" w:name="_Toc296347157"/>
      <w:bookmarkStart w:id="57" w:name="_Toc292559868"/>
      <w:bookmarkStart w:id="58" w:name="_Toc296891198"/>
      <w:bookmarkStart w:id="59" w:name="_Toc296346659"/>
      <w:bookmarkStart w:id="60" w:name="_Toc297048344"/>
      <w:bookmarkStart w:id="61" w:name="_Toc292559363"/>
      <w:bookmarkStart w:id="62" w:name="_Toc296944497"/>
      <w:r>
        <w:rPr>
          <w:rFonts w:ascii="Times New Roman" w:hAnsi="Times New Roman" w:eastAsia="黑体"/>
          <w:b w:val="0"/>
          <w:color w:val="auto"/>
          <w:sz w:val="32"/>
          <w:szCs w:val="32"/>
          <w:highlight w:val="none"/>
        </w:rPr>
        <w:t>. 承包人</w:t>
      </w:r>
      <w:bookmarkEnd w:id="52"/>
    </w:p>
    <w:bookmarkEnd w:id="53"/>
    <w:bookmarkEnd w:id="54"/>
    <w:bookmarkEnd w:id="55"/>
    <w:bookmarkEnd w:id="56"/>
    <w:bookmarkEnd w:id="57"/>
    <w:bookmarkEnd w:id="58"/>
    <w:bookmarkEnd w:id="59"/>
    <w:bookmarkEnd w:id="60"/>
    <w:bookmarkEnd w:id="61"/>
    <w:bookmarkEnd w:id="62"/>
    <w:p w14:paraId="1CEE1A58">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3.1 承包人的一般义务</w:t>
      </w:r>
    </w:p>
    <w:p w14:paraId="5CE36929">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9</w:t>
      </w:r>
      <w:r>
        <w:rPr>
          <w:rFonts w:eastAsia="仿宋_GB2312"/>
          <w:color w:val="auto"/>
          <w:kern w:val="0"/>
          <w:sz w:val="30"/>
          <w:szCs w:val="32"/>
          <w:highlight w:val="none"/>
        </w:rPr>
        <w:t>）</w:t>
      </w:r>
      <w:r>
        <w:rPr>
          <w:rFonts w:eastAsia="仿宋_GB2312"/>
          <w:color w:val="auto"/>
          <w:sz w:val="30"/>
          <w:szCs w:val="32"/>
          <w:highlight w:val="none"/>
        </w:rPr>
        <w:t>承包人提交的竣工资料的内容：</w:t>
      </w:r>
      <w:r>
        <w:rPr>
          <w:rFonts w:hint="eastAsia" w:eastAsia="仿宋_GB2312"/>
          <w:color w:val="auto"/>
          <w:sz w:val="30"/>
          <w:szCs w:val="32"/>
          <w:highlight w:val="none"/>
          <w:u w:val="single"/>
        </w:rPr>
        <w:t>经验收合格的完整的竣工图和工程竣工技术档案资料并满足建设工程档案验收所需的所有资料的要求（包括但不限于开工报告、技术交底、施工试验记录、测量记录、隐蔽工程验收记录、材料设备进场报验、施工验收记录、质量检查记录、工程联系单、设计变更单、竣工报告、影像资料等）</w:t>
      </w:r>
      <w:r>
        <w:rPr>
          <w:rFonts w:eastAsia="仿宋_GB2312"/>
          <w:color w:val="auto"/>
          <w:sz w:val="30"/>
          <w:szCs w:val="32"/>
          <w:highlight w:val="none"/>
          <w:u w:val="single"/>
        </w:rPr>
        <w:t xml:space="preserve">    </w:t>
      </w:r>
      <w:r>
        <w:rPr>
          <w:rFonts w:eastAsia="仿宋_GB2312"/>
          <w:color w:val="auto"/>
          <w:sz w:val="30"/>
          <w:szCs w:val="32"/>
          <w:highlight w:val="none"/>
        </w:rPr>
        <w:t>。</w:t>
      </w:r>
    </w:p>
    <w:p w14:paraId="59B48EC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承包人需要提交的竣工资料套数：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叁套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20FBB71C">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承包人提交的竣工资料的费用承担：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039D1F07">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承包人提交的竣工资料移交时间：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工程竣工验收合格后1个月内移交给发包人  </w:t>
      </w:r>
      <w:r>
        <w:rPr>
          <w:rFonts w:eastAsia="仿宋_GB2312"/>
          <w:color w:val="auto"/>
          <w:sz w:val="30"/>
          <w:szCs w:val="32"/>
          <w:highlight w:val="none"/>
          <w:u w:val="single"/>
        </w:rPr>
        <w:t xml:space="preserve"> </w:t>
      </w:r>
      <w:r>
        <w:rPr>
          <w:rFonts w:eastAsia="仿宋_GB2312"/>
          <w:color w:val="auto"/>
          <w:sz w:val="30"/>
          <w:szCs w:val="32"/>
          <w:highlight w:val="none"/>
        </w:rPr>
        <w:t>。</w:t>
      </w:r>
    </w:p>
    <w:p w14:paraId="2B4A32AC">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10</w:t>
      </w:r>
      <w:r>
        <w:rPr>
          <w:rFonts w:eastAsia="仿宋_GB2312"/>
          <w:color w:val="auto"/>
          <w:kern w:val="0"/>
          <w:sz w:val="30"/>
          <w:szCs w:val="32"/>
          <w:highlight w:val="none"/>
        </w:rPr>
        <w:t>）承包人应履行的其他义务</w:t>
      </w:r>
      <w:r>
        <w:rPr>
          <w:rFonts w:hint="eastAsia" w:eastAsia="仿宋_GB2312"/>
          <w:color w:val="auto"/>
          <w:kern w:val="0"/>
          <w:sz w:val="30"/>
          <w:szCs w:val="32"/>
          <w:highlight w:val="none"/>
        </w:rPr>
        <w:t>包含但不限于</w:t>
      </w:r>
      <w:r>
        <w:rPr>
          <w:rFonts w:eastAsia="仿宋_GB2312"/>
          <w:color w:val="auto"/>
          <w:sz w:val="30"/>
          <w:szCs w:val="32"/>
          <w:highlight w:val="none"/>
        </w:rPr>
        <w:t>：</w:t>
      </w:r>
    </w:p>
    <w:p w14:paraId="14049B49">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 xml:space="preserve">1、承包人只能在发包人提供的施工场地范围内布置、安排和组织施工。承包人如需占用发包人提供的场地范围以外的场地，须自行办理有关手续及支付相关费用。便道措施费由承包人自行承担  </w:t>
      </w:r>
    </w:p>
    <w:p w14:paraId="4DED1EF4">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2、承包人的报价已充分考虑地下管线、交通条件、水电条件、施工场地障碍条件和现场各种不利条件发生可能带来的风险及增加费用，发包人不再对因以上原因引起费用增加支付任何费用；</w:t>
      </w:r>
    </w:p>
    <w:p w14:paraId="419EAEC5">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3、承包人应采取安全防护措施，避免施工活动对周边的建筑物和构筑物造成损害。施工期间，负责对施工范围内及附近的居民、商业用房、厂房等建筑物和构筑物应采取措施进行保护和受损后的修复；应保证施工现场及周边居民生活、工厂生产作业等出入交通不受影响。发生的费用由承包人承担。同时，由此导致的工期延误及相关责任由承包人承担；</w:t>
      </w:r>
    </w:p>
    <w:p w14:paraId="61C5C518">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4、在工程竣工验收前，承包人应对已完工的工程进行保护，其费用由承包人承担；</w:t>
      </w:r>
    </w:p>
    <w:p w14:paraId="7C9F2BC3">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5、承包人应清楚地预计到施工期间对外界可能产生的不可避免的干扰，并为此保证主动努力减少这些干扰对外界的影响，且应当积极主动和外界进行协调，因此产生的费用和对发包人造成的损失由承包人承担；</w:t>
      </w:r>
    </w:p>
    <w:p w14:paraId="4CEA7479">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6、承包人应负责现场全部作业的安全，在工程施工、完工及修补缺陷的整个工程期限内，全面负责所有留在现场的人员的安全，保护其管辖范围的现场(包括尚未完工和发包人尚未接管得工程)处于有条不紊和良好的状态。</w:t>
      </w:r>
    </w:p>
    <w:p w14:paraId="559797C8">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7、承包人在工程施工过程中，必须严格按照发包人审定的施工组织设计组织施工，严禁野蛮施工。承包人应承担的责任包括但不限于：因承包人施工造成的塌方、四周地面塌陷、房屋开裂、垮塌等质量、安全事故由承包人承担责任，负责赔偿，并承担由此给发包人和第三方造成的相应损失；</w:t>
      </w:r>
    </w:p>
    <w:p w14:paraId="492CE9EC">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8、半成品、成品材料的进场和堆放应按进度计划进行，并须事先取得发包人的同意；</w:t>
      </w:r>
    </w:p>
    <w:p w14:paraId="4768B6BF">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9、承包人应负责协调施工期间外界的各种干扰，协调不果，方可书面要求发包人出面协调；</w:t>
      </w:r>
    </w:p>
    <w:p w14:paraId="6FA4012A">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u w:val="single"/>
        </w:rPr>
        <w:t>10、承包人在进场施工前，须将投标文件中的相关项目管理人员的从业资质证书交发包人保管至工程竣工。项目管理人员未经发包人书面同意不得擅自更换；</w:t>
      </w:r>
    </w:p>
    <w:p w14:paraId="6134F9BB">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在测绘仪器使用上为发包人、监理人员提供方便。</w:t>
      </w:r>
    </w:p>
    <w:p w14:paraId="7365EABE">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承包人不得以任何理由和借口拖工窝工停工、拖欠农民工工资、发生农民工聚众闹事。如有上述情况发生，发包人有权立即终止合同，承包人履约保证金将不予退还，对此给发包人造成的损失由承包人全额赔偿。</w:t>
      </w:r>
    </w:p>
    <w:p w14:paraId="561054BD">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13、</w:t>
      </w:r>
      <w:r>
        <w:rPr>
          <w:rFonts w:hint="eastAsia" w:eastAsia="仿宋_GB2312"/>
          <w:color w:val="auto"/>
          <w:sz w:val="30"/>
          <w:szCs w:val="32"/>
          <w:highlight w:val="none"/>
          <w:u w:val="single"/>
        </w:rPr>
        <w:t>承包人应在合同签订后7日内将办理施工许可证所需施工单位提交的全套完善资料移交发包人，逾期移交则向发包人支付违约金三万元/日历天。</w:t>
      </w:r>
    </w:p>
    <w:p w14:paraId="73D3BAFD">
      <w:pPr>
        <w:pStyle w:val="7"/>
        <w:ind w:left="63" w:right="63" w:firstLine="600" w:firstLineChars="200"/>
        <w:rPr>
          <w:color w:val="auto"/>
          <w:highlight w:val="none"/>
        </w:rPr>
      </w:pPr>
      <w:r>
        <w:rPr>
          <w:rFonts w:eastAsia="仿宋_GB2312"/>
          <w:color w:val="auto"/>
          <w:sz w:val="30"/>
          <w:szCs w:val="32"/>
          <w:highlight w:val="none"/>
          <w:u w:val="single"/>
        </w:rPr>
        <w:t>14、</w:t>
      </w:r>
      <w:r>
        <w:rPr>
          <w:rFonts w:hint="eastAsia" w:eastAsia="仿宋_GB2312"/>
          <w:color w:val="auto"/>
          <w:sz w:val="30"/>
          <w:szCs w:val="32"/>
          <w:highlight w:val="none"/>
          <w:u w:val="single"/>
        </w:rPr>
        <w:t>承包人按月考核农民工完成工作量编制“农民工工资支付表”，经由农民工本人签字确认后在建筑工地醒目位置予以公示，公示期不得少于5日；银行代发工资结束后，承包人应在建筑工地醒目位置张贴农民工工资已发放公告，公告期不得少于5日。</w:t>
      </w:r>
    </w:p>
    <w:p w14:paraId="7BA34D28">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3.2 项目经理</w:t>
      </w:r>
    </w:p>
    <w:p w14:paraId="2E054497">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 xml:space="preserve">3.2.1 </w:t>
      </w:r>
      <w:r>
        <w:rPr>
          <w:rFonts w:eastAsia="仿宋_GB2312"/>
          <w:color w:val="auto"/>
          <w:sz w:val="30"/>
          <w:szCs w:val="32"/>
          <w:highlight w:val="none"/>
        </w:rPr>
        <w:t>项目经理：</w:t>
      </w:r>
    </w:p>
    <w:p w14:paraId="0620A00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3136B3E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2679ED7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建造师执业资格等级：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3366622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建造师注册证书号：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02AED9A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建造师执业印章号：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022B2A2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安全生产考核合格证书号：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74C7253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763C6A9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7CEEAB8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1A98146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承包人对项目经理的授权范围如下：</w:t>
      </w:r>
      <w:r>
        <w:rPr>
          <w:rFonts w:hint="eastAsia" w:eastAsia="仿宋_GB2312"/>
          <w:color w:val="auto"/>
          <w:sz w:val="30"/>
          <w:szCs w:val="32"/>
          <w:highlight w:val="none"/>
          <w:u w:val="single"/>
        </w:rPr>
        <w:t xml:space="preserve">授权项目经理处理与项目有关的业务，全权代表承包人行使合同约定的权利，履行合同约定的职责。项目经理签署的任何文件均视为承包人确认并生效的文件。承包人的相关请求、通知、计划、报表等和其它需报送发包人的资料，均以书面形式由项目经理签字并加盖承包人公章或项目章（承包人项目经理、项目章须经承包人授权并送发包人备案）后递交发包人    </w:t>
      </w:r>
      <w:r>
        <w:rPr>
          <w:rFonts w:eastAsia="仿宋_GB2312"/>
          <w:color w:val="auto"/>
          <w:sz w:val="30"/>
          <w:szCs w:val="32"/>
          <w:highlight w:val="none"/>
        </w:rPr>
        <w:t>。</w:t>
      </w:r>
    </w:p>
    <w:p w14:paraId="23B8685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关于项目经理每</w:t>
      </w:r>
      <w:r>
        <w:rPr>
          <w:rFonts w:hint="eastAsia" w:eastAsia="仿宋_GB2312"/>
          <w:color w:val="auto"/>
          <w:kern w:val="0"/>
          <w:sz w:val="30"/>
          <w:szCs w:val="32"/>
          <w:highlight w:val="none"/>
        </w:rPr>
        <w:t>周</w:t>
      </w:r>
      <w:r>
        <w:rPr>
          <w:rFonts w:eastAsia="仿宋_GB2312"/>
          <w:color w:val="auto"/>
          <w:kern w:val="0"/>
          <w:sz w:val="30"/>
          <w:szCs w:val="32"/>
          <w:highlight w:val="none"/>
        </w:rPr>
        <w:t>在施工现场的时间要求：</w:t>
      </w:r>
      <w:r>
        <w:rPr>
          <w:rFonts w:hint="eastAsia" w:eastAsia="仿宋_GB2312"/>
          <w:color w:val="auto"/>
          <w:sz w:val="30"/>
          <w:szCs w:val="32"/>
          <w:highlight w:val="none"/>
          <w:u w:val="single"/>
        </w:rPr>
        <w:t xml:space="preserve">不得少于6天    </w:t>
      </w:r>
      <w:r>
        <w:rPr>
          <w:rFonts w:eastAsia="仿宋_GB2312"/>
          <w:color w:val="auto"/>
          <w:sz w:val="30"/>
          <w:szCs w:val="32"/>
          <w:highlight w:val="none"/>
        </w:rPr>
        <w:t>。</w:t>
      </w:r>
    </w:p>
    <w:p w14:paraId="44FE7137">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承包人未提交劳动合同，以及没有为项目经理缴纳社会保险证明的违约责任：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382D33B0">
      <w:pPr>
        <w:spacing w:line="360" w:lineRule="auto"/>
        <w:outlineLvl w:val="0"/>
        <w:rPr>
          <w:rFonts w:eastAsia="仿宋_GB2312"/>
          <w:color w:val="auto"/>
          <w:sz w:val="30"/>
          <w:szCs w:val="32"/>
          <w:highlight w:val="none"/>
        </w:rPr>
      </w:pPr>
      <w:r>
        <w:rPr>
          <w:rFonts w:eastAsia="仿宋_GB2312"/>
          <w:color w:val="auto"/>
          <w:sz w:val="30"/>
          <w:szCs w:val="32"/>
          <w:highlight w:val="none"/>
        </w:rPr>
        <w:t xml:space="preserve">    3.2.4 承包人无正当理由拒绝更换项目经理的违约责任：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0A55F77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3.3 承包人人员</w:t>
      </w:r>
    </w:p>
    <w:p w14:paraId="42094D3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3.3.1 承包人提交项目管理机构及施工现场管理人员安排报告的期限：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合同签订后3日内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69C835F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3.3.3 承包人无正当理由拒绝撤换主要施工管理人员的违约责任：</w:t>
      </w:r>
      <w:r>
        <w:rPr>
          <w:rFonts w:hint="eastAsia" w:eastAsia="仿宋_GB2312"/>
          <w:color w:val="auto"/>
          <w:sz w:val="30"/>
          <w:szCs w:val="32"/>
          <w:highlight w:val="none"/>
          <w:u w:val="single"/>
        </w:rPr>
        <w:t xml:space="preserve">先处以每人次一万元的违约金，并限期予以纠正；逾期不纠正，发包人有权单方解除合同，不承担违约责任。承包人应于发包人解除合同之日起5日内向发包人支付违约金五万元。逾期支付，承包人应额外向发包人支付未付金额0.5‰/天的逾期违约金直至完全支付时  </w:t>
      </w:r>
      <w:r>
        <w:rPr>
          <w:rFonts w:eastAsia="仿宋_GB2312"/>
          <w:color w:val="auto"/>
          <w:sz w:val="30"/>
          <w:szCs w:val="32"/>
          <w:highlight w:val="none"/>
        </w:rPr>
        <w:t>。</w:t>
      </w:r>
    </w:p>
    <w:p w14:paraId="407C36C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3.3.4 承包人主要施工管理人员离开施工现场的批准要求：</w:t>
      </w:r>
      <w:r>
        <w:rPr>
          <w:rFonts w:hint="eastAsia" w:eastAsia="仿宋_GB2312"/>
          <w:color w:val="auto"/>
          <w:sz w:val="30"/>
          <w:szCs w:val="32"/>
          <w:highlight w:val="none"/>
          <w:u w:val="single"/>
        </w:rPr>
        <w:t xml:space="preserve">需发包人现场代表书面批准后  </w:t>
      </w:r>
      <w:r>
        <w:rPr>
          <w:rFonts w:eastAsia="仿宋_GB2312"/>
          <w:color w:val="auto"/>
          <w:sz w:val="30"/>
          <w:szCs w:val="32"/>
          <w:highlight w:val="none"/>
          <w:u w:val="single"/>
        </w:rPr>
        <w:t xml:space="preserve">   </w:t>
      </w:r>
      <w:r>
        <w:rPr>
          <w:rFonts w:eastAsia="仿宋_GB2312"/>
          <w:color w:val="auto"/>
          <w:sz w:val="30"/>
          <w:szCs w:val="32"/>
          <w:highlight w:val="none"/>
        </w:rPr>
        <w:t>。</w:t>
      </w:r>
    </w:p>
    <w:p w14:paraId="79865C12">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w:t>
      </w:r>
      <w:bookmarkStart w:id="63" w:name="_Toc296891199"/>
      <w:bookmarkStart w:id="64" w:name="_Toc300934945"/>
      <w:bookmarkStart w:id="65" w:name="_Toc297120459"/>
      <w:bookmarkStart w:id="66" w:name="_Toc303539102"/>
      <w:bookmarkStart w:id="67" w:name="_Toc297216151"/>
      <w:bookmarkStart w:id="68" w:name="_Toc296890987"/>
      <w:bookmarkStart w:id="69" w:name="_Toc297048345"/>
      <w:bookmarkStart w:id="70" w:name="_Toc296944498"/>
      <w:bookmarkStart w:id="71" w:name="_Toc312677988"/>
      <w:bookmarkStart w:id="72" w:name="_Toc296346660"/>
      <w:bookmarkStart w:id="73" w:name="_Toc296503159"/>
      <w:bookmarkStart w:id="74" w:name="_Toc296347158"/>
      <w:bookmarkStart w:id="75" w:name="_Toc304295523"/>
      <w:bookmarkStart w:id="76" w:name="_Toc292559364"/>
      <w:bookmarkStart w:id="77" w:name="_Toc297123492"/>
      <w:bookmarkStart w:id="78" w:name="_Toc292559869"/>
      <w:r>
        <w:rPr>
          <w:rFonts w:eastAsia="黑体"/>
          <w:color w:val="auto"/>
          <w:sz w:val="30"/>
          <w:szCs w:val="32"/>
          <w:highlight w:val="none"/>
        </w:rPr>
        <w:t>.5 分包</w:t>
      </w:r>
    </w:p>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14:paraId="3DDE193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w:t>
      </w:r>
      <w:bookmarkStart w:id="79" w:name="_Toc296503160"/>
      <w:bookmarkStart w:id="80" w:name="_Toc297216152"/>
      <w:bookmarkStart w:id="81" w:name="_Toc300934946"/>
      <w:bookmarkStart w:id="82" w:name="_Toc304295524"/>
      <w:bookmarkStart w:id="83" w:name="_Toc312677989"/>
      <w:bookmarkStart w:id="84" w:name="_Toc297123493"/>
      <w:bookmarkStart w:id="85" w:name="_Toc303539103"/>
      <w:bookmarkStart w:id="86" w:name="_Toc296347159"/>
      <w:bookmarkStart w:id="87" w:name="_Toc297048346"/>
      <w:bookmarkStart w:id="88" w:name="_Toc318581158"/>
      <w:bookmarkStart w:id="89" w:name="_Toc296944499"/>
      <w:bookmarkStart w:id="90" w:name="_Toc292559365"/>
      <w:bookmarkStart w:id="91" w:name="_Toc292559870"/>
      <w:bookmarkStart w:id="92" w:name="_Toc297120460"/>
      <w:bookmarkStart w:id="93" w:name="_Toc296890988"/>
      <w:bookmarkStart w:id="94" w:name="_Toc296891200"/>
      <w:bookmarkStart w:id="95" w:name="_Toc296346661"/>
      <w:r>
        <w:rPr>
          <w:rFonts w:eastAsia="仿宋_GB2312"/>
          <w:color w:val="auto"/>
          <w:sz w:val="30"/>
          <w:szCs w:val="32"/>
          <w:highlight w:val="none"/>
        </w:rPr>
        <w:t>.5.1 分包的一般约定</w:t>
      </w:r>
    </w:p>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14:paraId="40157BA9">
      <w:pPr>
        <w:spacing w:line="360" w:lineRule="auto"/>
        <w:ind w:firstLine="600" w:firstLineChars="200"/>
        <w:rPr>
          <w:rFonts w:eastAsia="仿宋_GB2312"/>
          <w:color w:val="auto"/>
          <w:sz w:val="30"/>
          <w:szCs w:val="32"/>
          <w:highlight w:val="none"/>
        </w:rPr>
      </w:pPr>
      <w:bookmarkStart w:id="96" w:name="_Toc318581159"/>
      <w:bookmarkStart w:id="97" w:name="_Toc312677990"/>
      <w:r>
        <w:rPr>
          <w:rFonts w:hint="eastAsia" w:eastAsia="仿宋_GB2312"/>
          <w:color w:val="auto"/>
          <w:sz w:val="30"/>
          <w:szCs w:val="32"/>
          <w:highlight w:val="none"/>
          <w:u w:val="single"/>
        </w:rPr>
        <w:t>符合《中华人民共和国建筑法》和《中华人民共和国招标投标法》的相关规定</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96"/>
    <w:bookmarkEnd w:id="97"/>
    <w:p w14:paraId="4D23E16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3.6 工程照管与成品、半成品保护</w:t>
      </w:r>
    </w:p>
    <w:p w14:paraId="71F43317">
      <w:pPr>
        <w:spacing w:before="120" w:after="120" w:line="360" w:lineRule="auto"/>
        <w:ind w:firstLine="600" w:firstLineChars="200"/>
        <w:rPr>
          <w:rFonts w:eastAsia="仿宋_GB2312"/>
          <w:color w:val="auto"/>
          <w:kern w:val="0"/>
          <w:sz w:val="30"/>
          <w:szCs w:val="32"/>
          <w:highlight w:val="none"/>
          <w:u w:val="single"/>
        </w:rPr>
      </w:pPr>
      <w:r>
        <w:rPr>
          <w:rFonts w:eastAsia="仿宋_GB2312"/>
          <w:color w:val="auto"/>
          <w:kern w:val="0"/>
          <w:sz w:val="30"/>
          <w:szCs w:val="32"/>
          <w:highlight w:val="none"/>
        </w:rPr>
        <w:t>承包人负责照管工程及工程相关的材料、工程设备的起始时间：</w:t>
      </w:r>
      <w:r>
        <w:rPr>
          <w:rFonts w:eastAsia="仿宋_GB2312"/>
          <w:color w:val="auto"/>
          <w:kern w:val="0"/>
          <w:sz w:val="30"/>
          <w:szCs w:val="32"/>
          <w:highlight w:val="none"/>
          <w:u w:val="single"/>
        </w:rPr>
        <w:t xml:space="preserve">  </w:t>
      </w:r>
      <w:r>
        <w:rPr>
          <w:rFonts w:hint="eastAsia" w:eastAsia="仿宋_GB2312"/>
          <w:color w:val="auto"/>
          <w:sz w:val="30"/>
          <w:szCs w:val="32"/>
          <w:highlight w:val="none"/>
          <w:u w:val="single"/>
        </w:rPr>
        <w:t>按通用合同条款执行</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405BDB3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3.7 履约担保</w:t>
      </w:r>
    </w:p>
    <w:p w14:paraId="2658B37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承包人是否提供履约担保：</w:t>
      </w:r>
      <w:r>
        <w:rPr>
          <w:rFonts w:eastAsia="仿宋_GB2312"/>
          <w:color w:val="auto"/>
          <w:sz w:val="30"/>
          <w:szCs w:val="30"/>
          <w:highlight w:val="none"/>
          <w:u w:val="single"/>
        </w:rPr>
        <w:t xml:space="preserve">                      </w:t>
      </w:r>
      <w:r>
        <w:rPr>
          <w:rFonts w:eastAsia="仿宋_GB2312"/>
          <w:color w:val="auto"/>
          <w:sz w:val="30"/>
          <w:szCs w:val="32"/>
          <w:highlight w:val="none"/>
        </w:rPr>
        <w:t>。</w:t>
      </w:r>
    </w:p>
    <w:p w14:paraId="6F89EB02">
      <w:pPr>
        <w:adjustRightInd w:val="0"/>
        <w:snapToGri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7934A6B3">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76A6BD36">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6207A628">
      <w:pPr>
        <w:adjustRightInd w:val="0"/>
        <w:snapToGrid w:val="0"/>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16AFA2C4">
      <w:pPr>
        <w:pStyle w:val="7"/>
        <w:ind w:left="63" w:right="63" w:firstLine="600" w:firstLineChars="200"/>
        <w:rPr>
          <w:rFonts w:eastAsia="仿宋_GB2312"/>
          <w:color w:val="auto"/>
          <w:sz w:val="30"/>
          <w:szCs w:val="32"/>
          <w:highlight w:val="none"/>
        </w:rPr>
      </w:pPr>
      <w:r>
        <w:rPr>
          <w:rFonts w:hint="eastAsia" w:eastAsia="仿宋_GB2312"/>
          <w:color w:val="auto"/>
          <w:sz w:val="30"/>
          <w:szCs w:val="32"/>
          <w:highlight w:val="none"/>
        </w:rPr>
        <w:t>履约担保提交时间：</w:t>
      </w:r>
      <w:r>
        <w:rPr>
          <w:rFonts w:eastAsia="仿宋_GB2312"/>
          <w:color w:val="auto"/>
          <w:sz w:val="30"/>
          <w:szCs w:val="30"/>
          <w:highlight w:val="none"/>
          <w:u w:val="single"/>
        </w:rPr>
        <w:t xml:space="preserve">                          </w:t>
      </w:r>
      <w:r>
        <w:rPr>
          <w:rFonts w:hint="eastAsia" w:eastAsia="仿宋_GB2312"/>
          <w:color w:val="auto"/>
          <w:sz w:val="30"/>
          <w:szCs w:val="32"/>
          <w:highlight w:val="none"/>
        </w:rPr>
        <w:t>逾期提交履约担保发包人有权单方解除合同，不承担违约责任。承包人应于发包人解除合同之日起5日内向发包人支付逾期提交履约担保违约金，违约金金额为：</w:t>
      </w:r>
      <w:r>
        <w:rPr>
          <w:rFonts w:hint="eastAsia" w:eastAsia="仿宋_GB2312"/>
          <w:color w:val="auto"/>
          <w:sz w:val="30"/>
          <w:szCs w:val="32"/>
          <w:highlight w:val="none"/>
          <w:u w:val="single"/>
        </w:rPr>
        <w:t>合同金额的2</w:t>
      </w:r>
      <w:r>
        <w:rPr>
          <w:rFonts w:eastAsia="仿宋_GB2312"/>
          <w:color w:val="auto"/>
          <w:sz w:val="30"/>
          <w:szCs w:val="32"/>
          <w:highlight w:val="none"/>
          <w:u w:val="single"/>
        </w:rPr>
        <w:t>%</w:t>
      </w:r>
      <w:r>
        <w:rPr>
          <w:rFonts w:hint="eastAsia" w:eastAsia="仿宋_GB2312"/>
          <w:color w:val="auto"/>
          <w:sz w:val="30"/>
          <w:szCs w:val="32"/>
          <w:highlight w:val="none"/>
        </w:rPr>
        <w:t>。逾期支付，承包人应额外向发包人支付未付违约金金额0.5‰/天的逾期违约金直至完全支付时。</w:t>
      </w:r>
    </w:p>
    <w:p w14:paraId="1EC0F876">
      <w:pPr>
        <w:pStyle w:val="7"/>
        <w:ind w:left="63" w:right="63" w:firstLine="600" w:firstLineChars="200"/>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竣工验收合格15个工作日内，发包人向承包人无息退还   </w:t>
      </w:r>
      <w:r>
        <w:rPr>
          <w:rFonts w:hint="eastAsia" w:eastAsia="仿宋_GB2312"/>
          <w:color w:val="auto"/>
          <w:sz w:val="30"/>
          <w:szCs w:val="32"/>
          <w:highlight w:val="none"/>
        </w:rPr>
        <w:t>。</w:t>
      </w:r>
    </w:p>
    <w:p w14:paraId="471B235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同意发包人直接从承包人缴纳的履约保证金中扣除承包人违约金、承包人支付或承担的费用。发包人扣除后承包人应立即补足履约保证金至合同约定的担保金额。承包人逾期10天未补足，发包人有权单方解除合同，发包人不承担违约责任，且承包人应向发包人支付违约金十万元。</w:t>
      </w:r>
    </w:p>
    <w:p w14:paraId="054867F0">
      <w:pPr>
        <w:spacing w:line="360" w:lineRule="auto"/>
        <w:ind w:firstLine="600" w:firstLineChars="200"/>
        <w:jc w:val="left"/>
        <w:rPr>
          <w:rFonts w:hint="eastAsia" w:eastAsia="仿宋_GB2312"/>
          <w:color w:val="auto"/>
          <w:sz w:val="30"/>
          <w:szCs w:val="32"/>
          <w:highlight w:val="none"/>
        </w:rPr>
      </w:pPr>
      <w:r>
        <w:rPr>
          <w:rFonts w:eastAsia="仿宋_GB2312"/>
          <w:color w:val="auto"/>
          <w:sz w:val="30"/>
          <w:szCs w:val="32"/>
          <w:highlight w:val="none"/>
        </w:rPr>
        <w:t>3.8</w:t>
      </w:r>
      <w:r>
        <w:rPr>
          <w:rFonts w:hint="eastAsia" w:eastAsia="仿宋_GB2312"/>
          <w:color w:val="auto"/>
          <w:sz w:val="30"/>
          <w:szCs w:val="32"/>
          <w:highlight w:val="none"/>
        </w:rPr>
        <w:t>农民工工资专用账户管理及银行代发制度</w:t>
      </w:r>
      <w:r>
        <w:rPr>
          <w:rFonts w:eastAsia="仿宋_GB2312"/>
          <w:color w:val="auto"/>
          <w:sz w:val="30"/>
          <w:szCs w:val="32"/>
          <w:highlight w:val="none"/>
        </w:rPr>
        <w:t>：</w:t>
      </w:r>
      <w:r>
        <w:rPr>
          <w:rFonts w:hint="eastAsia" w:eastAsia="仿宋_GB2312"/>
          <w:color w:val="auto"/>
          <w:sz w:val="30"/>
          <w:szCs w:val="32"/>
          <w:highlight w:val="none"/>
        </w:rPr>
        <w:t>/</w:t>
      </w:r>
    </w:p>
    <w:p w14:paraId="2DCC338B">
      <w:pPr>
        <w:pStyle w:val="7"/>
        <w:ind w:left="63" w:right="63" w:firstLine="600" w:firstLineChars="200"/>
        <w:rPr>
          <w:rFonts w:eastAsia="仿宋_GB2312"/>
          <w:color w:val="auto"/>
          <w:sz w:val="30"/>
          <w:szCs w:val="32"/>
          <w:highlight w:val="none"/>
        </w:rPr>
      </w:pPr>
      <w:r>
        <w:rPr>
          <w:rFonts w:hint="eastAsia" w:eastAsia="仿宋_GB2312"/>
          <w:color w:val="auto"/>
          <w:sz w:val="30"/>
          <w:szCs w:val="32"/>
          <w:highlight w:val="none"/>
        </w:rPr>
        <w:t>3.9低价风险保证金</w:t>
      </w:r>
      <w:r>
        <w:rPr>
          <w:rFonts w:eastAsia="仿宋_GB2312"/>
          <w:color w:val="auto"/>
          <w:sz w:val="30"/>
          <w:szCs w:val="32"/>
          <w:highlight w:val="none"/>
        </w:rPr>
        <w:tab/>
      </w:r>
    </w:p>
    <w:p w14:paraId="43F0B6D7">
      <w:pPr>
        <w:rPr>
          <w:rFonts w:eastAsia="仿宋_GB2312"/>
          <w:color w:val="auto"/>
          <w:sz w:val="30"/>
          <w:szCs w:val="32"/>
          <w:highlight w:val="none"/>
        </w:rPr>
      </w:pPr>
      <w:r>
        <w:rPr>
          <w:rFonts w:hint="eastAsia"/>
          <w:color w:val="auto"/>
          <w:highlight w:val="none"/>
        </w:rPr>
        <w:t xml:space="preserve"> </w:t>
      </w:r>
      <w:r>
        <w:rPr>
          <w:color w:val="auto"/>
          <w:highlight w:val="none"/>
        </w:rPr>
        <w:t xml:space="preserve">     </w:t>
      </w:r>
      <w:r>
        <w:rPr>
          <w:rFonts w:hint="eastAsia" w:eastAsia="仿宋_GB2312"/>
          <w:color w:val="auto"/>
          <w:sz w:val="30"/>
          <w:szCs w:val="32"/>
          <w:highlight w:val="none"/>
        </w:rPr>
        <w:t>本工程低价风险保证金为：</w:t>
      </w:r>
      <w:r>
        <w:rPr>
          <w:rFonts w:eastAsia="仿宋_GB2312"/>
          <w:color w:val="auto"/>
          <w:sz w:val="30"/>
          <w:szCs w:val="32"/>
          <w:highlight w:val="none"/>
          <w:u w:val="single"/>
        </w:rPr>
        <w:t xml:space="preserve">    /       </w:t>
      </w:r>
      <w:r>
        <w:rPr>
          <w:rFonts w:hint="eastAsia" w:eastAsia="仿宋_GB2312"/>
          <w:color w:val="auto"/>
          <w:sz w:val="30"/>
          <w:szCs w:val="32"/>
          <w:highlight w:val="none"/>
        </w:rPr>
        <w:t>元，担保形式为</w:t>
      </w:r>
      <w:r>
        <w:rPr>
          <w:rFonts w:eastAsia="仿宋_GB2312"/>
          <w:color w:val="auto"/>
          <w:sz w:val="30"/>
          <w:szCs w:val="32"/>
          <w:highlight w:val="none"/>
          <w:u w:val="single"/>
        </w:rPr>
        <w:t xml:space="preserve">    /       </w:t>
      </w:r>
      <w:r>
        <w:rPr>
          <w:rFonts w:hint="eastAsia" w:eastAsia="仿宋_GB2312"/>
          <w:color w:val="auto"/>
          <w:sz w:val="30"/>
          <w:szCs w:val="32"/>
          <w:highlight w:val="none"/>
        </w:rPr>
        <w:t>。竣工验收合格后15个工作日内无息退还。如在合同履行过程中因承包人或其分包施工单位违约导致合同解除，则发包人不再退还低价风险保证金，对发包人造成的损失如超过低价风险保证金部分由承包人赔偿。</w:t>
      </w:r>
    </w:p>
    <w:p w14:paraId="222AB88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3.10</w:t>
      </w:r>
      <w:r>
        <w:rPr>
          <w:rFonts w:hint="eastAsia" w:eastAsia="仿宋_GB2312"/>
          <w:color w:val="auto"/>
          <w:sz w:val="30"/>
          <w:szCs w:val="32"/>
          <w:highlight w:val="none"/>
        </w:rPr>
        <w:t>民工工资保证金</w:t>
      </w:r>
    </w:p>
    <w:p w14:paraId="0B61035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按渝人社规〔2025〕16号通知执行</w:t>
      </w:r>
    </w:p>
    <w:p w14:paraId="2FE370A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3.11</w:t>
      </w:r>
      <w:r>
        <w:rPr>
          <w:rFonts w:hint="eastAsia" w:eastAsia="仿宋_GB2312"/>
          <w:color w:val="auto"/>
          <w:sz w:val="30"/>
          <w:szCs w:val="32"/>
          <w:highlight w:val="none"/>
        </w:rPr>
        <w:t>安全生产履约保证金</w:t>
      </w:r>
    </w:p>
    <w:p w14:paraId="4A94514B">
      <w:pPr>
        <w:adjustRightInd w:val="0"/>
        <w:snapToGrid w:val="0"/>
        <w:spacing w:line="360" w:lineRule="auto"/>
        <w:ind w:firstLine="600" w:firstLineChars="200"/>
        <w:rPr>
          <w:rFonts w:eastAsia="仿宋_GB2312"/>
          <w:color w:val="auto"/>
          <w:sz w:val="30"/>
          <w:szCs w:val="32"/>
          <w:highlight w:val="none"/>
        </w:rPr>
      </w:pPr>
      <w:bookmarkStart w:id="98" w:name="_Toc351203636"/>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3B6903E9">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缴纳时间：</w:t>
      </w:r>
      <w:r>
        <w:rPr>
          <w:rFonts w:hint="eastAsia" w:eastAsia="仿宋_GB2312"/>
          <w:color w:val="auto"/>
          <w:sz w:val="30"/>
          <w:szCs w:val="32"/>
          <w:highlight w:val="none"/>
          <w:u w:val="single"/>
        </w:rPr>
        <w:t xml:space="preserve">承包商在签订合同后，入厂施工作业前足额交纳安全生产履约保证金。  </w:t>
      </w:r>
      <w:r>
        <w:rPr>
          <w:rFonts w:hint="eastAsia" w:eastAsia="仿宋_GB2312"/>
          <w:color w:val="auto"/>
          <w:sz w:val="30"/>
          <w:szCs w:val="32"/>
          <w:highlight w:val="none"/>
        </w:rPr>
        <w:t>；</w:t>
      </w:r>
    </w:p>
    <w:p w14:paraId="4E3DADB8">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hint="eastAsia" w:eastAsia="仿宋_GB2312"/>
          <w:color w:val="auto"/>
          <w:sz w:val="30"/>
          <w:szCs w:val="32"/>
          <w:highlight w:val="none"/>
          <w:u w:val="single"/>
        </w:rPr>
        <w:t xml:space="preserve"> 现金或银行保函或现金+银行保函的组合；采用银行保函形式的，保函必须为不可撤销且见索即付   </w:t>
      </w:r>
      <w:r>
        <w:rPr>
          <w:rFonts w:hint="eastAsia" w:eastAsia="仿宋_GB2312"/>
          <w:color w:val="auto"/>
          <w:sz w:val="30"/>
          <w:szCs w:val="32"/>
          <w:highlight w:val="none"/>
        </w:rPr>
        <w:t>；</w:t>
      </w:r>
    </w:p>
    <w:p w14:paraId="47D5AC40">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hint="eastAsia" w:eastAsia="仿宋_GB2312"/>
          <w:color w:val="auto"/>
          <w:sz w:val="30"/>
          <w:szCs w:val="32"/>
          <w:highlight w:val="none"/>
          <w:u w:val="single"/>
        </w:rPr>
        <w:t>承包商安全生产履约保证金缴纳数额根据承担工程量大小和安全绩效评价结果进行缴纳。</w:t>
      </w:r>
    </w:p>
    <w:tbl>
      <w:tblPr>
        <w:tblStyle w:val="13"/>
        <w:tblW w:w="0" w:type="auto"/>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9"/>
        <w:gridCol w:w="2992"/>
        <w:gridCol w:w="2992"/>
      </w:tblGrid>
      <w:tr w14:paraId="64086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noWrap w:val="0"/>
            <w:vAlign w:val="top"/>
          </w:tcPr>
          <w:p w14:paraId="7623288E">
            <w:pPr>
              <w:pStyle w:val="7"/>
              <w:ind w:right="63"/>
              <w:rPr>
                <w:rFonts w:eastAsia="等线"/>
                <w:color w:val="auto"/>
                <w:highlight w:val="none"/>
              </w:rPr>
            </w:pPr>
            <w:r>
              <w:rPr>
                <w:rFonts w:hint="eastAsia" w:eastAsia="等线"/>
                <w:color w:val="auto"/>
                <w:highlight w:val="none"/>
              </w:rPr>
              <w:t>序号</w:t>
            </w:r>
          </w:p>
        </w:tc>
        <w:tc>
          <w:tcPr>
            <w:tcW w:w="2992" w:type="dxa"/>
            <w:noWrap w:val="0"/>
            <w:vAlign w:val="top"/>
          </w:tcPr>
          <w:p w14:paraId="7FE9D1E6">
            <w:pPr>
              <w:pStyle w:val="7"/>
              <w:ind w:right="63"/>
              <w:rPr>
                <w:rFonts w:eastAsia="等线"/>
                <w:color w:val="auto"/>
                <w:highlight w:val="none"/>
              </w:rPr>
            </w:pPr>
            <w:r>
              <w:rPr>
                <w:rFonts w:hint="eastAsia" w:eastAsia="等线"/>
                <w:color w:val="auto"/>
                <w:highlight w:val="none"/>
              </w:rPr>
              <w:t>承包商业务类型</w:t>
            </w:r>
          </w:p>
        </w:tc>
        <w:tc>
          <w:tcPr>
            <w:tcW w:w="2992" w:type="dxa"/>
            <w:noWrap w:val="0"/>
            <w:vAlign w:val="top"/>
          </w:tcPr>
          <w:p w14:paraId="752AF4E6">
            <w:pPr>
              <w:pStyle w:val="7"/>
              <w:ind w:right="63"/>
              <w:rPr>
                <w:rFonts w:eastAsia="等线"/>
                <w:color w:val="auto"/>
                <w:highlight w:val="none"/>
              </w:rPr>
            </w:pPr>
            <w:r>
              <w:rPr>
                <w:rFonts w:hint="eastAsia" w:eastAsia="等线"/>
                <w:color w:val="auto"/>
                <w:highlight w:val="none"/>
              </w:rPr>
              <w:t>安全生产履约保证金交纳金额</w:t>
            </w:r>
          </w:p>
        </w:tc>
      </w:tr>
      <w:tr w14:paraId="1774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noWrap w:val="0"/>
            <w:vAlign w:val="top"/>
          </w:tcPr>
          <w:p w14:paraId="123B2233">
            <w:pPr>
              <w:pStyle w:val="7"/>
              <w:ind w:right="63"/>
              <w:rPr>
                <w:rFonts w:eastAsia="等线"/>
                <w:color w:val="auto"/>
                <w:highlight w:val="none"/>
              </w:rPr>
            </w:pPr>
            <w:r>
              <w:rPr>
                <w:rFonts w:hint="eastAsia" w:eastAsia="等线"/>
                <w:color w:val="auto"/>
                <w:highlight w:val="none"/>
              </w:rPr>
              <w:t>1</w:t>
            </w:r>
          </w:p>
        </w:tc>
        <w:tc>
          <w:tcPr>
            <w:tcW w:w="2992" w:type="dxa"/>
            <w:noWrap w:val="0"/>
            <w:vAlign w:val="top"/>
          </w:tcPr>
          <w:p w14:paraId="5D112E21">
            <w:pPr>
              <w:pStyle w:val="7"/>
              <w:ind w:right="63"/>
              <w:rPr>
                <w:rFonts w:eastAsia="等线"/>
                <w:color w:val="auto"/>
                <w:highlight w:val="none"/>
              </w:rPr>
            </w:pPr>
            <w:r>
              <w:rPr>
                <w:rFonts w:hint="eastAsia" w:eastAsia="等线"/>
                <w:color w:val="auto"/>
                <w:highlight w:val="none"/>
              </w:rPr>
              <w:t>土建工程项目、安装工程项目、设备维修维保项目</w:t>
            </w:r>
          </w:p>
        </w:tc>
        <w:tc>
          <w:tcPr>
            <w:tcW w:w="2992" w:type="dxa"/>
            <w:noWrap w:val="0"/>
            <w:vAlign w:val="top"/>
          </w:tcPr>
          <w:p w14:paraId="7D9BBE11">
            <w:pPr>
              <w:pStyle w:val="7"/>
              <w:ind w:right="63"/>
              <w:rPr>
                <w:rFonts w:eastAsia="等线"/>
                <w:color w:val="auto"/>
                <w:highlight w:val="none"/>
              </w:rPr>
            </w:pPr>
            <w:r>
              <w:rPr>
                <w:rFonts w:hint="eastAsia" w:eastAsia="等线"/>
                <w:color w:val="auto"/>
                <w:highlight w:val="none"/>
              </w:rPr>
              <w:t>按照合同标的物总额的5%进行缴纳,最低缴纳1万元，最高交纳200万元。</w:t>
            </w:r>
          </w:p>
        </w:tc>
      </w:tr>
      <w:tr w14:paraId="6BE9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noWrap w:val="0"/>
            <w:vAlign w:val="top"/>
          </w:tcPr>
          <w:p w14:paraId="4D84842D">
            <w:pPr>
              <w:pStyle w:val="7"/>
              <w:ind w:right="63"/>
              <w:rPr>
                <w:rFonts w:eastAsia="等线"/>
                <w:color w:val="auto"/>
                <w:highlight w:val="none"/>
              </w:rPr>
            </w:pPr>
            <w:r>
              <w:rPr>
                <w:rFonts w:hint="eastAsia" w:eastAsia="等线"/>
                <w:color w:val="auto"/>
                <w:highlight w:val="none"/>
              </w:rPr>
              <w:t>2</w:t>
            </w:r>
          </w:p>
        </w:tc>
        <w:tc>
          <w:tcPr>
            <w:tcW w:w="2992" w:type="dxa"/>
            <w:noWrap w:val="0"/>
            <w:vAlign w:val="top"/>
          </w:tcPr>
          <w:p w14:paraId="1223DEFA">
            <w:pPr>
              <w:pStyle w:val="7"/>
              <w:ind w:right="63"/>
              <w:rPr>
                <w:rFonts w:eastAsia="等线"/>
                <w:color w:val="auto"/>
                <w:highlight w:val="none"/>
              </w:rPr>
            </w:pPr>
            <w:r>
              <w:rPr>
                <w:rFonts w:hint="eastAsia" w:eastAsia="等线"/>
                <w:color w:val="auto"/>
                <w:highlight w:val="none"/>
              </w:rPr>
              <w:t>公司原辅料、产品运输</w:t>
            </w:r>
          </w:p>
        </w:tc>
        <w:tc>
          <w:tcPr>
            <w:tcW w:w="2992" w:type="dxa"/>
            <w:vMerge w:val="restart"/>
            <w:noWrap w:val="0"/>
            <w:vAlign w:val="top"/>
          </w:tcPr>
          <w:p w14:paraId="41234144">
            <w:pPr>
              <w:pStyle w:val="7"/>
              <w:ind w:right="63"/>
              <w:rPr>
                <w:rFonts w:eastAsia="等线"/>
                <w:color w:val="auto"/>
                <w:highlight w:val="none"/>
              </w:rPr>
            </w:pPr>
            <w:r>
              <w:rPr>
                <w:rFonts w:hint="eastAsia" w:eastAsia="等线"/>
                <w:color w:val="auto"/>
                <w:highlight w:val="none"/>
              </w:rPr>
              <w:t>按照合同标的物总额的1%进行缴纳,最低缴纳10万元,最高交纳100万元。</w:t>
            </w:r>
          </w:p>
        </w:tc>
      </w:tr>
      <w:tr w14:paraId="164B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noWrap w:val="0"/>
            <w:vAlign w:val="top"/>
          </w:tcPr>
          <w:p w14:paraId="0C383C41">
            <w:pPr>
              <w:pStyle w:val="7"/>
              <w:ind w:right="63"/>
              <w:rPr>
                <w:rFonts w:eastAsia="等线"/>
                <w:color w:val="auto"/>
                <w:highlight w:val="none"/>
              </w:rPr>
            </w:pPr>
            <w:r>
              <w:rPr>
                <w:rFonts w:hint="eastAsia" w:eastAsia="等线"/>
                <w:color w:val="auto"/>
                <w:highlight w:val="none"/>
              </w:rPr>
              <w:t>3</w:t>
            </w:r>
          </w:p>
        </w:tc>
        <w:tc>
          <w:tcPr>
            <w:tcW w:w="2992" w:type="dxa"/>
            <w:noWrap w:val="0"/>
            <w:vAlign w:val="top"/>
          </w:tcPr>
          <w:p w14:paraId="125C8770">
            <w:pPr>
              <w:pStyle w:val="7"/>
              <w:ind w:right="63"/>
              <w:rPr>
                <w:rFonts w:eastAsia="等线"/>
                <w:color w:val="auto"/>
                <w:highlight w:val="none"/>
              </w:rPr>
            </w:pPr>
            <w:r>
              <w:rPr>
                <w:rFonts w:hint="eastAsia" w:eastAsia="等线"/>
                <w:color w:val="auto"/>
                <w:highlight w:val="none"/>
              </w:rPr>
              <w:t>承租公司设备、厂房</w:t>
            </w:r>
          </w:p>
        </w:tc>
        <w:tc>
          <w:tcPr>
            <w:tcW w:w="2992" w:type="dxa"/>
            <w:vMerge w:val="continue"/>
            <w:noWrap w:val="0"/>
            <w:vAlign w:val="top"/>
          </w:tcPr>
          <w:p w14:paraId="48E2EF89">
            <w:pPr>
              <w:pStyle w:val="7"/>
              <w:ind w:right="63"/>
              <w:rPr>
                <w:rFonts w:eastAsia="等线"/>
                <w:color w:val="auto"/>
                <w:highlight w:val="none"/>
              </w:rPr>
            </w:pPr>
          </w:p>
        </w:tc>
      </w:tr>
      <w:tr w14:paraId="0E54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noWrap w:val="0"/>
            <w:vAlign w:val="top"/>
          </w:tcPr>
          <w:p w14:paraId="2517A333">
            <w:pPr>
              <w:pStyle w:val="7"/>
              <w:ind w:right="63"/>
              <w:rPr>
                <w:rFonts w:eastAsia="等线"/>
                <w:color w:val="auto"/>
                <w:highlight w:val="none"/>
              </w:rPr>
            </w:pPr>
            <w:r>
              <w:rPr>
                <w:rFonts w:hint="eastAsia" w:eastAsia="等线"/>
                <w:color w:val="auto"/>
                <w:highlight w:val="none"/>
              </w:rPr>
              <w:t>4</w:t>
            </w:r>
          </w:p>
        </w:tc>
        <w:tc>
          <w:tcPr>
            <w:tcW w:w="2992" w:type="dxa"/>
            <w:noWrap w:val="0"/>
            <w:vAlign w:val="top"/>
          </w:tcPr>
          <w:p w14:paraId="10AFAA01">
            <w:pPr>
              <w:pStyle w:val="7"/>
              <w:ind w:right="63"/>
              <w:rPr>
                <w:rFonts w:eastAsia="等线"/>
                <w:color w:val="auto"/>
                <w:highlight w:val="none"/>
              </w:rPr>
            </w:pPr>
            <w:r>
              <w:rPr>
                <w:rFonts w:hint="eastAsia" w:eastAsia="等线"/>
                <w:color w:val="auto"/>
                <w:highlight w:val="none"/>
              </w:rPr>
              <w:t>在公司内投资建厂（装置)</w:t>
            </w:r>
          </w:p>
        </w:tc>
        <w:tc>
          <w:tcPr>
            <w:tcW w:w="2992" w:type="dxa"/>
            <w:vMerge w:val="continue"/>
            <w:noWrap w:val="0"/>
            <w:vAlign w:val="top"/>
          </w:tcPr>
          <w:p w14:paraId="579B5213">
            <w:pPr>
              <w:pStyle w:val="7"/>
              <w:ind w:right="63"/>
              <w:rPr>
                <w:rFonts w:eastAsia="等线"/>
                <w:color w:val="auto"/>
                <w:highlight w:val="none"/>
              </w:rPr>
            </w:pPr>
          </w:p>
        </w:tc>
      </w:tr>
      <w:tr w14:paraId="020DC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noWrap w:val="0"/>
            <w:vAlign w:val="top"/>
          </w:tcPr>
          <w:p w14:paraId="766AA505">
            <w:pPr>
              <w:pStyle w:val="7"/>
              <w:ind w:right="63"/>
              <w:rPr>
                <w:rFonts w:eastAsia="等线"/>
                <w:color w:val="auto"/>
                <w:highlight w:val="none"/>
              </w:rPr>
            </w:pPr>
            <w:r>
              <w:rPr>
                <w:rFonts w:hint="eastAsia" w:eastAsia="等线"/>
                <w:color w:val="auto"/>
                <w:highlight w:val="none"/>
              </w:rPr>
              <w:t>5</w:t>
            </w:r>
          </w:p>
        </w:tc>
        <w:tc>
          <w:tcPr>
            <w:tcW w:w="2992" w:type="dxa"/>
            <w:noWrap w:val="0"/>
            <w:vAlign w:val="top"/>
          </w:tcPr>
          <w:p w14:paraId="056B13C1">
            <w:pPr>
              <w:pStyle w:val="7"/>
              <w:ind w:right="63"/>
              <w:rPr>
                <w:rFonts w:eastAsia="等线"/>
                <w:color w:val="auto"/>
                <w:highlight w:val="none"/>
              </w:rPr>
            </w:pPr>
            <w:r>
              <w:rPr>
                <w:rFonts w:hint="eastAsia" w:eastAsia="等线"/>
                <w:color w:val="auto"/>
                <w:highlight w:val="none"/>
              </w:rPr>
              <w:t>食堂、回收废弃物处置</w:t>
            </w:r>
          </w:p>
        </w:tc>
        <w:tc>
          <w:tcPr>
            <w:tcW w:w="2992" w:type="dxa"/>
            <w:noWrap w:val="0"/>
            <w:vAlign w:val="top"/>
          </w:tcPr>
          <w:p w14:paraId="035D208F">
            <w:pPr>
              <w:pStyle w:val="7"/>
              <w:ind w:right="63"/>
              <w:rPr>
                <w:rFonts w:eastAsia="等线"/>
                <w:color w:val="auto"/>
                <w:highlight w:val="none"/>
              </w:rPr>
            </w:pPr>
            <w:r>
              <w:rPr>
                <w:rFonts w:hint="eastAsia" w:eastAsia="等线"/>
                <w:color w:val="auto"/>
                <w:highlight w:val="none"/>
              </w:rPr>
              <w:t>按照预计年度结算金额的1%进行缴纳，最低缴纳5万元，最高20万元。</w:t>
            </w:r>
          </w:p>
        </w:tc>
      </w:tr>
      <w:tr w14:paraId="1659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3" w:type="dxa"/>
            <w:gridSpan w:val="3"/>
            <w:noWrap w:val="0"/>
            <w:vAlign w:val="top"/>
          </w:tcPr>
          <w:p w14:paraId="77B2FBF9">
            <w:pPr>
              <w:pStyle w:val="7"/>
              <w:ind w:right="63"/>
              <w:rPr>
                <w:rFonts w:eastAsia="等线"/>
                <w:color w:val="auto"/>
                <w:highlight w:val="none"/>
              </w:rPr>
            </w:pPr>
            <w:r>
              <w:rPr>
                <w:rFonts w:hint="eastAsia" w:eastAsia="等线"/>
                <w:color w:val="auto"/>
                <w:highlight w:val="none"/>
              </w:rPr>
              <w:t xml:space="preserve"> </w:t>
            </w:r>
            <w:r>
              <w:rPr>
                <w:rFonts w:eastAsia="等线"/>
                <w:color w:val="auto"/>
                <w:highlight w:val="none"/>
              </w:rPr>
              <w:t xml:space="preserve">   </w:t>
            </w:r>
            <w:r>
              <w:rPr>
                <w:rFonts w:hint="eastAsia" w:eastAsia="等线"/>
                <w:color w:val="auto"/>
                <w:highlight w:val="none"/>
              </w:rPr>
              <w:t>从事除上述情况以外在公司厂区内作业活动的承包商，年度结算费用在50万元(或累计）以上，安全生产履约保证金按结算费用的1%进行缴纳，安全生产履约保证金最低5万元，最高不超过100万元。年度结算费用在50万元以下的由各单位根据实际情况确定，安全生产履约保证金为1-5万元。</w:t>
            </w:r>
          </w:p>
        </w:tc>
      </w:tr>
    </w:tbl>
    <w:p w14:paraId="7D8EFFDE">
      <w:pPr>
        <w:adjustRightInd w:val="0"/>
        <w:snapToGrid w:val="0"/>
        <w:spacing w:line="360" w:lineRule="auto"/>
        <w:ind w:firstLine="600" w:firstLineChars="200"/>
        <w:rPr>
          <w:rFonts w:eastAsia="仿宋_GB2312"/>
          <w:color w:val="auto"/>
          <w:sz w:val="30"/>
          <w:szCs w:val="32"/>
          <w:highlight w:val="none"/>
        </w:rPr>
      </w:pPr>
    </w:p>
    <w:p w14:paraId="7EC5C234">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19CF39C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竣工验收合格15个工作日内经安全违约结算扣除违约金后，发包人向承包人无息退还   </w:t>
      </w:r>
      <w:r>
        <w:rPr>
          <w:rFonts w:hint="eastAsia" w:eastAsia="仿宋_GB2312"/>
          <w:color w:val="auto"/>
          <w:sz w:val="30"/>
          <w:szCs w:val="32"/>
          <w:highlight w:val="none"/>
        </w:rPr>
        <w:t>。</w:t>
      </w:r>
    </w:p>
    <w:p w14:paraId="7D7E037A">
      <w:pPr>
        <w:pStyle w:val="7"/>
        <w:ind w:left="63" w:right="63"/>
        <w:rPr>
          <w:rFonts w:eastAsia="仿宋_GB2312"/>
          <w:color w:val="auto"/>
          <w:sz w:val="30"/>
          <w:szCs w:val="32"/>
          <w:highlight w:val="none"/>
        </w:rPr>
      </w:pPr>
      <w:r>
        <w:rPr>
          <w:rFonts w:hint="eastAsia"/>
          <w:color w:val="auto"/>
          <w:highlight w:val="none"/>
        </w:rPr>
        <w:t xml:space="preserve"> </w:t>
      </w:r>
      <w:r>
        <w:rPr>
          <w:color w:val="auto"/>
          <w:highlight w:val="none"/>
        </w:rPr>
        <w:t xml:space="preserve">     </w:t>
      </w:r>
      <w:r>
        <w:rPr>
          <w:rFonts w:hint="eastAsia" w:eastAsia="仿宋_GB2312"/>
          <w:color w:val="auto"/>
          <w:sz w:val="30"/>
          <w:szCs w:val="32"/>
          <w:highlight w:val="none"/>
        </w:rPr>
        <w:t>承包商年度考核评价为优秀等级的，安全生产履约保证金可以按标准比例的80%缴纳。</w:t>
      </w:r>
    </w:p>
    <w:p w14:paraId="2D03D534">
      <w:pPr>
        <w:rPr>
          <w:rFonts w:eastAsia="仿宋_GB2312"/>
          <w:color w:val="auto"/>
          <w:sz w:val="30"/>
          <w:szCs w:val="32"/>
          <w:highlight w:val="none"/>
        </w:rPr>
      </w:pPr>
      <w:r>
        <w:rPr>
          <w:rFonts w:hint="eastAsia" w:eastAsia="仿宋_GB2312"/>
          <w:color w:val="auto"/>
          <w:sz w:val="30"/>
          <w:szCs w:val="32"/>
          <w:highlight w:val="none"/>
        </w:rPr>
        <w:t xml:space="preserve"> </w:t>
      </w:r>
      <w:r>
        <w:rPr>
          <w:rFonts w:eastAsia="仿宋_GB2312"/>
          <w:color w:val="auto"/>
          <w:sz w:val="30"/>
          <w:szCs w:val="32"/>
          <w:highlight w:val="none"/>
        </w:rPr>
        <w:t xml:space="preserve">   </w:t>
      </w:r>
      <w:r>
        <w:rPr>
          <w:rFonts w:hint="eastAsia" w:eastAsia="仿宋_GB2312"/>
          <w:color w:val="auto"/>
          <w:sz w:val="30"/>
          <w:szCs w:val="32"/>
          <w:highlight w:val="none"/>
        </w:rPr>
        <w:t>同一个承包商同公司内多家单位有合同约定的，以所需缴纳的安全生产履约保证金最高为缴纳金额，不重复缴纳，但需要提交由公司财务部出具的缴纳凭证复印件。</w:t>
      </w:r>
    </w:p>
    <w:p w14:paraId="73D4BC40">
      <w:pPr>
        <w:pStyle w:val="7"/>
        <w:ind w:left="63" w:right="63"/>
        <w:jc w:val="left"/>
        <w:rPr>
          <w:rFonts w:eastAsia="仿宋_GB2312"/>
          <w:color w:val="auto"/>
          <w:sz w:val="30"/>
          <w:szCs w:val="32"/>
          <w:highlight w:val="none"/>
        </w:rPr>
      </w:pPr>
      <w:r>
        <w:rPr>
          <w:rFonts w:eastAsia="仿宋_GB2312"/>
          <w:color w:val="auto"/>
          <w:sz w:val="30"/>
          <w:szCs w:val="32"/>
          <w:highlight w:val="none"/>
        </w:rPr>
        <w:t xml:space="preserve">   </w:t>
      </w:r>
      <w:r>
        <w:rPr>
          <w:rFonts w:hint="eastAsia" w:eastAsia="仿宋_GB2312"/>
          <w:color w:val="auto"/>
          <w:sz w:val="30"/>
          <w:szCs w:val="32"/>
          <w:highlight w:val="none"/>
        </w:rPr>
        <w:t>承包商属于公司内部单位的，可以不缴纳安全生产履约保证金。</w:t>
      </w:r>
    </w:p>
    <w:p w14:paraId="7796EE42">
      <w:pPr>
        <w:ind w:firstLine="600" w:firstLineChars="200"/>
        <w:rPr>
          <w:rFonts w:eastAsia="仿宋_GB2312"/>
          <w:color w:val="auto"/>
          <w:sz w:val="30"/>
          <w:szCs w:val="32"/>
          <w:highlight w:val="none"/>
        </w:rPr>
      </w:pPr>
      <w:r>
        <w:rPr>
          <w:rFonts w:hint="eastAsia" w:eastAsia="仿宋_GB2312"/>
          <w:color w:val="auto"/>
          <w:sz w:val="30"/>
          <w:szCs w:val="32"/>
          <w:highlight w:val="none"/>
        </w:rPr>
        <w:t>公司新进承包商、现有承包商且合同年限超过1年的，需按照本制度规定缴纳安全生产履约保证金。</w:t>
      </w:r>
    </w:p>
    <w:p w14:paraId="64E7326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承包商在公司范围内发生生产安全环保事故的，按照以下标准扣除安全生产履约保证金：</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3"/>
        <w:gridCol w:w="3503"/>
      </w:tblGrid>
      <w:tr w14:paraId="215B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23" w:type="dxa"/>
            <w:noWrap w:val="0"/>
            <w:vAlign w:val="center"/>
          </w:tcPr>
          <w:p w14:paraId="2E2CAD9B">
            <w:pPr>
              <w:jc w:val="center"/>
              <w:rPr>
                <w:rFonts w:ascii="宋体" w:hAnsi="宋体"/>
                <w:color w:val="auto"/>
                <w:szCs w:val="21"/>
                <w:highlight w:val="none"/>
              </w:rPr>
            </w:pPr>
            <w:r>
              <w:rPr>
                <w:rFonts w:ascii="宋体" w:hAnsi="宋体"/>
                <w:color w:val="auto"/>
                <w:szCs w:val="21"/>
                <w:highlight w:val="none"/>
              </w:rPr>
              <w:t>事故等级</w:t>
            </w:r>
          </w:p>
        </w:tc>
        <w:tc>
          <w:tcPr>
            <w:tcW w:w="3503" w:type="dxa"/>
            <w:noWrap w:val="0"/>
            <w:vAlign w:val="center"/>
          </w:tcPr>
          <w:p w14:paraId="1F29F160">
            <w:pPr>
              <w:jc w:val="center"/>
              <w:rPr>
                <w:rFonts w:ascii="宋体" w:hAnsi="宋体"/>
                <w:color w:val="auto"/>
                <w:szCs w:val="21"/>
                <w:highlight w:val="none"/>
              </w:rPr>
            </w:pPr>
            <w:r>
              <w:rPr>
                <w:rFonts w:ascii="宋体" w:hAnsi="宋体"/>
                <w:color w:val="auto"/>
                <w:szCs w:val="21"/>
                <w:highlight w:val="none"/>
              </w:rPr>
              <w:t>安全生产履约保证金扣除金额</w:t>
            </w:r>
          </w:p>
        </w:tc>
      </w:tr>
      <w:tr w14:paraId="23DA6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623" w:type="dxa"/>
            <w:noWrap w:val="0"/>
            <w:vAlign w:val="center"/>
          </w:tcPr>
          <w:p w14:paraId="7EBFE3B4">
            <w:pPr>
              <w:jc w:val="left"/>
              <w:rPr>
                <w:rFonts w:ascii="宋体" w:hAnsi="宋体"/>
                <w:color w:val="auto"/>
                <w:szCs w:val="21"/>
                <w:highlight w:val="none"/>
              </w:rPr>
            </w:pPr>
            <w:r>
              <w:rPr>
                <w:rFonts w:hint="eastAsia" w:ascii="宋体" w:hAnsi="宋体"/>
                <w:color w:val="auto"/>
                <w:szCs w:val="21"/>
                <w:highlight w:val="none"/>
              </w:rPr>
              <w:t>发生重伤或直接经济损失30-</w:t>
            </w:r>
            <w:r>
              <w:rPr>
                <w:rFonts w:ascii="宋体" w:hAnsi="宋体"/>
                <w:color w:val="auto"/>
                <w:szCs w:val="21"/>
                <w:highlight w:val="none"/>
              </w:rPr>
              <w:t>100</w:t>
            </w:r>
            <w:r>
              <w:rPr>
                <w:rFonts w:hint="eastAsia" w:ascii="宋体" w:hAnsi="宋体"/>
                <w:color w:val="auto"/>
                <w:szCs w:val="21"/>
                <w:highlight w:val="none"/>
              </w:rPr>
              <w:t>万元的生产安全责任事故；消防出警，社会影响较大，出水或启动灭火设施参与抢险，被立案调查但未受到处罚的事故；发生公司级重大环境污染事故；环保部门抢险，社会影响较大，被立案调查但未受到处罚的环保事故。</w:t>
            </w:r>
          </w:p>
        </w:tc>
        <w:tc>
          <w:tcPr>
            <w:tcW w:w="3503" w:type="dxa"/>
            <w:noWrap w:val="0"/>
            <w:vAlign w:val="center"/>
          </w:tcPr>
          <w:p w14:paraId="5DBCDDC8">
            <w:pPr>
              <w:jc w:val="center"/>
              <w:rPr>
                <w:rFonts w:ascii="宋体" w:hAnsi="宋体"/>
                <w:color w:val="auto"/>
                <w:szCs w:val="21"/>
                <w:highlight w:val="none"/>
              </w:rPr>
            </w:pPr>
            <w:r>
              <w:rPr>
                <w:rFonts w:ascii="宋体" w:hAnsi="宋体"/>
                <w:color w:val="auto"/>
                <w:szCs w:val="21"/>
                <w:highlight w:val="none"/>
              </w:rPr>
              <w:t>5万元</w:t>
            </w:r>
          </w:p>
        </w:tc>
      </w:tr>
      <w:tr w14:paraId="67C6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6623" w:type="dxa"/>
            <w:noWrap w:val="0"/>
            <w:vAlign w:val="center"/>
          </w:tcPr>
          <w:p w14:paraId="67117D3B">
            <w:pPr>
              <w:jc w:val="left"/>
              <w:rPr>
                <w:rFonts w:ascii="宋体" w:hAnsi="宋体"/>
                <w:color w:val="auto"/>
                <w:szCs w:val="21"/>
                <w:highlight w:val="none"/>
              </w:rPr>
            </w:pPr>
            <w:r>
              <w:rPr>
                <w:rFonts w:hint="eastAsia" w:ascii="宋体" w:hAnsi="宋体"/>
                <w:color w:val="auto"/>
                <w:szCs w:val="21"/>
                <w:highlight w:val="none"/>
              </w:rPr>
              <w:t>发生重伤3人、死亡事故或直接经济损失1</w:t>
            </w:r>
            <w:r>
              <w:rPr>
                <w:rFonts w:ascii="宋体" w:hAnsi="宋体"/>
                <w:color w:val="auto"/>
                <w:szCs w:val="21"/>
                <w:highlight w:val="none"/>
              </w:rPr>
              <w:t>00万元及以上安全责任事故的</w:t>
            </w:r>
            <w:r>
              <w:rPr>
                <w:rFonts w:hint="eastAsia" w:ascii="宋体" w:hAnsi="宋体"/>
                <w:color w:val="auto"/>
                <w:szCs w:val="21"/>
                <w:highlight w:val="none"/>
              </w:rPr>
              <w:t>。消防出警，社会影响大，消防出水或启动灭火设施参与抢险，被立案调查且受到处罚的事故；发生公司级特大环境污染事故，环保部门抢险，社会影响大，被立案调查且受到处罚的环保事故。</w:t>
            </w:r>
          </w:p>
        </w:tc>
        <w:tc>
          <w:tcPr>
            <w:tcW w:w="3503" w:type="dxa"/>
            <w:noWrap w:val="0"/>
            <w:vAlign w:val="center"/>
          </w:tcPr>
          <w:p w14:paraId="0EBEA601">
            <w:pPr>
              <w:jc w:val="center"/>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0</w:t>
            </w:r>
            <w:r>
              <w:rPr>
                <w:rFonts w:hint="eastAsia" w:ascii="宋体" w:hAnsi="宋体"/>
                <w:color w:val="auto"/>
                <w:szCs w:val="21"/>
                <w:highlight w:val="none"/>
              </w:rPr>
              <w:t>-</w:t>
            </w:r>
            <w:r>
              <w:rPr>
                <w:rFonts w:ascii="宋体" w:hAnsi="宋体"/>
                <w:color w:val="auto"/>
                <w:szCs w:val="21"/>
                <w:highlight w:val="none"/>
              </w:rPr>
              <w:t>50万元</w:t>
            </w:r>
          </w:p>
        </w:tc>
      </w:tr>
      <w:tr w14:paraId="422F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126" w:type="dxa"/>
            <w:gridSpan w:val="2"/>
            <w:noWrap w:val="0"/>
            <w:vAlign w:val="center"/>
          </w:tcPr>
          <w:p w14:paraId="58EE9861">
            <w:pPr>
              <w:jc w:val="left"/>
              <w:rPr>
                <w:rFonts w:ascii="宋体" w:hAnsi="宋体"/>
                <w:color w:val="auto"/>
                <w:szCs w:val="21"/>
                <w:highlight w:val="none"/>
              </w:rPr>
            </w:pPr>
            <w:r>
              <w:rPr>
                <w:rFonts w:hint="eastAsia" w:ascii="宋体" w:hAnsi="宋体"/>
                <w:color w:val="auto"/>
                <w:szCs w:val="21"/>
                <w:highlight w:val="none"/>
              </w:rPr>
              <w:t>说明：</w:t>
            </w:r>
          </w:p>
          <w:p w14:paraId="50D9EBA9">
            <w:pPr>
              <w:jc w:val="left"/>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、发生在国家法定节假日、两会等重要特殊时期的事故从严扣款。</w:t>
            </w:r>
          </w:p>
          <w:p w14:paraId="0B7F57C2">
            <w:pPr>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、谎报、瞒报事故的安全生产履约保证金全额扣除。</w:t>
            </w:r>
          </w:p>
          <w:p w14:paraId="5ECB9E40">
            <w:pPr>
              <w:jc w:val="left"/>
              <w:rPr>
                <w:rFonts w:ascii="宋体" w:hAnsi="宋体"/>
                <w:color w:val="auto"/>
                <w:szCs w:val="21"/>
                <w:highlight w:val="none"/>
              </w:rPr>
            </w:pPr>
            <w:r>
              <w:rPr>
                <w:rFonts w:ascii="宋体"/>
                <w:color w:val="auto"/>
                <w:kern w:val="0"/>
                <w:szCs w:val="20"/>
                <w:highlight w:val="none"/>
              </w:rPr>
              <w:t>3</w:t>
            </w:r>
            <w:r>
              <w:rPr>
                <w:rFonts w:hint="eastAsia" w:ascii="宋体"/>
                <w:color w:val="auto"/>
                <w:kern w:val="0"/>
                <w:szCs w:val="20"/>
                <w:highlight w:val="none"/>
              </w:rPr>
              <w:t>、发生安全环保事故</w:t>
            </w:r>
            <w:r>
              <w:rPr>
                <w:rFonts w:ascii="宋体"/>
                <w:color w:val="auto"/>
                <w:kern w:val="0"/>
                <w:szCs w:val="20"/>
                <w:highlight w:val="none"/>
              </w:rPr>
              <w:t>0.5</w:t>
            </w:r>
            <w:r>
              <w:rPr>
                <w:rFonts w:hint="eastAsia" w:ascii="宋体"/>
                <w:color w:val="auto"/>
                <w:kern w:val="0"/>
                <w:szCs w:val="20"/>
                <w:highlight w:val="none"/>
              </w:rPr>
              <w:t>小时内报告到对口管理部门，对口管理部门接报后立即报告到安全环保部。超过报告时限的，</w:t>
            </w:r>
            <w:r>
              <w:rPr>
                <w:rFonts w:ascii="宋体" w:hAnsi="宋体"/>
                <w:color w:val="auto"/>
                <w:szCs w:val="21"/>
                <w:highlight w:val="none"/>
              </w:rPr>
              <w:t xml:space="preserve"> 每次扣安全生产履约保证金</w:t>
            </w:r>
            <w:r>
              <w:rPr>
                <w:rFonts w:hint="eastAsia" w:ascii="宋体" w:hAnsi="宋体"/>
                <w:color w:val="auto"/>
                <w:szCs w:val="21"/>
                <w:highlight w:val="none"/>
              </w:rPr>
              <w:t>5万元。</w:t>
            </w:r>
            <w:r>
              <w:rPr>
                <w:rFonts w:ascii="宋体" w:hAnsi="宋体"/>
                <w:color w:val="auto"/>
                <w:szCs w:val="21"/>
                <w:highlight w:val="none"/>
              </w:rPr>
              <w:t xml:space="preserve"> </w:t>
            </w:r>
          </w:p>
          <w:p w14:paraId="6C0CF87F">
            <w:pPr>
              <w:jc w:val="left"/>
              <w:rPr>
                <w:rFonts w:ascii="宋体" w:hAnsi="宋体"/>
                <w:color w:val="auto"/>
                <w:szCs w:val="21"/>
                <w:highlight w:val="none"/>
              </w:rPr>
            </w:pPr>
            <w:r>
              <w:rPr>
                <w:rFonts w:hint="eastAsia" w:ascii="宋体" w:hAnsi="宋体"/>
                <w:color w:val="auto"/>
                <w:szCs w:val="21"/>
                <w:highlight w:val="none"/>
              </w:rPr>
              <w:t>4、交纳的安全生产风险金低于相应扣除标准的，全部扣除。</w:t>
            </w:r>
          </w:p>
        </w:tc>
      </w:tr>
    </w:tbl>
    <w:p w14:paraId="39D8D2CF">
      <w:pPr>
        <w:pStyle w:val="7"/>
        <w:ind w:left="63" w:right="63"/>
        <w:rPr>
          <w:color w:val="auto"/>
          <w:highlight w:val="none"/>
        </w:rPr>
      </w:pPr>
    </w:p>
    <w:p w14:paraId="74C5492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承包人安全施工条件不足，施工作业过程存在重大安全事故隐患，拒不整改或不按期整改的，发包人可以委托相应的单位进行事故隐患整改，所需费用从其安全生产履约保证金中扣除。</w:t>
      </w:r>
    </w:p>
    <w:p w14:paraId="4CEE43D4">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4</w:t>
      </w:r>
      <w:bookmarkStart w:id="99" w:name="_Toc296346663"/>
      <w:bookmarkStart w:id="100" w:name="_Toc296347161"/>
      <w:bookmarkStart w:id="101" w:name="_Toc296891202"/>
      <w:bookmarkStart w:id="102" w:name="_Toc297120462"/>
      <w:bookmarkStart w:id="103" w:name="_Toc292559871"/>
      <w:bookmarkStart w:id="104" w:name="_Toc267251413"/>
      <w:bookmarkStart w:id="105" w:name="_Toc292559366"/>
      <w:bookmarkStart w:id="106" w:name="_Toc296890990"/>
      <w:bookmarkStart w:id="107" w:name="_Toc296944501"/>
      <w:bookmarkStart w:id="108" w:name="_Toc297048348"/>
      <w:bookmarkStart w:id="109" w:name="_Toc296503162"/>
      <w:r>
        <w:rPr>
          <w:rFonts w:ascii="Times New Roman" w:hAnsi="Times New Roman" w:eastAsia="黑体"/>
          <w:b w:val="0"/>
          <w:color w:val="auto"/>
          <w:sz w:val="32"/>
          <w:szCs w:val="32"/>
          <w:highlight w:val="none"/>
        </w:rPr>
        <w:t>. 监</w:t>
      </w:r>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黑体"/>
          <w:b w:val="0"/>
          <w:color w:val="auto"/>
          <w:sz w:val="32"/>
          <w:szCs w:val="32"/>
          <w:highlight w:val="none"/>
        </w:rPr>
        <w:t>理人</w:t>
      </w:r>
      <w:bookmarkEnd w:id="98"/>
      <w:r>
        <w:rPr>
          <w:rFonts w:ascii="Times New Roman" w:hAnsi="Times New Roman" w:eastAsia="黑体"/>
          <w:b w:val="0"/>
          <w:color w:val="auto"/>
          <w:sz w:val="32"/>
          <w:szCs w:val="32"/>
          <w:highlight w:val="none"/>
        </w:rPr>
        <w:t>：</w:t>
      </w:r>
      <w:r>
        <w:rPr>
          <w:rFonts w:hint="eastAsia" w:ascii="Times New Roman" w:hAnsi="Times New Roman" w:eastAsia="黑体"/>
          <w:b w:val="0"/>
          <w:color w:val="auto"/>
          <w:sz w:val="32"/>
          <w:szCs w:val="32"/>
          <w:highlight w:val="none"/>
        </w:rPr>
        <w:t>/</w:t>
      </w:r>
    </w:p>
    <w:p w14:paraId="132B6B2D">
      <w:pPr>
        <w:pStyle w:val="5"/>
        <w:spacing w:before="120" w:after="120" w:line="360" w:lineRule="auto"/>
        <w:rPr>
          <w:rFonts w:ascii="Times New Roman" w:hAnsi="Times New Roman" w:eastAsia="黑体"/>
          <w:b w:val="0"/>
          <w:color w:val="auto"/>
          <w:sz w:val="32"/>
          <w:szCs w:val="32"/>
          <w:highlight w:val="none"/>
        </w:rPr>
      </w:pPr>
      <w:bookmarkStart w:id="110" w:name="_Toc267251418"/>
      <w:bookmarkStart w:id="111" w:name="_Toc351203637"/>
      <w:r>
        <w:rPr>
          <w:rFonts w:ascii="Times New Roman" w:hAnsi="Times New Roman" w:eastAsia="黑体"/>
          <w:b w:val="0"/>
          <w:color w:val="auto"/>
          <w:sz w:val="32"/>
          <w:szCs w:val="32"/>
          <w:highlight w:val="none"/>
        </w:rPr>
        <w:t>5</w:t>
      </w:r>
      <w:bookmarkEnd w:id="110"/>
      <w:bookmarkStart w:id="112" w:name="_Toc292559367"/>
      <w:bookmarkStart w:id="113" w:name="_Toc296944502"/>
      <w:bookmarkStart w:id="114" w:name="_Toc296503163"/>
      <w:bookmarkStart w:id="115" w:name="_Toc296890991"/>
      <w:bookmarkStart w:id="116" w:name="_Toc296346664"/>
      <w:bookmarkStart w:id="117" w:name="_Toc297120463"/>
      <w:bookmarkStart w:id="118" w:name="_Toc292559872"/>
      <w:bookmarkStart w:id="119" w:name="_Toc296891203"/>
      <w:bookmarkStart w:id="120" w:name="_Toc297048349"/>
      <w:bookmarkStart w:id="121" w:name="_Toc296347162"/>
      <w:r>
        <w:rPr>
          <w:rFonts w:ascii="Times New Roman" w:hAnsi="Times New Roman" w:eastAsia="黑体"/>
          <w:b w:val="0"/>
          <w:color w:val="auto"/>
          <w:sz w:val="32"/>
          <w:szCs w:val="32"/>
          <w:highlight w:val="none"/>
        </w:rPr>
        <w:t>. 工程质量</w:t>
      </w:r>
      <w:bookmarkEnd w:id="111"/>
    </w:p>
    <w:p w14:paraId="59D4147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5.1 质量要求</w:t>
      </w:r>
    </w:p>
    <w:p w14:paraId="3EBA8767">
      <w:pPr>
        <w:spacing w:line="360" w:lineRule="auto"/>
        <w:jc w:val="left"/>
        <w:rPr>
          <w:rFonts w:eastAsia="仿宋_GB2312"/>
          <w:color w:val="auto"/>
          <w:sz w:val="30"/>
          <w:szCs w:val="32"/>
          <w:highlight w:val="none"/>
        </w:rPr>
      </w:pPr>
      <w:r>
        <w:rPr>
          <w:rFonts w:eastAsia="仿宋_GB2312"/>
          <w:color w:val="auto"/>
          <w:sz w:val="30"/>
          <w:szCs w:val="32"/>
          <w:highlight w:val="none"/>
        </w:rPr>
        <w:t>5</w:t>
      </w:r>
      <w:bookmarkStart w:id="122" w:name="_Toc304295527"/>
      <w:bookmarkStart w:id="123" w:name="_Toc297216155"/>
      <w:bookmarkStart w:id="124" w:name="_Toc303539106"/>
      <w:bookmarkStart w:id="125" w:name="_Toc312677997"/>
      <w:bookmarkStart w:id="126" w:name="_Toc318581164"/>
      <w:bookmarkStart w:id="127" w:name="_Toc300934949"/>
      <w:bookmarkStart w:id="128" w:name="_Toc297123496"/>
      <w:r>
        <w:rPr>
          <w:rFonts w:eastAsia="仿宋_GB2312"/>
          <w:color w:val="auto"/>
          <w:sz w:val="30"/>
          <w:szCs w:val="32"/>
          <w:highlight w:val="none"/>
        </w:rPr>
        <w:t>.1.1 特殊质量标准和要求：</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由承包人与发包人另行协商</w:t>
      </w:r>
      <w:r>
        <w:rPr>
          <w:rFonts w:eastAsia="仿宋_GB2312"/>
          <w:color w:val="auto"/>
          <w:sz w:val="30"/>
          <w:szCs w:val="32"/>
          <w:highlight w:val="none"/>
          <w:u w:val="single"/>
        </w:rPr>
        <w:t xml:space="preserve">  </w:t>
      </w:r>
      <w:r>
        <w:rPr>
          <w:rFonts w:eastAsia="仿宋_GB2312"/>
          <w:color w:val="auto"/>
          <w:sz w:val="30"/>
          <w:szCs w:val="32"/>
          <w:highlight w:val="none"/>
        </w:rPr>
        <w:t>。</w:t>
      </w:r>
    </w:p>
    <w:p w14:paraId="59A031CB">
      <w:pPr>
        <w:spacing w:line="360" w:lineRule="auto"/>
        <w:jc w:val="left"/>
        <w:rPr>
          <w:rFonts w:eastAsia="黑体"/>
          <w:color w:val="auto"/>
          <w:sz w:val="30"/>
          <w:szCs w:val="32"/>
          <w:highlight w:val="none"/>
        </w:rPr>
      </w:pPr>
      <w:r>
        <w:rPr>
          <w:rFonts w:eastAsia="仿宋_GB2312"/>
          <w:color w:val="auto"/>
          <w:sz w:val="30"/>
          <w:szCs w:val="32"/>
          <w:highlight w:val="none"/>
        </w:rPr>
        <w:t>关于工程奖项的约定：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无</w:t>
      </w:r>
      <w:r>
        <w:rPr>
          <w:rFonts w:eastAsia="仿宋_GB2312"/>
          <w:color w:val="auto"/>
          <w:sz w:val="30"/>
          <w:szCs w:val="32"/>
          <w:highlight w:val="none"/>
          <w:u w:val="single"/>
        </w:rPr>
        <w:t xml:space="preserve">   </w:t>
      </w:r>
      <w:r>
        <w:rPr>
          <w:rFonts w:eastAsia="仿宋_GB2312"/>
          <w:color w:val="auto"/>
          <w:sz w:val="30"/>
          <w:szCs w:val="32"/>
          <w:highlight w:val="none"/>
        </w:rPr>
        <w:t>。</w:t>
      </w:r>
    </w:p>
    <w:p w14:paraId="798DCC2D">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5.3 隐蔽工程检查</w:t>
      </w:r>
    </w:p>
    <w:p w14:paraId="28B6B0E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5.3.2承包人提前通知监理人、</w:t>
      </w:r>
      <w:r>
        <w:rPr>
          <w:rFonts w:hint="eastAsia" w:eastAsia="仿宋_GB2312"/>
          <w:color w:val="auto"/>
          <w:sz w:val="30"/>
          <w:szCs w:val="32"/>
          <w:highlight w:val="none"/>
        </w:rPr>
        <w:t>发包人</w:t>
      </w:r>
      <w:r>
        <w:rPr>
          <w:rFonts w:eastAsia="仿宋_GB2312"/>
          <w:color w:val="auto"/>
          <w:sz w:val="30"/>
          <w:szCs w:val="32"/>
          <w:highlight w:val="none"/>
        </w:rPr>
        <w:t>隐蔽工程检查的期限的约定：</w:t>
      </w:r>
      <w:r>
        <w:rPr>
          <w:rFonts w:eastAsia="仿宋_GB2312"/>
          <w:color w:val="auto"/>
          <w:sz w:val="30"/>
          <w:szCs w:val="32"/>
          <w:highlight w:val="none"/>
          <w:u w:val="single"/>
        </w:rPr>
        <w:t>承包人应在</w:t>
      </w:r>
      <w:r>
        <w:rPr>
          <w:rFonts w:hint="eastAsia" w:eastAsia="仿宋_GB2312"/>
          <w:color w:val="auto"/>
          <w:sz w:val="30"/>
          <w:szCs w:val="32"/>
          <w:highlight w:val="none"/>
          <w:u w:val="single"/>
        </w:rPr>
        <w:t>共同</w:t>
      </w:r>
      <w:r>
        <w:rPr>
          <w:rFonts w:eastAsia="仿宋_GB2312"/>
          <w:color w:val="auto"/>
          <w:sz w:val="30"/>
          <w:szCs w:val="32"/>
          <w:highlight w:val="none"/>
          <w:u w:val="single"/>
        </w:rPr>
        <w:t>检查前</w:t>
      </w:r>
      <w:r>
        <w:rPr>
          <w:rFonts w:hint="eastAsia" w:eastAsia="仿宋_GB2312"/>
          <w:color w:val="auto"/>
          <w:sz w:val="30"/>
          <w:szCs w:val="32"/>
          <w:highlight w:val="none"/>
          <w:u w:val="single"/>
        </w:rPr>
        <w:t>48</w:t>
      </w:r>
      <w:r>
        <w:rPr>
          <w:rFonts w:eastAsia="仿宋_GB2312"/>
          <w:color w:val="auto"/>
          <w:sz w:val="30"/>
          <w:szCs w:val="32"/>
          <w:highlight w:val="none"/>
          <w:u w:val="single"/>
        </w:rPr>
        <w:t>小时书面通知</w:t>
      </w:r>
      <w:r>
        <w:rPr>
          <w:rFonts w:hint="eastAsia" w:eastAsia="仿宋_GB2312"/>
          <w:color w:val="auto"/>
          <w:sz w:val="30"/>
          <w:szCs w:val="32"/>
          <w:highlight w:val="none"/>
          <w:u w:val="single"/>
        </w:rPr>
        <w:t>监理人、发包人</w:t>
      </w:r>
      <w:r>
        <w:rPr>
          <w:rFonts w:eastAsia="仿宋_GB2312"/>
          <w:color w:val="auto"/>
          <w:sz w:val="30"/>
          <w:szCs w:val="32"/>
          <w:highlight w:val="none"/>
          <w:u w:val="single"/>
        </w:rPr>
        <w:t>检查，通知中应载明隐蔽检查的内容、时间和地点，并应附有自检记录和必要的检查资料</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7618B27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监理人</w:t>
      </w:r>
      <w:r>
        <w:rPr>
          <w:rFonts w:hint="eastAsia" w:eastAsia="仿宋_GB2312"/>
          <w:color w:val="auto"/>
          <w:sz w:val="30"/>
          <w:szCs w:val="32"/>
          <w:highlight w:val="none"/>
        </w:rPr>
        <w:t>或发包人</w:t>
      </w:r>
      <w:r>
        <w:rPr>
          <w:rFonts w:eastAsia="仿宋_GB2312"/>
          <w:color w:val="auto"/>
          <w:sz w:val="30"/>
          <w:szCs w:val="32"/>
          <w:highlight w:val="none"/>
        </w:rPr>
        <w:t>不能按时进行检查时，应提前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564F169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159DD795">
      <w:pPr>
        <w:pStyle w:val="5"/>
        <w:spacing w:before="120" w:after="120" w:line="360" w:lineRule="auto"/>
        <w:rPr>
          <w:rFonts w:ascii="Times New Roman" w:hAnsi="Times New Roman" w:eastAsia="黑体"/>
          <w:b w:val="0"/>
          <w:color w:val="auto"/>
          <w:sz w:val="32"/>
          <w:szCs w:val="32"/>
          <w:highlight w:val="none"/>
        </w:rPr>
      </w:pPr>
      <w:bookmarkStart w:id="129" w:name="_Toc351203638"/>
      <w:r>
        <w:rPr>
          <w:rFonts w:ascii="Times New Roman" w:hAnsi="Times New Roman" w:eastAsia="黑体"/>
          <w:b w:val="0"/>
          <w:color w:val="auto"/>
          <w:sz w:val="32"/>
          <w:szCs w:val="32"/>
          <w:highlight w:val="none"/>
        </w:rPr>
        <w:t>6. 安全文明施工与环境保护</w:t>
      </w:r>
      <w:bookmarkEnd w:id="129"/>
    </w:p>
    <w:p w14:paraId="6A93884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6.1安全文明施工</w:t>
      </w:r>
    </w:p>
    <w:p w14:paraId="1A1F3346">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6.1.1</w:t>
      </w:r>
      <w:r>
        <w:rPr>
          <w:rFonts w:eastAsia="仿宋_GB2312"/>
          <w:color w:val="auto"/>
          <w:sz w:val="30"/>
          <w:szCs w:val="32"/>
          <w:highlight w:val="none"/>
        </w:rPr>
        <w:t xml:space="preserve"> 项目安全生产的达标目标及相应事项的约定</w:t>
      </w:r>
      <w:r>
        <w:rPr>
          <w:rFonts w:hint="eastAsia" w:eastAsia="仿宋_GB2312"/>
          <w:color w:val="auto"/>
          <w:sz w:val="30"/>
          <w:szCs w:val="32"/>
          <w:highlight w:val="none"/>
        </w:rPr>
        <w:t>包括但不限于</w:t>
      </w:r>
      <w:r>
        <w:rPr>
          <w:rFonts w:eastAsia="仿宋_GB2312"/>
          <w:color w:val="auto"/>
          <w:sz w:val="30"/>
          <w:szCs w:val="32"/>
          <w:highlight w:val="none"/>
        </w:rPr>
        <w:t>：</w:t>
      </w:r>
      <w:r>
        <w:rPr>
          <w:rFonts w:hint="eastAsia" w:eastAsia="仿宋_GB2312"/>
          <w:color w:val="auto"/>
          <w:sz w:val="30"/>
          <w:szCs w:val="32"/>
          <w:highlight w:val="none"/>
          <w:u w:val="single"/>
        </w:rPr>
        <w:t>1、承包人应按照国家有关安全生产、文明施工、环境保护的法律、行政法规、部门规章，以及重庆市有关安全生产、文明施工、环境保护的地方法规、条例和规章，并遵照重庆市工程建设标准《建筑工程安全文明工地建设标准》（DBJ50/T-442-2023）的规定进行工程安全生产、文明施工和环境保护，遵守发包方安全生产方针、规章指令，杜绝发生重大安全事故；</w:t>
      </w:r>
    </w:p>
    <w:p w14:paraId="2BB8058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承包人应策划组织实施方案，建立施工项目的风险分级防控和隐患排查治理工作，杜绝发生亡人事故及重伤事故，轻伤事故率应控制在5‰以内，安全培训完成率100%，隐患整改完成率100%，无火灾事故，无疫情事故发生。承包人应以此建立安全目标责任体系，并组织责任体系的有效实施；</w:t>
      </w:r>
    </w:p>
    <w:p w14:paraId="0CFFBB5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对施工中的地上地下建筑物(构筑物)管线、电力设施、相关的生产等设施应按有关规定加强监控测量和保护，未经发包人许可不得动用生产相关的水、电、气、消防等设施，因保护不当造成的损失及法律责任由承包人承担赔偿由此造成的直接经济损失和违约责任；</w:t>
      </w:r>
    </w:p>
    <w:p w14:paraId="76E95D8B">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4、承包人应确保安全投入，不得挪用安全文明施工费用，建立安全文明施工费用台账，专款专用，接受发包方检查；</w:t>
      </w:r>
    </w:p>
    <w:p w14:paraId="14F9136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5、施工机械设备进场前，应做好清洁、保养和维护工作。进出车辆应有专人打扫、清洗。有密封要求的按规定必须达到；</w:t>
      </w:r>
    </w:p>
    <w:p w14:paraId="77183EBC">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6、做到进入现场的施工和作业人员统一着装，佩证上岗，文明施工；</w:t>
      </w:r>
    </w:p>
    <w:p w14:paraId="06337ED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7、承包人应配合发包方组织的安全、消防、职业健康、疫情防控等活动开展，发包人将不定期检查承包商HSE(健康、安全、环境)管理体系运行情况，承包人应安排专人配合进行，不得顶撞、殴打、谩骂检查人员，发现不符合规定的，除责令整改外，每次扣承包人违约金三千元；</w:t>
      </w:r>
    </w:p>
    <w:p w14:paraId="2D3C11E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8、现场施工污水排放必须达标并定点排放，造成环境污染的责任由承包人承担；</w:t>
      </w:r>
    </w:p>
    <w:p w14:paraId="389E2E06">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 xml:space="preserve">9、承包人知晓并承诺遵守发包人规章制度、安全注意事项。对于承包人在发包人场所范围内产生的人身损害、财产损失，双方责任划分按照事故调查结论予以认定；   </w:t>
      </w:r>
    </w:p>
    <w:p w14:paraId="12402E74">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10、</w:t>
      </w:r>
      <w:r>
        <w:rPr>
          <w:rFonts w:hint="eastAsia" w:eastAsia="仿宋_GB2312"/>
          <w:color w:val="auto"/>
          <w:sz w:val="30"/>
          <w:szCs w:val="32"/>
          <w:highlight w:val="none"/>
          <w:u w:val="single"/>
        </w:rPr>
        <w:t>承包人应参加发包人组织的入场安全培训，监督入场人员遵守培训规定，经考核合格后方可入场。承包人应建立项目安全培训制度，确保入场人员意识和技能符合岗位需要；</w:t>
      </w:r>
    </w:p>
    <w:p w14:paraId="2900DAC2">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承包人应建立对责任范围内的治安保卫制度，确保自身财产安全，施工期间，发包人对承包人的财产遗失、损毁不承担责任。应遵守发包人的治安管理制度，发现有违规行为的按照附件相关条款承担违约责任。 与其余承包商在同一区域内作业时应签订《交叉作业协议》；</w:t>
      </w:r>
    </w:p>
    <w:p w14:paraId="639F4FE3">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承包人在场内发生的安全、消防、环保事故，应在知道情况后30分钟内如实报送到发包方代表处，并立即开展事故救援和处置</w:t>
      </w:r>
      <w:r>
        <w:rPr>
          <w:rFonts w:eastAsia="仿宋_GB2312"/>
          <w:color w:val="auto"/>
          <w:sz w:val="30"/>
          <w:szCs w:val="32"/>
          <w:highlight w:val="none"/>
          <w:u w:val="single"/>
        </w:rPr>
        <w:t>；</w:t>
      </w:r>
    </w:p>
    <w:p w14:paraId="468E879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13、本工程施工过程中产生的建筑垃圾，承包人必须运送至经行政主管部门核准的合法消纳场（渣场） 进行倾倒，严禁擅自倾倒、抛撒或者堆放，严禁将建筑垃圾交由无资质单位或个人处置。若发现承包人存在未合法倾倒建筑垃圾行为，发包人将按每次处以50000元的罚款，罚款将从当期工程进度款中直接扣除。累计发生2次违规行为或单次违规造成恶劣影响的，发包人有权暂停支付工程进度款，直至承包人完成整改并提供合法证明为止；情节严重的，可以解除合同；</w:t>
      </w:r>
    </w:p>
    <w:p w14:paraId="1E97EB83">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14、因承包人未合法倾倒建筑垃圾导致的一切损失及责任，由承包人承担，包括但不限于：</w:t>
      </w:r>
    </w:p>
    <w:p w14:paraId="7E2DD75D">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（1）.行政主管部门对发包人及承包人的罚款、滞纳金；</w:t>
      </w:r>
    </w:p>
    <w:p w14:paraId="2BD2857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（2）.因违规倾倒造成的环境污染、第三方财产损失或人身损害的赔偿款；</w:t>
      </w:r>
    </w:p>
    <w:p w14:paraId="1EEBF513">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（3）.发包人因处理违规事宜支出的律师费、诉讼费、鉴定费等维权费用；</w:t>
      </w:r>
    </w:p>
    <w:p w14:paraId="6A796AAB">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（4）.其他因承包人未合法倾倒建筑垃圾导致的一切费用。</w:t>
      </w:r>
    </w:p>
    <w:p w14:paraId="6CDD21DB">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w:t>
      </w:r>
      <w:r>
        <w:rPr>
          <w:rFonts w:hint="eastAsia" w:eastAsia="仿宋_GB2312"/>
          <w:color w:val="auto"/>
          <w:sz w:val="30"/>
          <w:szCs w:val="32"/>
          <w:highlight w:val="none"/>
          <w:u w:val="single"/>
        </w:rPr>
        <w:t>5</w:t>
      </w:r>
      <w:r>
        <w:rPr>
          <w:rFonts w:eastAsia="仿宋_GB2312"/>
          <w:color w:val="auto"/>
          <w:sz w:val="30"/>
          <w:szCs w:val="32"/>
          <w:highlight w:val="none"/>
          <w:u w:val="single"/>
        </w:rPr>
        <w:t>、</w:t>
      </w:r>
      <w:r>
        <w:rPr>
          <w:rFonts w:hint="eastAsia" w:eastAsia="仿宋_GB2312"/>
          <w:color w:val="auto"/>
          <w:sz w:val="30"/>
          <w:szCs w:val="32"/>
          <w:highlight w:val="none"/>
          <w:u w:val="single"/>
        </w:rPr>
        <w:t>安全文明施工的相应条款及违约处理见本合同附件《安全环保协议》</w:t>
      </w:r>
      <w:r>
        <w:rPr>
          <w:rFonts w:eastAsia="仿宋_GB2312"/>
          <w:color w:val="auto"/>
          <w:sz w:val="30"/>
          <w:szCs w:val="32"/>
          <w:highlight w:val="none"/>
          <w:u w:val="single"/>
        </w:rPr>
        <w:t>。</w:t>
      </w:r>
    </w:p>
    <w:p w14:paraId="3EEEAABA">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6.1.4 关于治安保卫的特别约定：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现场治安管理机构或联防组织的组建由承包人负责</w:t>
      </w:r>
      <w:r>
        <w:rPr>
          <w:rFonts w:eastAsia="仿宋_GB2312"/>
          <w:color w:val="auto"/>
          <w:sz w:val="30"/>
          <w:szCs w:val="32"/>
          <w:highlight w:val="none"/>
          <w:u w:val="single"/>
        </w:rPr>
        <w:t xml:space="preserve">  </w:t>
      </w:r>
      <w:r>
        <w:rPr>
          <w:rFonts w:eastAsia="仿宋_GB2312"/>
          <w:color w:val="auto"/>
          <w:sz w:val="30"/>
          <w:szCs w:val="32"/>
          <w:highlight w:val="none"/>
        </w:rPr>
        <w:t>。</w:t>
      </w:r>
    </w:p>
    <w:p w14:paraId="39FBC37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关于编制施工场地治安管理计划的约定：</w:t>
      </w:r>
      <w:r>
        <w:rPr>
          <w:rFonts w:hint="eastAsia" w:eastAsia="仿宋_GB2312"/>
          <w:color w:val="auto"/>
          <w:sz w:val="30"/>
          <w:szCs w:val="32"/>
          <w:highlight w:val="none"/>
          <w:u w:val="single"/>
        </w:rPr>
        <w:t>由承包人编制，并由承包人承担施工安全保卫工作及非夜间施工照明安全保卫工作</w:t>
      </w:r>
      <w:r>
        <w:rPr>
          <w:rFonts w:eastAsia="仿宋_GB2312"/>
          <w:color w:val="auto"/>
          <w:sz w:val="30"/>
          <w:szCs w:val="32"/>
          <w:highlight w:val="none"/>
          <w:u w:val="single"/>
        </w:rPr>
        <w:t xml:space="preserve">   </w:t>
      </w:r>
      <w:r>
        <w:rPr>
          <w:rFonts w:eastAsia="仿宋_GB2312"/>
          <w:color w:val="auto"/>
          <w:sz w:val="30"/>
          <w:szCs w:val="32"/>
          <w:highlight w:val="none"/>
        </w:rPr>
        <w:t>。</w:t>
      </w:r>
    </w:p>
    <w:p w14:paraId="07E175A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6.1.5 文明施工</w:t>
      </w:r>
    </w:p>
    <w:p w14:paraId="1A6ADBDE">
      <w:pPr>
        <w:ind w:firstLine="576" w:firstLineChars="192"/>
        <w:rPr>
          <w:rFonts w:eastAsia="仿宋_GB2312"/>
          <w:color w:val="auto"/>
          <w:sz w:val="30"/>
          <w:szCs w:val="32"/>
          <w:highlight w:val="none"/>
          <w:u w:val="single"/>
        </w:rPr>
      </w:pPr>
      <w:r>
        <w:rPr>
          <w:rFonts w:hint="eastAsia" w:eastAsia="仿宋_GB2312"/>
          <w:color w:val="auto"/>
          <w:sz w:val="30"/>
          <w:szCs w:val="32"/>
          <w:highlight w:val="none"/>
        </w:rPr>
        <w:t>合同当事人对文明施工的要求：</w:t>
      </w:r>
    </w:p>
    <w:p w14:paraId="2D8CA968">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工程施工现场必须设置施工围挡,承包人应在施工现场周边设置不低于2米的封闭围挡，施工围挡应当采用彩钢硬质材料制作，并且统一、牢固、整洁、美观，不得无施工围挡作业。在转弯及十字路口的施工围挡应满足交通的通视要求。</w:t>
      </w:r>
    </w:p>
    <w:p w14:paraId="4A6E79BD">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承包人应在施工现场主要出入口或起止点、主要施工活动点设置门头标志。出入口宽度一般不超过5米，地面实行硬覆盖，硬覆盖宽度与出入口一致。</w:t>
      </w:r>
    </w:p>
    <w:p w14:paraId="5BFFF08C">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施工单位必须在施工现场主要施工活动点设置“六牌一图”。具体包括工程概况牌、管理人员名单及监督电话牌、消防保卫牌、安全生产牌、文明施工牌、安全生产重点防护内容牌及施工现场总平面图。</w:t>
      </w:r>
    </w:p>
    <w:p w14:paraId="698BC469">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施工现场办公室、食堂、厕所、浴室以及其它临时建筑应符合安全、消防、卫生的有关规定；禁止用钢管、三合板、毛竹等搭设简易工棚。生活垃圾应集中存放，按时清理，不得混入渣土或建筑垃圾。</w:t>
      </w:r>
    </w:p>
    <w:p w14:paraId="1DD110AA">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工程施工应尽量减少对周边环境的影响。施工现场应做到：①采取防止扬尘的措施，地面局部清扫时应采用洒水作业，在风速六级及以上天气时，承包人不得进行土方回填及土方施工作业；施工机械车辆进场前，应做好清洁、保养和维护工作。进出车辆应有专人打扫、清洗。有密封要求的按规定必须达到；施工临时排水应确保施工场地和周边无积水，并采取措施确保不向路面和通道排放；施工现场应设置排水沟、沉淀池，施工污水经沉淀后方可排入市政污水管网或河流。②按照现行国家标准《建筑施工场界噪声限值及其测量方法》(GB 12523-12524)制定降噪措施。在规定的作业时间和范围内，合理安排作业内容，使用低噪声的施工机械设备，采用隔音措施，使施工产生的噪声符合上述国家标准要求。确需夜间施工的，须经有关管理部门批准。  </w:t>
      </w:r>
    </w:p>
    <w:p w14:paraId="5930A71A">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施工范围内的沟井坎坑及孔洞，必须设置防护栏杆和安全警示标志，夜间必须红灯示警。</w:t>
      </w:r>
    </w:p>
    <w:p w14:paraId="10DD31A7">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施工现场内建筑材料、构件、料具应按总平面布局堆放，材料应悬挂名称、品种规格等内容标牌，并堆放整齐 </w:t>
      </w:r>
      <w:r>
        <w:rPr>
          <w:rFonts w:hint="eastAsia" w:eastAsia="仿宋_GB2312"/>
          <w:color w:val="auto"/>
          <w:sz w:val="30"/>
          <w:szCs w:val="32"/>
          <w:highlight w:val="none"/>
        </w:rPr>
        <w:t>。</w:t>
      </w:r>
    </w:p>
    <w:bookmarkEnd w:id="122"/>
    <w:bookmarkEnd w:id="123"/>
    <w:bookmarkEnd w:id="124"/>
    <w:bookmarkEnd w:id="125"/>
    <w:bookmarkEnd w:id="126"/>
    <w:bookmarkEnd w:id="127"/>
    <w:bookmarkEnd w:id="128"/>
    <w:p w14:paraId="28EBE354">
      <w:pPr>
        <w:pStyle w:val="5"/>
        <w:spacing w:before="120" w:after="120" w:line="360" w:lineRule="auto"/>
        <w:rPr>
          <w:rFonts w:ascii="Times New Roman" w:hAnsi="Times New Roman" w:eastAsia="黑体"/>
          <w:b w:val="0"/>
          <w:color w:val="auto"/>
          <w:sz w:val="32"/>
          <w:szCs w:val="32"/>
          <w:highlight w:val="none"/>
        </w:rPr>
      </w:pPr>
      <w:bookmarkStart w:id="130" w:name="_Toc351203639"/>
      <w:r>
        <w:rPr>
          <w:rFonts w:ascii="Times New Roman" w:hAnsi="Times New Roman" w:eastAsia="黑体"/>
          <w:b w:val="0"/>
          <w:color w:val="auto"/>
          <w:sz w:val="32"/>
          <w:szCs w:val="32"/>
          <w:highlight w:val="none"/>
        </w:rPr>
        <w:t>7. 工期和进度</w:t>
      </w:r>
      <w:bookmarkEnd w:id="130"/>
    </w:p>
    <w:p w14:paraId="38EC75E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7.1 施工组织设计</w:t>
      </w:r>
    </w:p>
    <w:p w14:paraId="2A963535">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7.1.2</w:t>
      </w:r>
      <w:r>
        <w:rPr>
          <w:rFonts w:eastAsia="仿宋_GB2312"/>
          <w:color w:val="auto"/>
          <w:sz w:val="30"/>
          <w:szCs w:val="32"/>
          <w:highlight w:val="none"/>
        </w:rPr>
        <w:t xml:space="preserve"> </w:t>
      </w:r>
      <w:r>
        <w:rPr>
          <w:rFonts w:eastAsia="仿宋_GB2312"/>
          <w:color w:val="auto"/>
          <w:kern w:val="0"/>
          <w:sz w:val="30"/>
          <w:szCs w:val="32"/>
          <w:highlight w:val="none"/>
        </w:rPr>
        <w:t>施工组织设计的提交和修改</w:t>
      </w:r>
    </w:p>
    <w:p w14:paraId="61F25AFD">
      <w:pPr>
        <w:autoSpaceDE w:val="0"/>
        <w:autoSpaceDN w:val="0"/>
        <w:adjustRightInd w:val="0"/>
        <w:spacing w:line="360" w:lineRule="auto"/>
        <w:jc w:val="left"/>
        <w:rPr>
          <w:rFonts w:eastAsia="仿宋_GB2312"/>
          <w:color w:val="auto"/>
          <w:sz w:val="30"/>
          <w:szCs w:val="32"/>
          <w:highlight w:val="none"/>
        </w:rPr>
      </w:pPr>
      <w:r>
        <w:rPr>
          <w:rFonts w:eastAsia="仿宋_GB2312"/>
          <w:color w:val="auto"/>
          <w:kern w:val="0"/>
          <w:sz w:val="30"/>
          <w:szCs w:val="32"/>
          <w:highlight w:val="none"/>
        </w:rPr>
        <w:t>承包人提交详细施工组织设计的期限的约定：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开工前7天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30930F7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w:t>
      </w:r>
      <w:r>
        <w:rPr>
          <w:rFonts w:hint="eastAsia" w:eastAsia="仿宋_GB2312"/>
          <w:color w:val="auto"/>
          <w:sz w:val="30"/>
          <w:szCs w:val="32"/>
          <w:highlight w:val="none"/>
        </w:rPr>
        <w:t>详细的施工组织设计</w:t>
      </w:r>
      <w:r>
        <w:rPr>
          <w:rFonts w:eastAsia="仿宋_GB2312"/>
          <w:color w:val="auto"/>
          <w:sz w:val="30"/>
          <w:szCs w:val="32"/>
          <w:highlight w:val="none"/>
        </w:rPr>
        <w:t>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 xml:space="preserve">天 </w:t>
      </w:r>
      <w:r>
        <w:rPr>
          <w:rFonts w:eastAsia="仿宋_GB2312"/>
          <w:color w:val="auto"/>
          <w:sz w:val="30"/>
          <w:szCs w:val="32"/>
          <w:highlight w:val="none"/>
        </w:rPr>
        <w:t>。</w:t>
      </w:r>
    </w:p>
    <w:p w14:paraId="4ADB5F8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131" w:name="_Toc300934966"/>
      <w:bookmarkStart w:id="132" w:name="_Toc312678005"/>
      <w:bookmarkStart w:id="133" w:name="_Toc312677479"/>
      <w:bookmarkStart w:id="134" w:name="_Toc303539123"/>
      <w:bookmarkStart w:id="135" w:name="_Toc304295541"/>
      <w:bookmarkStart w:id="136" w:name="_Toc297123514"/>
      <w:bookmarkStart w:id="137" w:name="_Toc297216173"/>
      <w:r>
        <w:rPr>
          <w:rFonts w:eastAsia="黑体"/>
          <w:color w:val="auto"/>
          <w:sz w:val="30"/>
          <w:szCs w:val="32"/>
          <w:highlight w:val="none"/>
        </w:rPr>
        <w:t>.2 施工进度计划</w:t>
      </w:r>
    </w:p>
    <w:p w14:paraId="2BC3012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7.2.2 施工进度计划的修订</w:t>
      </w:r>
    </w:p>
    <w:p w14:paraId="53542E9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发包人和监理人在收到修订的施工进度计划后确认或提出修改意见的期限：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39C70E8D">
      <w:pPr>
        <w:spacing w:line="360" w:lineRule="auto"/>
        <w:ind w:firstLine="600" w:firstLineChars="200"/>
        <w:rPr>
          <w:rFonts w:ascii="宋体" w:hAnsi="宋体"/>
          <w:color w:val="auto"/>
          <w:szCs w:val="21"/>
          <w:highlight w:val="none"/>
        </w:rPr>
      </w:pPr>
      <w:r>
        <w:rPr>
          <w:rFonts w:eastAsia="仿宋_GB2312"/>
          <w:color w:val="auto"/>
          <w:sz w:val="30"/>
          <w:szCs w:val="32"/>
          <w:highlight w:val="none"/>
        </w:rPr>
        <w:t>7.2.3</w:t>
      </w:r>
      <w:r>
        <w:rPr>
          <w:rFonts w:hint="eastAsia" w:eastAsia="仿宋_GB2312"/>
          <w:color w:val="auto"/>
          <w:sz w:val="30"/>
          <w:szCs w:val="32"/>
          <w:highlight w:val="none"/>
        </w:rPr>
        <w:t>关于进度的其他约定：</w:t>
      </w:r>
    </w:p>
    <w:p w14:paraId="358B613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1、承包人应加强计划管理，严格按照发包人确认的工程进度计划组织施工，并接受发包人对工程进度的检查、监督</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056AEFB2">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为便于发包人掌握和控制工期，承包人应于每月20日前向发包人填报工程的当月进度计划完成情况(未完成计划的必须说明原因)，并在此基础上更新工程进度计划、资金计划和其他工作计划。发包人在接到报告后应当予以确认或提出书面意见，承包人必须按照发包人的确认或者书面意见执行</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6B729BD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3、发包人对工程进度计划的确认不免除承包人应承担的工期延误责任。</w:t>
      </w:r>
    </w:p>
    <w:p w14:paraId="5F71CDFC">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工程实际进度与经工程师确认的进度计划或者更新进度计划不符时，发包人认为本工程或其中任何部分工程进度滞后而不能按预定工期完工，若其主要责任在承包人，则发包人有权要求承包人据此编制修改工程进度计划或单方面中止该施工合同，且承包人无权要求发包人支付任何附加费用。如承包人未能在工程师发布指令后3天内采取有效措施，工程进度仍然无明显改进，发包人有权解除部分或全部合同，将未完工程另行发包给其他有能力的第三方，承包人需配合出场，并承担合同金额10%的违约金。</w:t>
      </w:r>
    </w:p>
    <w:p w14:paraId="5B7AD00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7.3 开工</w:t>
      </w:r>
    </w:p>
    <w:p w14:paraId="6E4DD95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7.3.2开工通知</w:t>
      </w:r>
    </w:p>
    <w:p w14:paraId="5C49D72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因发包人原因造成监理人未能在计划开工日期之日起</w:t>
      </w:r>
      <w:r>
        <w:rPr>
          <w:rFonts w:eastAsia="仿宋_GB2312"/>
          <w:color w:val="auto"/>
          <w:sz w:val="30"/>
          <w:szCs w:val="32"/>
          <w:highlight w:val="none"/>
          <w:u w:val="single"/>
        </w:rPr>
        <w:t xml:space="preserve"> 180 </w:t>
      </w:r>
      <w:r>
        <w:rPr>
          <w:rFonts w:eastAsia="仿宋_GB2312"/>
          <w:color w:val="auto"/>
          <w:sz w:val="30"/>
          <w:szCs w:val="32"/>
          <w:highlight w:val="none"/>
        </w:rPr>
        <w:t>天内发出开工通知的，承包人有权提出价格调整要求，或者解除合同。</w:t>
      </w:r>
    </w:p>
    <w:bookmarkEnd w:id="131"/>
    <w:bookmarkEnd w:id="132"/>
    <w:bookmarkEnd w:id="133"/>
    <w:bookmarkEnd w:id="134"/>
    <w:bookmarkEnd w:id="135"/>
    <w:bookmarkEnd w:id="136"/>
    <w:bookmarkEnd w:id="137"/>
    <w:p w14:paraId="71EC030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7.4 测量放线</w:t>
      </w:r>
    </w:p>
    <w:p w14:paraId="30BB9FD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7.4.3</w:t>
      </w:r>
      <w:r>
        <w:rPr>
          <w:rFonts w:hint="eastAsia" w:eastAsia="仿宋_GB2312"/>
          <w:color w:val="auto"/>
          <w:sz w:val="30"/>
          <w:szCs w:val="32"/>
          <w:highlight w:val="none"/>
        </w:rPr>
        <w:t>承包人在进场施工时应向发包人发出书面要求，要求发包人提供</w:t>
      </w:r>
      <w:r>
        <w:rPr>
          <w:rFonts w:eastAsia="仿宋_GB2312"/>
          <w:color w:val="auto"/>
          <w:sz w:val="30"/>
          <w:szCs w:val="32"/>
          <w:highlight w:val="none"/>
        </w:rPr>
        <w:t>测量基准点、基准线和水准点及其书面资料</w:t>
      </w:r>
      <w:r>
        <w:rPr>
          <w:rFonts w:hint="eastAsia" w:eastAsia="仿宋_GB2312"/>
          <w:color w:val="auto"/>
          <w:sz w:val="30"/>
          <w:szCs w:val="32"/>
          <w:highlight w:val="none"/>
        </w:rPr>
        <w:t>，承包人应进行复核，如存在错误或疏漏，应及时通知发包人</w:t>
      </w:r>
      <w:r>
        <w:rPr>
          <w:rFonts w:eastAsia="仿宋_GB2312"/>
          <w:color w:val="auto"/>
          <w:sz w:val="30"/>
          <w:szCs w:val="32"/>
          <w:highlight w:val="none"/>
        </w:rPr>
        <w:t>予以核实</w:t>
      </w:r>
      <w:r>
        <w:rPr>
          <w:rFonts w:hint="eastAsia" w:eastAsia="仿宋_GB2312"/>
          <w:color w:val="auto"/>
          <w:sz w:val="30"/>
          <w:szCs w:val="32"/>
          <w:highlight w:val="none"/>
        </w:rPr>
        <w:t>。</w:t>
      </w:r>
      <w:r>
        <w:rPr>
          <w:rFonts w:eastAsia="仿宋_GB2312"/>
          <w:color w:val="auto"/>
          <w:sz w:val="30"/>
          <w:szCs w:val="32"/>
          <w:highlight w:val="none"/>
        </w:rPr>
        <w:t>发包人应就如何处理和是否继续施工作出决定，并通知承包人。</w:t>
      </w:r>
      <w:r>
        <w:rPr>
          <w:rFonts w:hint="eastAsia" w:eastAsia="仿宋_GB2312"/>
          <w:color w:val="auto"/>
          <w:sz w:val="30"/>
          <w:szCs w:val="32"/>
          <w:highlight w:val="none"/>
        </w:rPr>
        <w:t>如承包人未向发包人发出书面要求便进行施工，由于缺少以上资料所造成的工期延误、费用损失（包括对发包人造成的直接、间接损失）由承包人承担</w:t>
      </w:r>
      <w:r>
        <w:rPr>
          <w:rFonts w:eastAsia="仿宋_GB2312"/>
          <w:color w:val="auto"/>
          <w:sz w:val="30"/>
          <w:szCs w:val="32"/>
          <w:highlight w:val="none"/>
        </w:rPr>
        <w:t>。</w:t>
      </w:r>
      <w:r>
        <w:rPr>
          <w:rFonts w:hint="eastAsia" w:eastAsia="仿宋_GB2312"/>
          <w:color w:val="auto"/>
          <w:sz w:val="30"/>
          <w:szCs w:val="32"/>
          <w:highlight w:val="none"/>
        </w:rPr>
        <w:t>如因发包人提供的上述资料错误或疏漏，而承包人未及时发现，则由此造成的损失由承包人承担。</w:t>
      </w:r>
    </w:p>
    <w:p w14:paraId="232CA98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138" w:name="_Toc304295546"/>
      <w:bookmarkStart w:id="139" w:name="_Toc303539125"/>
      <w:bookmarkStart w:id="140" w:name="_Toc312677484"/>
      <w:bookmarkStart w:id="141" w:name="_Toc297123516"/>
      <w:bookmarkStart w:id="142" w:name="_Toc312678010"/>
      <w:bookmarkStart w:id="143" w:name="_Toc300934968"/>
      <w:bookmarkStart w:id="144" w:name="_Toc297216175"/>
      <w:r>
        <w:rPr>
          <w:rFonts w:eastAsia="黑体"/>
          <w:color w:val="auto"/>
          <w:sz w:val="30"/>
          <w:szCs w:val="32"/>
          <w:highlight w:val="none"/>
        </w:rPr>
        <w:t>.5 工期延误</w:t>
      </w:r>
    </w:p>
    <w:bookmarkEnd w:id="138"/>
    <w:bookmarkEnd w:id="139"/>
    <w:bookmarkEnd w:id="140"/>
    <w:bookmarkEnd w:id="141"/>
    <w:bookmarkEnd w:id="142"/>
    <w:bookmarkEnd w:id="143"/>
    <w:bookmarkEnd w:id="144"/>
    <w:p w14:paraId="5789680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7.5.1</w:t>
      </w:r>
      <w:r>
        <w:rPr>
          <w:rFonts w:hint="eastAsia" w:eastAsia="仿宋_GB2312"/>
          <w:color w:val="auto"/>
          <w:sz w:val="30"/>
          <w:szCs w:val="32"/>
          <w:highlight w:val="none"/>
        </w:rPr>
        <w:t>因发包人原因导致工期延误的，工期相应顺延，但承包人不得就因此导致的管理成本、占用临时设施、周转材料、施工机械等任何成本增加的问题向发包人提出任何形式的索赔。</w:t>
      </w:r>
    </w:p>
    <w:p w14:paraId="1EA4FFB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w:t>
      </w:r>
      <w:bookmarkStart w:id="145" w:name="_Toc318581169"/>
      <w:bookmarkStart w:id="146" w:name="_Toc312677486"/>
      <w:bookmarkStart w:id="147" w:name="_Toc312678012"/>
      <w:bookmarkStart w:id="148" w:name="_Toc300934970"/>
      <w:bookmarkStart w:id="149" w:name="_Toc304295548"/>
      <w:bookmarkStart w:id="150" w:name="_Toc303539127"/>
      <w:bookmarkStart w:id="151" w:name="_Toc297123518"/>
      <w:bookmarkStart w:id="152" w:name="_Toc297216177"/>
      <w:r>
        <w:rPr>
          <w:rFonts w:eastAsia="仿宋_GB2312"/>
          <w:color w:val="auto"/>
          <w:sz w:val="30"/>
          <w:szCs w:val="32"/>
          <w:highlight w:val="none"/>
        </w:rPr>
        <w:t>.5.2 因承包人原因导致工期延误</w:t>
      </w:r>
    </w:p>
    <w:bookmarkEnd w:id="145"/>
    <w:bookmarkEnd w:id="146"/>
    <w:bookmarkEnd w:id="147"/>
    <w:p w14:paraId="299FE65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w:t>
      </w:r>
      <w:bookmarkStart w:id="153" w:name="_Toc312678013"/>
      <w:bookmarkStart w:id="154" w:name="_Toc312677487"/>
      <w:bookmarkStart w:id="155" w:name="_Toc318581170"/>
      <w:r>
        <w:rPr>
          <w:rFonts w:eastAsia="仿宋_GB2312"/>
          <w:color w:val="auto"/>
          <w:sz w:val="30"/>
          <w:szCs w:val="32"/>
          <w:highlight w:val="none"/>
        </w:rPr>
        <w:t>承包人原因造成工期延误，逾期竣工违约金的计算方法为：</w:t>
      </w:r>
      <w:bookmarkEnd w:id="148"/>
      <w:bookmarkEnd w:id="149"/>
      <w:bookmarkEnd w:id="150"/>
      <w:bookmarkEnd w:id="151"/>
      <w:bookmarkEnd w:id="152"/>
      <w:bookmarkEnd w:id="153"/>
      <w:bookmarkEnd w:id="154"/>
      <w:r>
        <w:rPr>
          <w:rFonts w:hint="eastAsia" w:eastAsia="仿宋_GB2312"/>
          <w:color w:val="auto"/>
          <w:sz w:val="30"/>
          <w:szCs w:val="32"/>
          <w:highlight w:val="none"/>
          <w:u w:val="single"/>
        </w:rPr>
        <w:t>每日历天赔付额度为：1</w:t>
      </w:r>
      <w:r>
        <w:rPr>
          <w:rFonts w:eastAsia="仿宋_GB2312"/>
          <w:color w:val="auto"/>
          <w:sz w:val="30"/>
          <w:szCs w:val="32"/>
          <w:highlight w:val="none"/>
          <w:u w:val="single"/>
        </w:rPr>
        <w:t>000</w:t>
      </w:r>
      <w:r>
        <w:rPr>
          <w:rFonts w:hint="eastAsia" w:eastAsia="仿宋_GB2312"/>
          <w:color w:val="auto"/>
          <w:sz w:val="30"/>
          <w:szCs w:val="32"/>
          <w:highlight w:val="none"/>
          <w:u w:val="single"/>
        </w:rPr>
        <w:t>元</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逾期竣工30天发包人有权单方解除合同，不承担违约责任。承包人应于发包人解除合同之日起5日内向发包人支付逾期竣工违约金。逾期支付，承包人应额外向发包人支付未付违约金金额0.5‰/天的逾期违约金直至完全支付时</w:t>
      </w:r>
      <w:r>
        <w:rPr>
          <w:rFonts w:hint="eastAsia" w:eastAsia="仿宋_GB2312"/>
          <w:color w:val="auto"/>
          <w:sz w:val="30"/>
          <w:szCs w:val="32"/>
          <w:highlight w:val="none"/>
        </w:rPr>
        <w:t>。</w:t>
      </w:r>
    </w:p>
    <w:p w14:paraId="1C68FD51">
      <w:pPr>
        <w:pStyle w:val="7"/>
        <w:ind w:left="63" w:right="63" w:firstLine="600" w:firstLineChars="200"/>
        <w:rPr>
          <w:color w:val="auto"/>
          <w:highlight w:val="none"/>
        </w:rPr>
      </w:pPr>
      <w:r>
        <w:rPr>
          <w:rFonts w:eastAsia="仿宋_GB2312"/>
          <w:color w:val="auto"/>
          <w:sz w:val="30"/>
          <w:szCs w:val="32"/>
          <w:highlight w:val="none"/>
        </w:rPr>
        <w:t>因承包人原因造成</w:t>
      </w:r>
      <w:r>
        <w:rPr>
          <w:rFonts w:hint="eastAsia" w:eastAsia="仿宋_GB2312"/>
          <w:color w:val="auto"/>
          <w:sz w:val="30"/>
          <w:szCs w:val="32"/>
          <w:highlight w:val="none"/>
        </w:rPr>
        <w:t>节点</w:t>
      </w:r>
      <w:r>
        <w:rPr>
          <w:rFonts w:eastAsia="仿宋_GB2312"/>
          <w:color w:val="auto"/>
          <w:sz w:val="30"/>
          <w:szCs w:val="32"/>
          <w:highlight w:val="none"/>
        </w:rPr>
        <w:t>工期延误，</w:t>
      </w:r>
      <w:r>
        <w:rPr>
          <w:rFonts w:hint="eastAsia" w:eastAsia="仿宋_GB2312"/>
          <w:color w:val="auto"/>
          <w:sz w:val="30"/>
          <w:szCs w:val="32"/>
          <w:highlight w:val="none"/>
        </w:rPr>
        <w:t>单个节点工期</w:t>
      </w:r>
      <w:r>
        <w:rPr>
          <w:rFonts w:eastAsia="仿宋_GB2312"/>
          <w:color w:val="auto"/>
          <w:sz w:val="30"/>
          <w:szCs w:val="32"/>
          <w:highlight w:val="none"/>
        </w:rPr>
        <w:t>逾期违约金的计算方法为：</w:t>
      </w:r>
      <w:r>
        <w:rPr>
          <w:rFonts w:hint="eastAsia" w:eastAsia="仿宋_GB2312"/>
          <w:color w:val="auto"/>
          <w:sz w:val="30"/>
          <w:szCs w:val="32"/>
          <w:highlight w:val="none"/>
          <w:u w:val="single"/>
        </w:rPr>
        <w:t>每日历天赔付额度为：1</w:t>
      </w:r>
      <w:r>
        <w:rPr>
          <w:rFonts w:eastAsia="仿宋_GB2312"/>
          <w:color w:val="auto"/>
          <w:sz w:val="30"/>
          <w:szCs w:val="32"/>
          <w:highlight w:val="none"/>
          <w:u w:val="single"/>
        </w:rPr>
        <w:t>000</w:t>
      </w:r>
      <w:r>
        <w:rPr>
          <w:rFonts w:hint="eastAsia" w:eastAsia="仿宋_GB2312"/>
          <w:color w:val="auto"/>
          <w:sz w:val="30"/>
          <w:szCs w:val="32"/>
          <w:highlight w:val="none"/>
          <w:u w:val="single"/>
        </w:rPr>
        <w:t>元。节点工期逾期10天发包人有权单方解除合同，不承担违约责任。承包人应于发包人解除合同之日起5日内向发包人支付节点工期逾期违约金。逾期支付，承包人应额外向发包人支付未付违约金金额0.5‰/天的逾期违约金直至完全支付时。</w:t>
      </w:r>
    </w:p>
    <w:bookmarkEnd w:id="155"/>
    <w:p w14:paraId="2F05B03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因承包人原因造成工期延误（</w:t>
      </w:r>
      <w:r>
        <w:rPr>
          <w:rFonts w:hint="eastAsia" w:eastAsia="仿宋_GB2312"/>
          <w:color w:val="auto"/>
          <w:sz w:val="30"/>
          <w:szCs w:val="32"/>
          <w:highlight w:val="none"/>
        </w:rPr>
        <w:t>包含节点工期延误）</w:t>
      </w:r>
      <w:r>
        <w:rPr>
          <w:rFonts w:eastAsia="仿宋_GB2312"/>
          <w:color w:val="auto"/>
          <w:sz w:val="30"/>
          <w:szCs w:val="32"/>
          <w:highlight w:val="none"/>
        </w:rPr>
        <w:t>，逾</w:t>
      </w:r>
      <w:bookmarkStart w:id="156" w:name="_Toc318581171"/>
      <w:bookmarkStart w:id="157" w:name="_Toc312678014"/>
      <w:r>
        <w:rPr>
          <w:rFonts w:eastAsia="仿宋_GB2312"/>
          <w:color w:val="auto"/>
          <w:sz w:val="30"/>
          <w:szCs w:val="32"/>
          <w:highlight w:val="none"/>
        </w:rPr>
        <w:t>期竣工（</w:t>
      </w:r>
      <w:r>
        <w:rPr>
          <w:rFonts w:hint="eastAsia" w:eastAsia="仿宋_GB2312"/>
          <w:color w:val="auto"/>
          <w:sz w:val="30"/>
          <w:szCs w:val="32"/>
          <w:highlight w:val="none"/>
        </w:rPr>
        <w:t>包含节点工期延误）</w:t>
      </w:r>
      <w:r>
        <w:rPr>
          <w:rFonts w:eastAsia="仿宋_GB2312"/>
          <w:color w:val="auto"/>
          <w:sz w:val="30"/>
          <w:szCs w:val="32"/>
          <w:highlight w:val="none"/>
        </w:rPr>
        <w:t>违约金的上限：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合同总价20%</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156"/>
    <w:bookmarkEnd w:id="157"/>
    <w:p w14:paraId="0B2C8AA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158" w:name="_Toc297123519"/>
      <w:bookmarkStart w:id="159" w:name="_Toc303539128"/>
      <w:bookmarkStart w:id="160" w:name="_Toc312678015"/>
      <w:bookmarkStart w:id="161" w:name="_Toc300934971"/>
      <w:bookmarkStart w:id="162" w:name="_Toc297216178"/>
      <w:bookmarkStart w:id="163" w:name="_Toc304295549"/>
      <w:r>
        <w:rPr>
          <w:rFonts w:eastAsia="黑体"/>
          <w:color w:val="auto"/>
          <w:sz w:val="30"/>
          <w:szCs w:val="32"/>
          <w:highlight w:val="none"/>
        </w:rPr>
        <w:t>.6 不</w:t>
      </w:r>
      <w:bookmarkEnd w:id="158"/>
      <w:bookmarkEnd w:id="159"/>
      <w:bookmarkEnd w:id="160"/>
      <w:bookmarkEnd w:id="161"/>
      <w:bookmarkEnd w:id="162"/>
      <w:bookmarkEnd w:id="163"/>
      <w:r>
        <w:rPr>
          <w:rFonts w:eastAsia="黑体"/>
          <w:color w:val="auto"/>
          <w:sz w:val="30"/>
          <w:szCs w:val="32"/>
          <w:highlight w:val="none"/>
        </w:rPr>
        <w:t>利物质条件</w:t>
      </w:r>
    </w:p>
    <w:p w14:paraId="31281A47">
      <w:pPr>
        <w:spacing w:line="360" w:lineRule="auto"/>
        <w:ind w:firstLine="600" w:firstLineChars="200"/>
        <w:jc w:val="left"/>
        <w:rPr>
          <w:rFonts w:eastAsia="仿宋_GB2312"/>
          <w:color w:val="auto"/>
          <w:sz w:val="30"/>
          <w:szCs w:val="32"/>
          <w:highlight w:val="none"/>
        </w:rPr>
      </w:pPr>
      <w:bookmarkStart w:id="164" w:name="_Toc297216179"/>
      <w:bookmarkStart w:id="165" w:name="_Toc304295550"/>
      <w:bookmarkStart w:id="166" w:name="_Toc303539129"/>
      <w:bookmarkStart w:id="167" w:name="_Toc318581172"/>
      <w:bookmarkStart w:id="168" w:name="_Toc312678016"/>
      <w:bookmarkStart w:id="169" w:name="_Toc297123520"/>
      <w:bookmarkStart w:id="170" w:name="_Toc300934972"/>
      <w:r>
        <w:rPr>
          <w:rFonts w:eastAsia="仿宋_GB2312"/>
          <w:color w:val="auto"/>
          <w:sz w:val="30"/>
          <w:szCs w:val="32"/>
          <w:highlight w:val="none"/>
        </w:rPr>
        <w:t>不利物质条件的其他情形和有关约定：</w:t>
      </w:r>
      <w:r>
        <w:rPr>
          <w:rFonts w:hint="eastAsia" w:eastAsia="仿宋_GB2312"/>
          <w:color w:val="auto"/>
          <w:sz w:val="30"/>
          <w:szCs w:val="32"/>
          <w:highlight w:val="none"/>
          <w:u w:val="single"/>
        </w:rPr>
        <w:t xml:space="preserve">按通用合同条款执行  </w:t>
      </w:r>
      <w:r>
        <w:rPr>
          <w:rFonts w:eastAsia="仿宋_GB2312"/>
          <w:color w:val="auto"/>
          <w:sz w:val="30"/>
          <w:szCs w:val="32"/>
          <w:highlight w:val="none"/>
        </w:rPr>
        <w:t>。</w:t>
      </w:r>
    </w:p>
    <w:bookmarkEnd w:id="164"/>
    <w:bookmarkEnd w:id="165"/>
    <w:bookmarkEnd w:id="166"/>
    <w:bookmarkEnd w:id="167"/>
    <w:bookmarkEnd w:id="168"/>
    <w:bookmarkEnd w:id="169"/>
    <w:bookmarkEnd w:id="170"/>
    <w:p w14:paraId="4614749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171" w:name="_Toc304295551"/>
      <w:bookmarkStart w:id="172" w:name="_Toc300934973"/>
      <w:bookmarkStart w:id="173" w:name="_Toc312678017"/>
      <w:bookmarkStart w:id="174" w:name="_Toc297123521"/>
      <w:bookmarkStart w:id="175" w:name="_Toc303539130"/>
      <w:bookmarkStart w:id="176" w:name="_Toc297216180"/>
      <w:r>
        <w:rPr>
          <w:rFonts w:eastAsia="黑体"/>
          <w:color w:val="auto"/>
          <w:sz w:val="30"/>
          <w:szCs w:val="32"/>
          <w:highlight w:val="none"/>
        </w:rPr>
        <w:t>.7异常恶劣的气候条件</w:t>
      </w:r>
    </w:p>
    <w:bookmarkEnd w:id="171"/>
    <w:bookmarkEnd w:id="172"/>
    <w:bookmarkEnd w:id="173"/>
    <w:bookmarkEnd w:id="174"/>
    <w:bookmarkEnd w:id="175"/>
    <w:bookmarkEnd w:id="176"/>
    <w:p w14:paraId="010EAC3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发包人和承包人同意以下情形视为异常恶劣的气候条件：</w:t>
      </w:r>
      <w:r>
        <w:rPr>
          <w:rFonts w:hint="eastAsia" w:eastAsia="仿宋_GB2312"/>
          <w:color w:val="auto"/>
          <w:sz w:val="30"/>
          <w:szCs w:val="32"/>
          <w:highlight w:val="none"/>
          <w:u w:val="single"/>
        </w:rPr>
        <w:t>如发生50年一遇的自然灾害(如台风、雪灾、洪水、高温)，出现异常恶劣的气候条件，发包人原则上同意承包人提出的延长工期的要求，但不支持承包人因此提出的费用索赔</w:t>
      </w:r>
      <w:r>
        <w:rPr>
          <w:rFonts w:hint="eastAsia" w:eastAsia="仿宋_GB2312"/>
          <w:color w:val="auto"/>
          <w:sz w:val="30"/>
          <w:szCs w:val="32"/>
          <w:highlight w:val="none"/>
        </w:rPr>
        <w:t>。</w:t>
      </w:r>
    </w:p>
    <w:p w14:paraId="0CA29C09">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7.9 提前竣工的奖励</w:t>
      </w:r>
    </w:p>
    <w:p w14:paraId="70AD64C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7.9.2提前竣工的奖励：</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无 </w:t>
      </w:r>
      <w:r>
        <w:rPr>
          <w:rFonts w:eastAsia="仿宋_GB2312"/>
          <w:color w:val="auto"/>
          <w:sz w:val="30"/>
          <w:szCs w:val="32"/>
          <w:highlight w:val="none"/>
          <w:u w:val="single"/>
        </w:rPr>
        <w:t xml:space="preserve">   </w:t>
      </w:r>
      <w:r>
        <w:rPr>
          <w:rFonts w:eastAsia="仿宋_GB2312"/>
          <w:color w:val="auto"/>
          <w:sz w:val="30"/>
          <w:szCs w:val="32"/>
          <w:highlight w:val="none"/>
        </w:rPr>
        <w:t>。</w:t>
      </w:r>
    </w:p>
    <w:p w14:paraId="624789AF">
      <w:pPr>
        <w:pStyle w:val="5"/>
        <w:spacing w:before="120" w:after="120" w:line="360" w:lineRule="auto"/>
        <w:rPr>
          <w:rFonts w:ascii="Times New Roman" w:hAnsi="Times New Roman" w:eastAsia="黑体"/>
          <w:b w:val="0"/>
          <w:color w:val="auto"/>
          <w:sz w:val="32"/>
          <w:szCs w:val="32"/>
          <w:highlight w:val="none"/>
        </w:rPr>
      </w:pPr>
      <w:bookmarkStart w:id="177" w:name="_Toc351203640"/>
      <w:r>
        <w:rPr>
          <w:rFonts w:ascii="Times New Roman" w:hAnsi="Times New Roman" w:eastAsia="黑体"/>
          <w:b w:val="0"/>
          <w:color w:val="auto"/>
          <w:sz w:val="32"/>
          <w:szCs w:val="32"/>
          <w:highlight w:val="none"/>
        </w:rPr>
        <w:t>8. 材料与设备</w:t>
      </w:r>
      <w:bookmarkEnd w:id="177"/>
    </w:p>
    <w:bookmarkEnd w:id="112"/>
    <w:bookmarkEnd w:id="113"/>
    <w:bookmarkEnd w:id="114"/>
    <w:bookmarkEnd w:id="115"/>
    <w:bookmarkEnd w:id="116"/>
    <w:bookmarkEnd w:id="117"/>
    <w:bookmarkEnd w:id="118"/>
    <w:bookmarkEnd w:id="119"/>
    <w:bookmarkEnd w:id="120"/>
    <w:bookmarkEnd w:id="121"/>
    <w:p w14:paraId="6456A202">
      <w:pPr>
        <w:spacing w:after="120" w:line="360" w:lineRule="auto"/>
        <w:ind w:firstLine="600" w:firstLineChars="200"/>
        <w:rPr>
          <w:rFonts w:eastAsia="仿宋_GB2312"/>
          <w:color w:val="auto"/>
          <w:sz w:val="30"/>
          <w:szCs w:val="32"/>
          <w:highlight w:val="none"/>
        </w:rPr>
      </w:pPr>
      <w:r>
        <w:rPr>
          <w:rFonts w:eastAsia="黑体"/>
          <w:color w:val="auto"/>
          <w:sz w:val="30"/>
          <w:szCs w:val="32"/>
          <w:highlight w:val="none"/>
        </w:rPr>
        <w:t>8.1</w:t>
      </w:r>
      <w:r>
        <w:rPr>
          <w:rFonts w:hint="eastAsia" w:eastAsia="仿宋_GB2312"/>
          <w:color w:val="auto"/>
          <w:sz w:val="30"/>
          <w:szCs w:val="32"/>
          <w:highlight w:val="none"/>
        </w:rPr>
        <w:t>发包人供应的材料承包人不得收取采保费 ，承包人应提前7天以书面形式向发包人提交材料供应计划，并附材料清单（须包含材料品种、规格、型号、数量等信息），书面通知必须经发包人现场代表签字方可有效。因承包人报送材料计划不及时所造成的工期延误、费用损失由承包人承担。</w:t>
      </w:r>
    </w:p>
    <w:p w14:paraId="5BA9582C">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8.2</w:t>
      </w:r>
      <w:r>
        <w:rPr>
          <w:rFonts w:hint="eastAsia" w:eastAsia="仿宋_GB2312"/>
          <w:color w:val="auto"/>
          <w:sz w:val="30"/>
          <w:szCs w:val="32"/>
          <w:highlight w:val="none"/>
        </w:rPr>
        <w:t>承包人负责采购的材料设备，在使用推荐品牌前必须报发包人同意后方可使用，原则上使用发包人推荐品牌，并在采购前十四日内将所采购材料设备的厂家、技术参数、品牌、质量等级等指标以书面形式通知发包人，发包人收到承包人的书面报告后十四日内予以确认，经发包人认质、封样后承包人方可采购进场；承包人向发包人提供的产品合格证明文件及出厂证明文件必须为原件。</w:t>
      </w:r>
    </w:p>
    <w:p w14:paraId="5D1B968C">
      <w:pPr>
        <w:pStyle w:val="7"/>
        <w:ind w:left="63" w:right="63" w:firstLine="600" w:firstLineChars="200"/>
        <w:jc w:val="left"/>
        <w:rPr>
          <w:rFonts w:eastAsia="仿宋_GB2312"/>
          <w:color w:val="auto"/>
          <w:highlight w:val="none"/>
        </w:rPr>
      </w:pPr>
      <w:r>
        <w:rPr>
          <w:rFonts w:hint="eastAsia" w:eastAsia="仿宋_GB2312"/>
          <w:color w:val="auto"/>
          <w:sz w:val="30"/>
          <w:szCs w:val="32"/>
          <w:highlight w:val="none"/>
        </w:rPr>
        <w:t>承包人采购的钢材须属于以下品牌之一：河钢集团有限公司、山西正大制管有限公司、陕西友发钢管有限公司、陕西钢铁集团有限公司、昆明钢铁控股有限公司、河北敬业精密制管有限公司、福建宁德正上管业科技有限公司、广西北港新材料有限公司、山西晋南钢铁集团有限公司、天津钢管集团股份有限公司、山东盛阳金属科技股份有限公司、青山控股集团有限公司、浦项(张家港) 不锈钢股份有限公司、山西太钢不锈钢股份有限公司、宁波宝新不锈钢有限公司、烟台东方不锈钢工业有限公司、山东泰山钢铁集团、中国宝武钢铁集团有限公司、酒泉钢铁(集团)有限责任公司、河北新武安钢铁集团有限公司、唐山正丰钢铁有限公司、唐山钢铁集团有限责任公司、马鞍山钢铁股份有限公司、内蒙古包钢钢联股份有限公司、河北津西钢铁集团股份有限公司、广西柳州钢铁集团有限公司、涟源钢铁集团有限公司、天津方聚汇源钢管有限公司、邯郸正大制管集团股份有限公司、四川振鸿钢制品有限公司、重庆三钢钢业有限责任公司、江阴华润制钢有限公司、天津友发钢管集团股份有限公司、天津利达钢管集团有限公司、青拓集团有限公司、武钢集团有限公司、邯郸钢铁集团有限责任公司、太原钢铁(集团)有限公司、攀钢集团有限公司、江苏沙钢集团有限公司、莱芜钢铁集团有限公司、济钢集团有限公司、安阳钢铁集团有限责任公司、包头钢铁 (集团) 有限责任公司、重庆钢铁 (集团)有限责任公司、北京建龙重工集团有限公司、湖南钢铁集团有限公司、中信泰富钢铁贸易有限公司、山东钢铁集团有限公司、上海德龙钢铁集团有限公司、首钢集团有限公司、鞍山钢铁集团有限公司、河钢集团有限公司、马钢（集团）控股有限公司、本溪钢铁（集团）有限责任公司、四川省达州钢铁集团有限责任公司、成渝钒钛科技有限公司、泸州鑫阳钒钛钢铁有限公司、重庆永航钢铁集团有限公司或相当于同等档次品牌。</w:t>
      </w:r>
    </w:p>
    <w:p w14:paraId="5556DD75">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电缆须属于以下品牌之一：昆明电缆集团股份有限公司、安徽天康(集团)股份有限公司、上海起帆电缆股份有限公司、宝胜集团有限公司、青岛汉缆股份有限公司、江苏上上电缆集团有限公司、远东电缆有限公司、上海熊猫线缆股份有限公司、东莞市民兴电缆有限公司、特变电工(德阳)电缆股份有限公司、宝胜科技创新股份有限公司、正泰集团股份有限公司、德力西集团有限公司、金龙羽集团股份有限公司、金杯电工股份有限公司、上海胜华电缆科技集团有限公司、亨通集团有限公司、山东阳谷电缆集团有限公司、无锡江南电缆有限公司、江西金一电缆有限公司、重庆三峡电缆(集团)有限公司、渝丰科技股份有限公司、四川鑫电电缆有限公司、安徽江淮电缆集团有限公司、上海沪安电缆(集团)有限公司、绿宝电缆(集团)有限公司、金杯电工(成都)有限公司、重庆泰山电缆有限公司、重庆鸽牌电线电缆有限公司或相当于同等档次品牌。</w:t>
      </w:r>
    </w:p>
    <w:p w14:paraId="770CFAC3">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油漆须属于以下品牌之一：重庆三峡油漆股份有限公司、郑州双塔涂料有限公司、湖南湘江涂料集团有限公司、江苏兰陵化工集团有限公司、江苏云松防腐材料有限公司、陕西宝塔山油漆股份有限公司、南方牌油漆（广东珠江化工涂料有限公司）或相当于同等档次品牌。</w:t>
      </w:r>
    </w:p>
    <w:p w14:paraId="6E5996F2">
      <w:pPr>
        <w:pStyle w:val="7"/>
        <w:ind w:left="63" w:right="63" w:firstLine="600"/>
        <w:jc w:val="left"/>
        <w:rPr>
          <w:rFonts w:eastAsia="仿宋_GB2312"/>
          <w:color w:val="auto"/>
          <w:sz w:val="30"/>
          <w:szCs w:val="32"/>
          <w:highlight w:val="none"/>
        </w:rPr>
      </w:pPr>
      <w:r>
        <w:rPr>
          <w:rFonts w:hint="eastAsia" w:eastAsia="仿宋_GB2312"/>
          <w:color w:val="auto"/>
          <w:sz w:val="30"/>
          <w:szCs w:val="32"/>
          <w:highlight w:val="none"/>
        </w:rPr>
        <w:t>承包人采购的碳钢或不锈钢管件法兰须属于以下品牌之一：河北洲际重工有限公司，河北广浩管件集团，河北海浩高压法兰管件集团，河北圣天管件集团有限公司、江苏武进不锈股份有限公司或相当于同等档次品牌。</w:t>
      </w:r>
    </w:p>
    <w:p w14:paraId="02E2E240">
      <w:pPr>
        <w:ind w:firstLine="600"/>
        <w:rPr>
          <w:rFonts w:eastAsia="仿宋_GB2312"/>
          <w:color w:val="auto"/>
          <w:kern w:val="0"/>
          <w:sz w:val="30"/>
          <w:szCs w:val="32"/>
          <w:highlight w:val="none"/>
        </w:rPr>
      </w:pPr>
      <w:r>
        <w:rPr>
          <w:rFonts w:hint="eastAsia" w:eastAsia="仿宋_GB2312"/>
          <w:color w:val="auto"/>
          <w:kern w:val="0"/>
          <w:sz w:val="30"/>
          <w:szCs w:val="32"/>
          <w:highlight w:val="none"/>
        </w:rPr>
        <w:t>如确需采购以上品牌以外的材料，须经发包人书面同意，否则相关材料不允许用于本工程，已用于本工程的限期整改，逾期未整改完毕，发包人有权单方解除合同，不承担违约责任。如发包人选择解除合同，承包人应于发包人解除合同之日起5日内向发包人支付合同金额10%的违约金，逾期支付，承包人应额外向发包人支付未付金额0.5‰/天的逾期违约金直至完全支付时。如发包人选择不解除合同，发包人有权按照本合同招标控制价中对应清单中材料单价的50%乘以对应材料的数量对承包人扣除违约金。如该材料属于另行认质核价的材料，实际用于现场的材料品牌与核价的品牌不一致，发包人有权按照核价单价的50%乘以对应材料的数量对承包人扣除违约金。</w:t>
      </w:r>
    </w:p>
    <w:p w14:paraId="6CEA3A3D">
      <w:pPr>
        <w:ind w:firstLine="600"/>
        <w:rPr>
          <w:rFonts w:eastAsia="仿宋_GB2312"/>
          <w:color w:val="auto"/>
          <w:kern w:val="0"/>
          <w:sz w:val="30"/>
          <w:szCs w:val="32"/>
          <w:highlight w:val="none"/>
        </w:rPr>
      </w:pPr>
      <w:r>
        <w:rPr>
          <w:rFonts w:hint="eastAsia" w:eastAsia="仿宋_GB2312"/>
          <w:color w:val="auto"/>
          <w:kern w:val="0"/>
          <w:sz w:val="30"/>
          <w:szCs w:val="32"/>
          <w:highlight w:val="none"/>
        </w:rPr>
        <w:t xml:space="preserve">承包人对发包人认质核价结果有异议的，应在收到核价结果后 </w:t>
      </w:r>
      <w:r>
        <w:rPr>
          <w:rFonts w:eastAsia="仿宋_GB2312"/>
          <w:color w:val="auto"/>
          <w:kern w:val="0"/>
          <w:sz w:val="30"/>
          <w:szCs w:val="32"/>
          <w:highlight w:val="none"/>
        </w:rPr>
        <w:t>10</w:t>
      </w:r>
      <w:r>
        <w:rPr>
          <w:rFonts w:hint="eastAsia" w:eastAsia="仿宋_GB2312"/>
          <w:color w:val="auto"/>
          <w:kern w:val="0"/>
          <w:sz w:val="30"/>
          <w:szCs w:val="32"/>
          <w:highlight w:val="none"/>
        </w:rPr>
        <w:t xml:space="preserve">日内书面提出，发包人应在收到异议后 </w:t>
      </w:r>
      <w:r>
        <w:rPr>
          <w:rFonts w:eastAsia="仿宋_GB2312"/>
          <w:color w:val="auto"/>
          <w:kern w:val="0"/>
          <w:sz w:val="30"/>
          <w:szCs w:val="32"/>
          <w:highlight w:val="none"/>
        </w:rPr>
        <w:t>7</w:t>
      </w:r>
      <w:r>
        <w:rPr>
          <w:rFonts w:hint="eastAsia" w:eastAsia="仿宋_GB2312"/>
          <w:color w:val="auto"/>
          <w:kern w:val="0"/>
          <w:sz w:val="30"/>
          <w:szCs w:val="32"/>
          <w:highlight w:val="none"/>
        </w:rPr>
        <w:t xml:space="preserve">日内组织复核并出具第二次核价结果。承包人应于收到第二次核价结果之日起 </w:t>
      </w:r>
      <w:r>
        <w:rPr>
          <w:rFonts w:eastAsia="仿宋_GB2312"/>
          <w:color w:val="auto"/>
          <w:kern w:val="0"/>
          <w:sz w:val="30"/>
          <w:szCs w:val="32"/>
          <w:highlight w:val="none"/>
        </w:rPr>
        <w:t>5</w:t>
      </w:r>
      <w:r>
        <w:rPr>
          <w:rFonts w:hint="eastAsia" w:eastAsia="仿宋_GB2312"/>
          <w:color w:val="auto"/>
          <w:kern w:val="0"/>
          <w:sz w:val="30"/>
          <w:szCs w:val="32"/>
          <w:highlight w:val="none"/>
        </w:rPr>
        <w:t>日内书面确认接受；逾期未书面确认或提出异议的，视为承包人已接受该次核价结果。若承包人对第二次核价结果仍不接受，则发包人有权单方决定将该部分材料变更为甲供材料（即由发包人自行采购），原合同约定的承包人供货义务相应免除。发包人作出变更决定后，应书面通知承包人，承包人须无条件配合相关交接工作，包括但不限于提供材料清单、供应</w:t>
      </w:r>
      <w:r>
        <w:rPr>
          <w:rFonts w:eastAsia="仿宋_GB2312"/>
          <w:color w:val="auto"/>
          <w:kern w:val="0"/>
          <w:sz w:val="30"/>
          <w:szCs w:val="32"/>
          <w:highlight w:val="none"/>
        </w:rPr>
        <w:t>计划</w:t>
      </w:r>
      <w:r>
        <w:rPr>
          <w:rFonts w:hint="eastAsia" w:eastAsia="仿宋_GB2312"/>
          <w:color w:val="auto"/>
          <w:kern w:val="0"/>
          <w:sz w:val="30"/>
          <w:szCs w:val="32"/>
          <w:highlight w:val="none"/>
        </w:rPr>
        <w:t>等。在上述甲供变更情形下，若发包人实际采购该部分材料的价格（不含税）低于第二次核价结果的，承包人须按（第二次核价结果单价-发包人实际采购单价）×该部分材料实际用量×</w:t>
      </w:r>
      <w:r>
        <w:rPr>
          <w:rFonts w:eastAsia="仿宋_GB2312"/>
          <w:color w:val="auto"/>
          <w:kern w:val="0"/>
          <w:sz w:val="30"/>
          <w:szCs w:val="32"/>
          <w:highlight w:val="none"/>
        </w:rPr>
        <w:t>50</w:t>
      </w:r>
      <w:r>
        <w:rPr>
          <w:rFonts w:hint="eastAsia" w:eastAsia="仿宋_GB2312"/>
          <w:color w:val="auto"/>
          <w:kern w:val="0"/>
          <w:sz w:val="30"/>
          <w:szCs w:val="32"/>
          <w:highlight w:val="none"/>
        </w:rPr>
        <w:t>%向发包人支付违约金，发包人有权从应付承包人的任何工程款中直接抵扣，且发包人有权向承包人追偿因此造成的工期损失。</w:t>
      </w:r>
    </w:p>
    <w:p w14:paraId="2477AFCE">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8.3</w:t>
      </w:r>
      <w:r>
        <w:rPr>
          <w:rFonts w:hint="eastAsia" w:eastAsia="仿宋_GB2312"/>
          <w:color w:val="auto"/>
          <w:sz w:val="30"/>
          <w:szCs w:val="32"/>
          <w:highlight w:val="none"/>
        </w:rPr>
        <w:t>发包人供应材料到工程所在地发包人厂区内任何地点，承包人负责材料到场后不分昼夜的随到随卸，并负责材料入库堆放整齐，卸货及材料场内转运费用由承包人承担。承包人需与发包人对甲供材移交清单共同签字确认，承包人收到移交清单后3日内未签字确认也未提出书面异议的，以发包人所提供材料供应商送货清单及现场验收记录为准。甲供材移交承包人时，随材料到场的相关资料一并移交承包人，由承包人整理保管，最终作为竣工资料移交发包人，如承包人管理不善导致资料遗失或移交资料不完善，按专用条款3.1条关于逾期提交竣工资料相关违约条款执行。</w:t>
      </w:r>
    </w:p>
    <w:p w14:paraId="278E98EB">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8</w:t>
      </w:r>
      <w:bookmarkStart w:id="178" w:name="_Toc296890995"/>
      <w:bookmarkStart w:id="179" w:name="_Toc296347166"/>
      <w:bookmarkStart w:id="180" w:name="_Toc297123527"/>
      <w:bookmarkStart w:id="181" w:name="_Toc296944506"/>
      <w:bookmarkStart w:id="182" w:name="_Toc280868654"/>
      <w:bookmarkStart w:id="183" w:name="_Toc292559877"/>
      <w:bookmarkStart w:id="184" w:name="_Toc297120467"/>
      <w:bookmarkStart w:id="185" w:name="_Toc297048353"/>
      <w:bookmarkStart w:id="186" w:name="_Toc296503167"/>
      <w:bookmarkStart w:id="187" w:name="_Toc303539136"/>
      <w:bookmarkStart w:id="188" w:name="_Toc296891207"/>
      <w:bookmarkStart w:id="189" w:name="_Toc312678019"/>
      <w:bookmarkStart w:id="190" w:name="_Toc304295556"/>
      <w:bookmarkStart w:id="191" w:name="_Toc300934979"/>
      <w:bookmarkStart w:id="192" w:name="_Toc296346668"/>
      <w:bookmarkStart w:id="193" w:name="_Toc312677493"/>
      <w:bookmarkStart w:id="194" w:name="_Toc292559372"/>
      <w:bookmarkStart w:id="195" w:name="_Toc297216186"/>
      <w:bookmarkStart w:id="196" w:name="_Toc280868656"/>
      <w:bookmarkStart w:id="197" w:name="_Toc267251424"/>
      <w:bookmarkStart w:id="198" w:name="_Toc280868655"/>
      <w:r>
        <w:rPr>
          <w:rFonts w:eastAsia="黑体"/>
          <w:color w:val="auto"/>
          <w:sz w:val="30"/>
          <w:szCs w:val="32"/>
          <w:highlight w:val="none"/>
        </w:rPr>
        <w:t>.4材料与工程设备的保管与使用</w:t>
      </w:r>
    </w:p>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14:paraId="2566144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w:t>
      </w:r>
      <w:bookmarkStart w:id="199" w:name="_Toc292559373"/>
      <w:bookmarkStart w:id="200" w:name="_Toc292559878"/>
      <w:bookmarkStart w:id="201" w:name="_Toc297216187"/>
      <w:bookmarkStart w:id="202" w:name="_Toc318581173"/>
      <w:bookmarkStart w:id="203" w:name="_Toc296891208"/>
      <w:bookmarkStart w:id="204" w:name="_Toc296503168"/>
      <w:bookmarkStart w:id="205" w:name="_Toc297048354"/>
      <w:bookmarkStart w:id="206" w:name="_Toc296347167"/>
      <w:bookmarkStart w:id="207" w:name="_Toc297123528"/>
      <w:bookmarkStart w:id="208" w:name="_Toc312677494"/>
      <w:bookmarkStart w:id="209" w:name="_Toc297120468"/>
      <w:bookmarkStart w:id="210" w:name="_Toc296346669"/>
      <w:bookmarkStart w:id="211" w:name="_Toc296890996"/>
      <w:bookmarkStart w:id="212" w:name="_Toc300934980"/>
      <w:bookmarkStart w:id="213" w:name="_Toc304295557"/>
      <w:bookmarkStart w:id="214" w:name="_Toc312678020"/>
      <w:bookmarkStart w:id="215" w:name="_Toc296944507"/>
      <w:bookmarkStart w:id="216" w:name="_Toc303539137"/>
      <w:r>
        <w:rPr>
          <w:rFonts w:eastAsia="仿宋_GB2312"/>
          <w:color w:val="auto"/>
          <w:sz w:val="30"/>
          <w:szCs w:val="32"/>
          <w:highlight w:val="none"/>
        </w:rPr>
        <w:t>.4.1发包人供应的材料设备的保管费用的承担：</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eastAsia="仿宋_GB2312"/>
          <w:color w:val="auto"/>
          <w:sz w:val="30"/>
          <w:szCs w:val="32"/>
          <w:highlight w:val="none"/>
        </w:rPr>
        <w:t>。</w:t>
      </w:r>
      <w:bookmarkEnd w:id="199"/>
      <w:bookmarkEnd w:id="200"/>
    </w:p>
    <w:p w14:paraId="3459F6F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8.8 施工设备和临时设施</w:t>
      </w:r>
    </w:p>
    <w:p w14:paraId="05B40E59">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8.8.1 承包人提供的施工设备和临时设施</w:t>
      </w:r>
    </w:p>
    <w:p w14:paraId="565A2BFA">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关于修建临时设施费用承担的约定：</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需要临时占地的，应由</w:t>
      </w:r>
      <w:r>
        <w:rPr>
          <w:rFonts w:hint="eastAsia" w:eastAsia="仿宋_GB2312"/>
          <w:color w:val="auto"/>
          <w:sz w:val="30"/>
          <w:szCs w:val="32"/>
          <w:highlight w:val="none"/>
          <w:u w:val="single"/>
        </w:rPr>
        <w:t>承包人</w:t>
      </w:r>
      <w:r>
        <w:rPr>
          <w:rFonts w:eastAsia="仿宋_GB2312"/>
          <w:color w:val="auto"/>
          <w:sz w:val="30"/>
          <w:szCs w:val="32"/>
          <w:highlight w:val="none"/>
          <w:u w:val="single"/>
        </w:rPr>
        <w:t xml:space="preserve">办理申请手续并承担相应费用   </w:t>
      </w:r>
      <w:r>
        <w:rPr>
          <w:rFonts w:eastAsia="仿宋_GB2312"/>
          <w:color w:val="auto"/>
          <w:sz w:val="30"/>
          <w:szCs w:val="32"/>
          <w:highlight w:val="none"/>
        </w:rPr>
        <w:t>。</w:t>
      </w:r>
    </w:p>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14:paraId="2754506C">
      <w:pPr>
        <w:pStyle w:val="5"/>
        <w:spacing w:before="120" w:after="120" w:line="360" w:lineRule="auto"/>
        <w:rPr>
          <w:rFonts w:ascii="Times New Roman" w:hAnsi="Times New Roman" w:eastAsia="黑体"/>
          <w:b w:val="0"/>
          <w:color w:val="auto"/>
          <w:sz w:val="32"/>
          <w:szCs w:val="32"/>
          <w:highlight w:val="none"/>
        </w:rPr>
      </w:pPr>
      <w:bookmarkStart w:id="217" w:name="_Toc351203641"/>
      <w:r>
        <w:rPr>
          <w:rFonts w:ascii="Times New Roman" w:hAnsi="Times New Roman" w:eastAsia="黑体"/>
          <w:b w:val="0"/>
          <w:color w:val="auto"/>
          <w:sz w:val="32"/>
          <w:szCs w:val="32"/>
          <w:highlight w:val="none"/>
        </w:rPr>
        <w:t>9</w:t>
      </w:r>
      <w:bookmarkEnd w:id="196"/>
      <w:bookmarkEnd w:id="197"/>
      <w:bookmarkEnd w:id="198"/>
      <w:bookmarkStart w:id="218" w:name="_Toc297123533"/>
      <w:bookmarkStart w:id="219" w:name="_Toc304295559"/>
      <w:bookmarkStart w:id="220" w:name="_Toc297216192"/>
      <w:bookmarkStart w:id="221" w:name="_Toc300934982"/>
      <w:bookmarkStart w:id="222" w:name="_Toc312677495"/>
      <w:bookmarkStart w:id="223" w:name="_Toc312678021"/>
      <w:bookmarkStart w:id="224" w:name="_Toc303539139"/>
      <w:bookmarkStart w:id="225" w:name="_Toc296503173"/>
      <w:bookmarkStart w:id="226" w:name="_Toc267251427"/>
      <w:bookmarkStart w:id="227" w:name="_Toc296347172"/>
      <w:bookmarkStart w:id="228" w:name="_Toc296891001"/>
      <w:bookmarkStart w:id="229" w:name="_Toc296891213"/>
      <w:bookmarkStart w:id="230" w:name="_Toc267251428"/>
      <w:bookmarkStart w:id="231" w:name="_Toc297120473"/>
      <w:bookmarkStart w:id="232" w:name="_Toc292559883"/>
      <w:bookmarkStart w:id="233" w:name="_Toc297048359"/>
      <w:bookmarkStart w:id="234" w:name="_Toc292559378"/>
      <w:bookmarkStart w:id="235" w:name="_Toc296944512"/>
      <w:bookmarkStart w:id="236" w:name="_Toc296346674"/>
      <w:r>
        <w:rPr>
          <w:rFonts w:ascii="Times New Roman" w:hAnsi="Times New Roman" w:eastAsia="黑体"/>
          <w:b w:val="0"/>
          <w:color w:val="auto"/>
          <w:sz w:val="32"/>
          <w:szCs w:val="32"/>
          <w:highlight w:val="none"/>
        </w:rPr>
        <w:t>. 试验与检验</w:t>
      </w:r>
      <w:bookmarkEnd w:id="217"/>
    </w:p>
    <w:bookmarkEnd w:id="218"/>
    <w:bookmarkEnd w:id="219"/>
    <w:bookmarkEnd w:id="220"/>
    <w:bookmarkEnd w:id="221"/>
    <w:bookmarkEnd w:id="222"/>
    <w:bookmarkEnd w:id="223"/>
    <w:bookmarkEnd w:id="224"/>
    <w:p w14:paraId="73100B58">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9</w:t>
      </w:r>
      <w:bookmarkStart w:id="237" w:name="_Toc304295560"/>
      <w:bookmarkStart w:id="238" w:name="_Toc312678022"/>
      <w:bookmarkStart w:id="239" w:name="_Toc303539140"/>
      <w:bookmarkStart w:id="240" w:name="_Toc297216193"/>
      <w:bookmarkStart w:id="241" w:name="_Toc300934983"/>
      <w:bookmarkStart w:id="242" w:name="_Toc312677496"/>
      <w:bookmarkStart w:id="243" w:name="_Toc297123534"/>
      <w:r>
        <w:rPr>
          <w:rFonts w:eastAsia="黑体"/>
          <w:color w:val="auto"/>
          <w:sz w:val="30"/>
          <w:szCs w:val="32"/>
          <w:highlight w:val="none"/>
        </w:rPr>
        <w:t>.1试验设备与试验人员</w:t>
      </w:r>
    </w:p>
    <w:bookmarkEnd w:id="237"/>
    <w:bookmarkEnd w:id="238"/>
    <w:bookmarkEnd w:id="239"/>
    <w:bookmarkEnd w:id="240"/>
    <w:bookmarkEnd w:id="241"/>
    <w:bookmarkEnd w:id="242"/>
    <w:bookmarkEnd w:id="243"/>
    <w:p w14:paraId="7383971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9</w:t>
      </w:r>
      <w:bookmarkStart w:id="244" w:name="_Toc304295561"/>
      <w:bookmarkStart w:id="245" w:name="_Toc297123535"/>
      <w:bookmarkStart w:id="246" w:name="_Toc297216194"/>
      <w:bookmarkStart w:id="247" w:name="_Toc300934984"/>
      <w:bookmarkStart w:id="248" w:name="_Toc312677497"/>
      <w:bookmarkStart w:id="249" w:name="_Toc303539141"/>
      <w:bookmarkStart w:id="250" w:name="_Toc312678023"/>
      <w:bookmarkStart w:id="251" w:name="_Toc318581174"/>
      <w:r>
        <w:rPr>
          <w:rFonts w:eastAsia="仿宋_GB2312"/>
          <w:color w:val="auto"/>
          <w:sz w:val="30"/>
          <w:szCs w:val="32"/>
          <w:highlight w:val="none"/>
        </w:rPr>
        <w:t>.1.2 试验设备</w:t>
      </w:r>
    </w:p>
    <w:p w14:paraId="78503647">
      <w:pPr>
        <w:spacing w:line="360" w:lineRule="auto"/>
        <w:jc w:val="left"/>
        <w:rPr>
          <w:rFonts w:eastAsia="仿宋_GB2312"/>
          <w:color w:val="auto"/>
          <w:sz w:val="30"/>
          <w:szCs w:val="32"/>
          <w:highlight w:val="none"/>
        </w:rPr>
      </w:pPr>
      <w:r>
        <w:rPr>
          <w:rFonts w:eastAsia="仿宋_GB2312"/>
          <w:color w:val="auto"/>
          <w:sz w:val="30"/>
          <w:szCs w:val="32"/>
          <w:highlight w:val="none"/>
        </w:rPr>
        <w:t>施工现场需要配置的试验场所、</w:t>
      </w:r>
      <w:r>
        <w:rPr>
          <w:rFonts w:hint="eastAsia" w:eastAsia="仿宋_GB2312"/>
          <w:color w:val="auto"/>
          <w:sz w:val="30"/>
          <w:szCs w:val="32"/>
          <w:highlight w:val="none"/>
        </w:rPr>
        <w:t>配备的实验设备及其他实验条件</w:t>
      </w:r>
      <w:bookmarkEnd w:id="244"/>
      <w:bookmarkEnd w:id="245"/>
      <w:bookmarkEnd w:id="246"/>
      <w:bookmarkEnd w:id="247"/>
      <w:bookmarkEnd w:id="248"/>
      <w:bookmarkEnd w:id="249"/>
      <w:bookmarkEnd w:id="250"/>
      <w:bookmarkStart w:id="252" w:name="_Toc304295562"/>
      <w:bookmarkStart w:id="253" w:name="_Toc297123536"/>
      <w:bookmarkStart w:id="254" w:name="_Toc312678024"/>
      <w:bookmarkStart w:id="255" w:name="_Toc297216195"/>
      <w:bookmarkStart w:id="256" w:name="_Toc300934985"/>
      <w:bookmarkStart w:id="257" w:name="_Toc303539142"/>
      <w:bookmarkStart w:id="258" w:name="_Toc312677498"/>
      <w:r>
        <w:rPr>
          <w:rFonts w:eastAsia="仿宋_GB2312"/>
          <w:color w:val="auto"/>
          <w:sz w:val="30"/>
          <w:szCs w:val="32"/>
          <w:highlight w:val="none"/>
        </w:rPr>
        <w:t>：</w:t>
      </w:r>
      <w:r>
        <w:rPr>
          <w:rFonts w:hint="eastAsia" w:eastAsia="仿宋_GB2312"/>
          <w:color w:val="auto"/>
          <w:sz w:val="30"/>
          <w:szCs w:val="32"/>
          <w:highlight w:val="none"/>
          <w:u w:val="single"/>
        </w:rPr>
        <w:t>须满足检验试验相关需求</w:t>
      </w:r>
      <w:r>
        <w:rPr>
          <w:rFonts w:eastAsia="仿宋_GB2312"/>
          <w:color w:val="auto"/>
          <w:sz w:val="30"/>
          <w:szCs w:val="32"/>
          <w:highlight w:val="none"/>
          <w:u w:val="single"/>
        </w:rPr>
        <w:t xml:space="preserve">  </w:t>
      </w:r>
      <w:r>
        <w:rPr>
          <w:rFonts w:eastAsia="仿宋_GB2312"/>
          <w:color w:val="auto"/>
          <w:sz w:val="30"/>
          <w:szCs w:val="32"/>
          <w:highlight w:val="none"/>
        </w:rPr>
        <w:t>。</w:t>
      </w:r>
      <w:r>
        <w:rPr>
          <w:rFonts w:hint="eastAsia" w:eastAsia="仿宋_GB2312"/>
          <w:color w:val="auto"/>
          <w:sz w:val="30"/>
          <w:szCs w:val="32"/>
          <w:highlight w:val="none"/>
        </w:rPr>
        <w:t xml:space="preserve"> </w:t>
      </w:r>
    </w:p>
    <w:p w14:paraId="493880E9">
      <w:pPr>
        <w:spacing w:line="360" w:lineRule="auto"/>
        <w:jc w:val="left"/>
        <w:rPr>
          <w:rFonts w:eastAsia="仿宋_GB2312"/>
          <w:color w:val="auto"/>
          <w:sz w:val="30"/>
          <w:szCs w:val="32"/>
          <w:highlight w:val="none"/>
        </w:rPr>
      </w:pPr>
      <w:r>
        <w:rPr>
          <w:rFonts w:eastAsia="仿宋_GB2312"/>
          <w:color w:val="auto"/>
          <w:sz w:val="30"/>
          <w:szCs w:val="32"/>
          <w:highlight w:val="none"/>
        </w:rPr>
        <w:t xml:space="preserve">    9.5</w:t>
      </w:r>
      <w:r>
        <w:rPr>
          <w:rFonts w:hint="eastAsia" w:eastAsia="仿宋_GB2312"/>
          <w:color w:val="auto"/>
          <w:sz w:val="30"/>
          <w:szCs w:val="32"/>
          <w:highlight w:val="none"/>
        </w:rPr>
        <w:t>本工程中不属于承包人需承担的特殊检验相关手续由承包人负责办理，承包人凭特殊检验费发票、特殊检验报告单及发包人出具的相关书面委托书向发包人报销。</w:t>
      </w:r>
    </w:p>
    <w:bookmarkEnd w:id="251"/>
    <w:bookmarkEnd w:id="252"/>
    <w:bookmarkEnd w:id="253"/>
    <w:bookmarkEnd w:id="254"/>
    <w:bookmarkEnd w:id="255"/>
    <w:bookmarkEnd w:id="256"/>
    <w:bookmarkEnd w:id="257"/>
    <w:bookmarkEnd w:id="258"/>
    <w:p w14:paraId="1D667DEC">
      <w:pPr>
        <w:pStyle w:val="5"/>
        <w:spacing w:before="120" w:after="120" w:line="360" w:lineRule="auto"/>
        <w:rPr>
          <w:rFonts w:ascii="Times New Roman" w:hAnsi="Times New Roman" w:eastAsia="黑体"/>
          <w:b w:val="0"/>
          <w:color w:val="auto"/>
          <w:sz w:val="32"/>
          <w:szCs w:val="32"/>
          <w:highlight w:val="none"/>
        </w:rPr>
      </w:pPr>
      <w:bookmarkStart w:id="259" w:name="_Toc351203642"/>
      <w:r>
        <w:rPr>
          <w:rFonts w:ascii="Times New Roman" w:hAnsi="Times New Roman" w:eastAsia="黑体"/>
          <w:b w:val="0"/>
          <w:color w:val="auto"/>
          <w:sz w:val="32"/>
          <w:szCs w:val="32"/>
          <w:highlight w:val="none"/>
        </w:rPr>
        <w:t>1</w:t>
      </w:r>
      <w:bookmarkEnd w:id="225"/>
      <w:bookmarkEnd w:id="226"/>
      <w:bookmarkEnd w:id="227"/>
      <w:bookmarkEnd w:id="228"/>
      <w:bookmarkEnd w:id="229"/>
      <w:bookmarkEnd w:id="230"/>
      <w:bookmarkEnd w:id="231"/>
      <w:bookmarkEnd w:id="232"/>
      <w:bookmarkEnd w:id="233"/>
      <w:bookmarkEnd w:id="234"/>
      <w:bookmarkEnd w:id="235"/>
      <w:bookmarkEnd w:id="236"/>
      <w:bookmarkStart w:id="260" w:name="_Toc296891233"/>
      <w:bookmarkStart w:id="261" w:name="_Toc292559903"/>
      <w:bookmarkStart w:id="262" w:name="_Toc297120493"/>
      <w:bookmarkStart w:id="263" w:name="_Toc304295566"/>
      <w:bookmarkStart w:id="264" w:name="_Toc296944532"/>
      <w:bookmarkStart w:id="265" w:name="_Toc300934989"/>
      <w:bookmarkStart w:id="266" w:name="_Toc297048379"/>
      <w:bookmarkStart w:id="267" w:name="_Toc292559398"/>
      <w:bookmarkStart w:id="268" w:name="_Toc296346694"/>
      <w:bookmarkStart w:id="269" w:name="_Toc296891021"/>
      <w:bookmarkStart w:id="270" w:name="_Toc303539146"/>
      <w:bookmarkStart w:id="271" w:name="_Toc297123540"/>
      <w:bookmarkStart w:id="272" w:name="_Toc296503193"/>
      <w:bookmarkStart w:id="273" w:name="_Toc296347192"/>
      <w:bookmarkStart w:id="274" w:name="_Toc297216199"/>
      <w:bookmarkStart w:id="275" w:name="_Toc312677499"/>
      <w:bookmarkStart w:id="276" w:name="_Toc312678025"/>
      <w:bookmarkStart w:id="277" w:name="_Toc267251437"/>
      <w:bookmarkStart w:id="278" w:name="_Toc267251439"/>
      <w:bookmarkStart w:id="279" w:name="_Toc267251441"/>
      <w:bookmarkStart w:id="280" w:name="_Toc267251435"/>
      <w:bookmarkStart w:id="281" w:name="_Toc267251440"/>
      <w:bookmarkStart w:id="282" w:name="_Toc267251433"/>
      <w:bookmarkStart w:id="283" w:name="_Toc267251442"/>
      <w:r>
        <w:rPr>
          <w:rFonts w:ascii="Times New Roman" w:hAnsi="Times New Roman" w:eastAsia="黑体"/>
          <w:b w:val="0"/>
          <w:color w:val="auto"/>
          <w:sz w:val="32"/>
          <w:szCs w:val="32"/>
          <w:highlight w:val="none"/>
        </w:rPr>
        <w:t>0. 变更</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bookmarkEnd w:id="275"/>
    <w:bookmarkEnd w:id="276"/>
    <w:p w14:paraId="57DC8B7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w:t>
      </w:r>
      <w:bookmarkStart w:id="284" w:name="_Toc296346695"/>
      <w:bookmarkStart w:id="285" w:name="_Toc296944533"/>
      <w:bookmarkStart w:id="286" w:name="_Toc300934990"/>
      <w:bookmarkStart w:id="287" w:name="_Toc296891022"/>
      <w:bookmarkStart w:id="288" w:name="_Toc312678026"/>
      <w:bookmarkStart w:id="289" w:name="_Toc296347193"/>
      <w:bookmarkStart w:id="290" w:name="_Toc303539147"/>
      <w:bookmarkStart w:id="291" w:name="_Toc297048380"/>
      <w:bookmarkStart w:id="292" w:name="_Toc312677500"/>
      <w:bookmarkStart w:id="293" w:name="_Toc296503194"/>
      <w:bookmarkStart w:id="294" w:name="_Toc297120494"/>
      <w:bookmarkStart w:id="295" w:name="_Toc304295567"/>
      <w:bookmarkStart w:id="296" w:name="_Toc292559399"/>
      <w:bookmarkStart w:id="297" w:name="_Toc292559904"/>
      <w:bookmarkStart w:id="298" w:name="_Toc297216200"/>
      <w:bookmarkStart w:id="299" w:name="_Toc297123541"/>
      <w:bookmarkStart w:id="300" w:name="_Toc296891234"/>
      <w:r>
        <w:rPr>
          <w:rFonts w:eastAsia="黑体"/>
          <w:color w:val="auto"/>
          <w:sz w:val="30"/>
          <w:szCs w:val="32"/>
          <w:highlight w:val="none"/>
        </w:rPr>
        <w:t>0.1变更的范围</w:t>
      </w:r>
    </w:p>
    <w:p w14:paraId="6F83EEAD">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关于变更的范围的约定：</w:t>
      </w:r>
      <w:r>
        <w:rPr>
          <w:rFonts w:hint="eastAsia" w:eastAsia="仿宋_GB2312"/>
          <w:color w:val="auto"/>
          <w:sz w:val="30"/>
          <w:szCs w:val="32"/>
          <w:highlight w:val="none"/>
          <w:u w:val="single"/>
        </w:rPr>
        <w:t xml:space="preserve">根据工程建设的需要双方协商确定，承包人不得擅自变更    </w:t>
      </w:r>
      <w:r>
        <w:rPr>
          <w:rFonts w:eastAsia="仿宋_GB2312"/>
          <w:color w:val="auto"/>
          <w:sz w:val="30"/>
          <w:szCs w:val="32"/>
          <w:highlight w:val="none"/>
        </w:rPr>
        <w:t>。</w:t>
      </w:r>
    </w:p>
    <w:p w14:paraId="3DD0A60E">
      <w:pPr>
        <w:pStyle w:val="7"/>
        <w:ind w:left="63" w:right="63" w:firstLine="600" w:firstLineChars="200"/>
        <w:rPr>
          <w:color w:val="auto"/>
          <w:highlight w:val="none"/>
        </w:rPr>
      </w:pPr>
      <w:r>
        <w:rPr>
          <w:rFonts w:hint="eastAsia" w:eastAsia="仿宋_GB2312"/>
          <w:color w:val="auto"/>
          <w:sz w:val="30"/>
          <w:szCs w:val="32"/>
          <w:highlight w:val="none"/>
        </w:rPr>
        <w:t>承包人必须严格按照发包人提供的已完善审批程序的变更资料实施，如未按照变更资料实施或未收到变更资料擅自实施，则发包人不予认可该部分费用，不支付该部分款项。（发包人设计变更审批制度详见附件6）。</w:t>
      </w:r>
    </w:p>
    <w:p w14:paraId="0E0D424E">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w:t>
      </w:r>
      <w:r>
        <w:rPr>
          <w:rFonts w:hint="eastAsia" w:eastAsia="仿宋_GB2312"/>
          <w:color w:val="auto"/>
          <w:sz w:val="30"/>
          <w:szCs w:val="32"/>
          <w:highlight w:val="none"/>
        </w:rPr>
        <w:t>变更权</w:t>
      </w:r>
    </w:p>
    <w:p w14:paraId="66CF067F">
      <w:pPr>
        <w:spacing w:line="360" w:lineRule="auto"/>
        <w:ind w:firstLine="600"/>
        <w:jc w:val="left"/>
        <w:rPr>
          <w:rFonts w:eastAsia="仿宋_GB2312"/>
          <w:color w:val="auto"/>
          <w:sz w:val="30"/>
          <w:szCs w:val="32"/>
          <w:highlight w:val="none"/>
        </w:rPr>
      </w:pPr>
      <w:r>
        <w:rPr>
          <w:rFonts w:hint="eastAsia" w:eastAsia="仿宋_GB2312"/>
          <w:color w:val="auto"/>
          <w:sz w:val="30"/>
          <w:szCs w:val="32"/>
          <w:highlight w:val="none"/>
        </w:rPr>
        <w:t>10.2.1任何变更的经济签证、核定单、变更、工程联系单、洽商等文件须由监理人、发包人现场代表或经授权的对口专业负责人、预决算人员、发包人工装工程中心主管/分管领导共同签字并加盖部门公章后才能生效；</w:t>
      </w:r>
    </w:p>
    <w:p w14:paraId="068173D7">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10.2.2</w:t>
      </w:r>
      <w:r>
        <w:rPr>
          <w:rFonts w:hint="eastAsia" w:eastAsia="仿宋_GB2312"/>
          <w:color w:val="auto"/>
          <w:sz w:val="30"/>
          <w:szCs w:val="32"/>
          <w:highlight w:val="none"/>
        </w:rPr>
        <w:t>本工程的所有经济签证承包人须按照发包人《工程经济资料管理办法》执行。所有经济签证应注明工程名称、单位工程（单项工程、分部工程、分项工程）签证部位、施工简图（无法画图的应注明增减工作量）、签证日期、费用发生原因等；</w:t>
      </w:r>
    </w:p>
    <w:p w14:paraId="37F75C09">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10.2.3</w:t>
      </w:r>
      <w:r>
        <w:rPr>
          <w:rFonts w:hint="eastAsia" w:eastAsia="仿宋_GB2312"/>
          <w:color w:val="auto"/>
          <w:sz w:val="30"/>
          <w:szCs w:val="32"/>
          <w:highlight w:val="none"/>
        </w:rPr>
        <w:t>本工程的所有经济签证必须在签证工作内容完成后七日内办理，否则视为承包人放弃对此签证单进行结算。</w:t>
      </w:r>
    </w:p>
    <w:p w14:paraId="0C511F2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10.4 变更估价</w:t>
      </w:r>
    </w:p>
    <w:p w14:paraId="3E98520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10.4.1 变更估价原则</w:t>
      </w:r>
    </w:p>
    <w:p w14:paraId="3EA62AB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 xml:space="preserve">关于变更估价的约定: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按专用条款14.5条执行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14:paraId="3025BE9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10.8 暂列金额</w:t>
      </w:r>
    </w:p>
    <w:p w14:paraId="1E8710A2">
      <w:pPr>
        <w:autoSpaceDE w:val="0"/>
        <w:autoSpaceDN w:val="0"/>
        <w:adjustRightInd w:val="0"/>
        <w:spacing w:line="360" w:lineRule="auto"/>
        <w:jc w:val="left"/>
        <w:rPr>
          <w:rFonts w:eastAsia="仿宋_GB2312"/>
          <w:color w:val="auto"/>
          <w:kern w:val="0"/>
          <w:sz w:val="30"/>
          <w:szCs w:val="32"/>
          <w:highlight w:val="none"/>
        </w:rPr>
      </w:pPr>
      <w:r>
        <w:rPr>
          <w:rFonts w:hint="eastAsia" w:eastAsia="仿宋_GB2312"/>
          <w:color w:val="auto"/>
          <w:kern w:val="0"/>
          <w:sz w:val="30"/>
          <w:szCs w:val="32"/>
          <w:highlight w:val="none"/>
        </w:rPr>
        <w:t>合同当事人关于暂列金额使用的约定：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按通用合同条款执行   </w:t>
      </w:r>
      <w:r>
        <w:rPr>
          <w:rFonts w:hint="eastAsia" w:eastAsia="仿宋_GB2312"/>
          <w:color w:val="auto"/>
          <w:kern w:val="0"/>
          <w:sz w:val="30"/>
          <w:szCs w:val="32"/>
          <w:highlight w:val="none"/>
        </w:rPr>
        <w:t>。</w:t>
      </w:r>
    </w:p>
    <w:p w14:paraId="7A72171D">
      <w:pPr>
        <w:pStyle w:val="5"/>
        <w:spacing w:before="120" w:after="120" w:line="360" w:lineRule="auto"/>
        <w:rPr>
          <w:rFonts w:ascii="Times New Roman" w:hAnsi="Times New Roman" w:eastAsia="黑体"/>
          <w:b w:val="0"/>
          <w:color w:val="auto"/>
          <w:sz w:val="32"/>
          <w:szCs w:val="32"/>
          <w:highlight w:val="none"/>
        </w:rPr>
      </w:pPr>
      <w:bookmarkStart w:id="301" w:name="_Toc351203643"/>
      <w:r>
        <w:rPr>
          <w:rFonts w:ascii="Times New Roman" w:hAnsi="Times New Roman" w:eastAsia="黑体"/>
          <w:b w:val="0"/>
          <w:color w:val="auto"/>
          <w:sz w:val="32"/>
          <w:szCs w:val="32"/>
          <w:highlight w:val="none"/>
        </w:rPr>
        <w:t>11. 价格调整</w:t>
      </w:r>
      <w:bookmarkEnd w:id="301"/>
    </w:p>
    <w:p w14:paraId="7C94C53D">
      <w:pPr>
        <w:spacing w:after="120" w:line="360" w:lineRule="auto"/>
        <w:ind w:firstLine="600" w:firstLineChars="200"/>
        <w:rPr>
          <w:rFonts w:eastAsia="黑体"/>
          <w:color w:val="auto"/>
          <w:sz w:val="30"/>
          <w:szCs w:val="32"/>
          <w:highlight w:val="none"/>
        </w:rPr>
      </w:pPr>
      <w:bookmarkStart w:id="302" w:name="_Toc312678039"/>
      <w:bookmarkStart w:id="303" w:name="_Toc292559406"/>
      <w:bookmarkStart w:id="304" w:name="_Toc292559911"/>
      <w:bookmarkStart w:id="305" w:name="_Toc296347200"/>
      <w:bookmarkStart w:id="306" w:name="_Toc296891029"/>
      <w:bookmarkStart w:id="307" w:name="_Toc297120501"/>
      <w:bookmarkStart w:id="308" w:name="_Toc296944540"/>
      <w:bookmarkStart w:id="309" w:name="_Toc296503201"/>
      <w:bookmarkStart w:id="310" w:name="_Toc297123550"/>
      <w:bookmarkStart w:id="311" w:name="_Toc304295577"/>
      <w:bookmarkStart w:id="312" w:name="_Toc296891241"/>
      <w:bookmarkStart w:id="313" w:name="_Toc297048387"/>
      <w:bookmarkStart w:id="314" w:name="_Toc297216209"/>
      <w:bookmarkStart w:id="315" w:name="_Toc303539157"/>
      <w:bookmarkStart w:id="316" w:name="_Toc296346702"/>
      <w:bookmarkStart w:id="317" w:name="_Toc300935000"/>
      <w:r>
        <w:rPr>
          <w:rFonts w:eastAsia="黑体"/>
          <w:color w:val="auto"/>
          <w:sz w:val="30"/>
          <w:szCs w:val="32"/>
          <w:highlight w:val="none"/>
        </w:rPr>
        <w:t>11.1 市场价格波动引起的调整</w:t>
      </w:r>
    </w:p>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14:paraId="2EB06737">
      <w:pPr>
        <w:spacing w:line="360" w:lineRule="auto"/>
        <w:ind w:firstLine="600" w:firstLineChars="200"/>
        <w:jc w:val="left"/>
        <w:rPr>
          <w:rFonts w:hint="eastAsia" w:eastAsia="仿宋_GB2312"/>
          <w:color w:val="auto"/>
          <w:sz w:val="30"/>
          <w:szCs w:val="32"/>
          <w:highlight w:val="none"/>
        </w:rPr>
      </w:pPr>
      <w:r>
        <w:rPr>
          <w:rFonts w:eastAsia="仿宋_GB2312"/>
          <w:color w:val="auto"/>
          <w:kern w:val="0"/>
          <w:sz w:val="30"/>
          <w:szCs w:val="32"/>
          <w:highlight w:val="none"/>
        </w:rPr>
        <w:t>市场价格波动是否调整合同价格的约定：</w:t>
      </w:r>
      <w:r>
        <w:rPr>
          <w:rFonts w:eastAsia="仿宋_GB2312"/>
          <w:color w:val="auto"/>
          <w:sz w:val="30"/>
          <w:szCs w:val="32"/>
          <w:highlight w:val="none"/>
        </w:rPr>
        <w:t>不调整。</w:t>
      </w:r>
    </w:p>
    <w:bookmarkEnd w:id="277"/>
    <w:bookmarkEnd w:id="278"/>
    <w:bookmarkEnd w:id="279"/>
    <w:bookmarkEnd w:id="280"/>
    <w:bookmarkEnd w:id="281"/>
    <w:bookmarkEnd w:id="282"/>
    <w:p w14:paraId="18C31208">
      <w:pPr>
        <w:pStyle w:val="5"/>
        <w:spacing w:before="120" w:after="120" w:line="360" w:lineRule="auto"/>
        <w:rPr>
          <w:rFonts w:ascii="Times New Roman" w:hAnsi="Times New Roman" w:eastAsia="黑体"/>
          <w:b w:val="0"/>
          <w:color w:val="auto"/>
          <w:sz w:val="32"/>
          <w:szCs w:val="32"/>
          <w:highlight w:val="none"/>
        </w:rPr>
      </w:pPr>
      <w:bookmarkStart w:id="318" w:name="_Toc292559915"/>
      <w:bookmarkStart w:id="319" w:name="_Toc292559410"/>
      <w:bookmarkStart w:id="320" w:name="_Toc296346706"/>
      <w:bookmarkStart w:id="321" w:name="_Toc296347204"/>
      <w:bookmarkStart w:id="322" w:name="_Toc296944544"/>
      <w:bookmarkStart w:id="323" w:name="_Toc297048391"/>
      <w:bookmarkStart w:id="324" w:name="_Toc296891245"/>
      <w:bookmarkStart w:id="325" w:name="_Toc297120505"/>
      <w:bookmarkStart w:id="326" w:name="_Toc296503205"/>
      <w:bookmarkStart w:id="327" w:name="_Toc296891033"/>
      <w:bookmarkStart w:id="328" w:name="_Toc351203644"/>
      <w:bookmarkStart w:id="329" w:name="_Toc304295579"/>
      <w:bookmarkStart w:id="330" w:name="_Toc300935002"/>
      <w:bookmarkStart w:id="331" w:name="_Toc312678040"/>
      <w:bookmarkStart w:id="332" w:name="_Toc303539159"/>
      <w:bookmarkStart w:id="333" w:name="_Toc297123552"/>
      <w:bookmarkStart w:id="334" w:name="_Toc297216211"/>
      <w:r>
        <w:rPr>
          <w:rFonts w:ascii="Times New Roman" w:hAnsi="Times New Roman" w:eastAsia="黑体"/>
          <w:b w:val="0"/>
          <w:color w:val="auto"/>
          <w:sz w:val="32"/>
          <w:szCs w:val="32"/>
          <w:highlight w:val="none"/>
        </w:rPr>
        <w:t xml:space="preserve">12. </w:t>
      </w:r>
      <w:bookmarkEnd w:id="318"/>
      <w:bookmarkEnd w:id="319"/>
      <w:bookmarkEnd w:id="320"/>
      <w:bookmarkEnd w:id="321"/>
      <w:bookmarkEnd w:id="322"/>
      <w:bookmarkEnd w:id="323"/>
      <w:bookmarkEnd w:id="324"/>
      <w:bookmarkEnd w:id="325"/>
      <w:bookmarkEnd w:id="326"/>
      <w:bookmarkEnd w:id="327"/>
      <w:r>
        <w:rPr>
          <w:rFonts w:ascii="Times New Roman" w:hAnsi="Times New Roman" w:eastAsia="黑体"/>
          <w:b w:val="0"/>
          <w:color w:val="auto"/>
          <w:sz w:val="32"/>
          <w:szCs w:val="32"/>
          <w:highlight w:val="none"/>
        </w:rPr>
        <w:t>合同价格、计量与支付</w:t>
      </w:r>
      <w:bookmarkEnd w:id="328"/>
    </w:p>
    <w:bookmarkEnd w:id="329"/>
    <w:bookmarkEnd w:id="330"/>
    <w:bookmarkEnd w:id="331"/>
    <w:bookmarkEnd w:id="332"/>
    <w:bookmarkEnd w:id="333"/>
    <w:bookmarkEnd w:id="334"/>
    <w:p w14:paraId="60E2FC58">
      <w:pPr>
        <w:spacing w:after="120" w:line="360" w:lineRule="auto"/>
        <w:ind w:firstLine="600" w:firstLineChars="200"/>
        <w:rPr>
          <w:rFonts w:eastAsia="黑体"/>
          <w:color w:val="auto"/>
          <w:sz w:val="30"/>
          <w:szCs w:val="32"/>
          <w:highlight w:val="none"/>
          <w:u w:val="single"/>
        </w:rPr>
      </w:pPr>
      <w:bookmarkStart w:id="335" w:name="_Toc292559411"/>
      <w:bookmarkStart w:id="336" w:name="_Toc267251461"/>
      <w:bookmarkStart w:id="337" w:name="_Toc292559916"/>
      <w:bookmarkStart w:id="338" w:name="_Toc296944545"/>
      <w:bookmarkStart w:id="339" w:name="_Toc297120506"/>
      <w:bookmarkStart w:id="340" w:name="_Toc296503206"/>
      <w:bookmarkStart w:id="341" w:name="_Toc296347205"/>
      <w:bookmarkStart w:id="342" w:name="_Toc296891246"/>
      <w:bookmarkStart w:id="343" w:name="_Toc296891034"/>
      <w:bookmarkStart w:id="344" w:name="_Toc296346707"/>
      <w:bookmarkStart w:id="345" w:name="_Toc297048392"/>
      <w:bookmarkStart w:id="346" w:name="_Toc312678041"/>
      <w:bookmarkStart w:id="347" w:name="_Toc300935003"/>
      <w:bookmarkStart w:id="348" w:name="_Toc304295580"/>
      <w:bookmarkStart w:id="349" w:name="_Toc303539160"/>
      <w:bookmarkStart w:id="350" w:name="_Toc297123553"/>
      <w:bookmarkStart w:id="351" w:name="_Toc297216212"/>
      <w:r>
        <w:rPr>
          <w:rFonts w:eastAsia="黑体"/>
          <w:color w:val="auto"/>
          <w:sz w:val="30"/>
          <w:szCs w:val="32"/>
          <w:highlight w:val="none"/>
        </w:rPr>
        <w:t>12.1 合</w:t>
      </w:r>
      <w:bookmarkEnd w:id="335"/>
      <w:bookmarkEnd w:id="336"/>
      <w:bookmarkEnd w:id="337"/>
      <w:r>
        <w:rPr>
          <w:rFonts w:eastAsia="黑体"/>
          <w:color w:val="auto"/>
          <w:sz w:val="30"/>
          <w:szCs w:val="32"/>
          <w:highlight w:val="none"/>
        </w:rPr>
        <w:t>同价</w:t>
      </w:r>
      <w:bookmarkEnd w:id="338"/>
      <w:bookmarkEnd w:id="339"/>
      <w:bookmarkEnd w:id="340"/>
      <w:bookmarkEnd w:id="341"/>
      <w:bookmarkEnd w:id="342"/>
      <w:bookmarkEnd w:id="343"/>
      <w:bookmarkEnd w:id="344"/>
      <w:bookmarkEnd w:id="345"/>
      <w:r>
        <w:rPr>
          <w:rFonts w:eastAsia="黑体"/>
          <w:color w:val="auto"/>
          <w:sz w:val="30"/>
          <w:szCs w:val="32"/>
          <w:highlight w:val="none"/>
        </w:rPr>
        <w:t>格形式：</w:t>
      </w:r>
      <w:r>
        <w:rPr>
          <w:rFonts w:hint="eastAsia" w:eastAsia="黑体"/>
          <w:color w:val="auto"/>
          <w:sz w:val="30"/>
          <w:szCs w:val="32"/>
          <w:highlight w:val="none"/>
          <w:u w:val="single"/>
        </w:rPr>
        <w:t>固定单价合同  。</w:t>
      </w:r>
    </w:p>
    <w:bookmarkEnd w:id="346"/>
    <w:bookmarkEnd w:id="347"/>
    <w:bookmarkEnd w:id="348"/>
    <w:bookmarkEnd w:id="349"/>
    <w:bookmarkEnd w:id="350"/>
    <w:bookmarkEnd w:id="351"/>
    <w:p w14:paraId="076B0E4A">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合同</w:t>
      </w:r>
      <w:r>
        <w:rPr>
          <w:rFonts w:eastAsia="仿宋_GB2312"/>
          <w:color w:val="auto"/>
          <w:sz w:val="30"/>
          <w:szCs w:val="32"/>
          <w:highlight w:val="none"/>
        </w:rPr>
        <w:t>风险范围</w:t>
      </w:r>
      <w:r>
        <w:rPr>
          <w:rFonts w:hint="eastAsia" w:eastAsia="仿宋_GB2312"/>
          <w:color w:val="auto"/>
          <w:sz w:val="30"/>
          <w:szCs w:val="32"/>
          <w:highlight w:val="none"/>
        </w:rPr>
        <w:t>包含但不限于</w:t>
      </w:r>
      <w:r>
        <w:rPr>
          <w:rFonts w:eastAsia="仿宋_GB2312"/>
          <w:color w:val="auto"/>
          <w:sz w:val="30"/>
          <w:szCs w:val="32"/>
          <w:highlight w:val="none"/>
        </w:rPr>
        <w:t>：</w:t>
      </w:r>
    </w:p>
    <w:p w14:paraId="329BF114">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1、 合同期内人工、材料、机械、设备价格变动或其他因素调整、变动；</w:t>
      </w:r>
    </w:p>
    <w:p w14:paraId="4740326A">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2、 在限定的工期内完成施工项目及整项工程并达到合同规定的质量标准所需要的费用，隐含的为完成该项目而必须发生的费用；</w:t>
      </w:r>
    </w:p>
    <w:p w14:paraId="40EB019A">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3、一个月内临时停水、停电在工作时间24小时以内的停工、窝工损失；</w:t>
      </w:r>
    </w:p>
    <w:p w14:paraId="2E38E618">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4、发包人供应材料设备不及时，造成的停、窝工每月在工作时间24小时以内的损失；</w:t>
      </w:r>
    </w:p>
    <w:p w14:paraId="2ECC4A4C">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5、材料的理论重量与实际重量的差；材料颜色、规格的变动(但不包括钢材)；</w:t>
      </w:r>
    </w:p>
    <w:p w14:paraId="4A30495E">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发生以上事件所延误的工期和增加的费用由承包人承担。</w:t>
      </w:r>
    </w:p>
    <w:p w14:paraId="4E2BD00A">
      <w:pPr>
        <w:spacing w:after="120" w:line="360" w:lineRule="auto"/>
        <w:ind w:firstLine="600" w:firstLineChars="200"/>
        <w:rPr>
          <w:rFonts w:eastAsia="黑体"/>
          <w:color w:val="auto"/>
          <w:sz w:val="30"/>
          <w:szCs w:val="32"/>
          <w:highlight w:val="none"/>
        </w:rPr>
      </w:pPr>
      <w:bookmarkStart w:id="352" w:name="_Toc300935004"/>
      <w:bookmarkStart w:id="353" w:name="_Toc304295581"/>
      <w:bookmarkStart w:id="354" w:name="_Toc297123554"/>
      <w:bookmarkStart w:id="355" w:name="_Toc312678042"/>
      <w:bookmarkStart w:id="356" w:name="_Toc303539161"/>
      <w:bookmarkStart w:id="357" w:name="_Toc297216213"/>
      <w:bookmarkStart w:id="358" w:name="_Toc292559412"/>
      <w:bookmarkStart w:id="359" w:name="_Toc296347206"/>
      <w:bookmarkStart w:id="360" w:name="_Toc296346708"/>
      <w:bookmarkStart w:id="361" w:name="_Toc296891247"/>
      <w:bookmarkStart w:id="362" w:name="_Toc292559917"/>
      <w:bookmarkStart w:id="363" w:name="_Toc297048393"/>
      <w:bookmarkStart w:id="364" w:name="_Toc296891035"/>
      <w:bookmarkStart w:id="365" w:name="_Toc296503207"/>
      <w:bookmarkStart w:id="366" w:name="_Toc296944546"/>
      <w:bookmarkStart w:id="367" w:name="_Toc297120507"/>
      <w:r>
        <w:rPr>
          <w:rFonts w:eastAsia="黑体"/>
          <w:color w:val="auto"/>
          <w:sz w:val="30"/>
          <w:szCs w:val="32"/>
          <w:highlight w:val="none"/>
        </w:rPr>
        <w:t>12.2 预付款</w:t>
      </w:r>
    </w:p>
    <w:bookmarkEnd w:id="352"/>
    <w:bookmarkEnd w:id="353"/>
    <w:bookmarkEnd w:id="354"/>
    <w:bookmarkEnd w:id="355"/>
    <w:bookmarkEnd w:id="356"/>
    <w:bookmarkEnd w:id="357"/>
    <w:p w14:paraId="6060A97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12.2.1 预付款的支付</w:t>
      </w:r>
    </w:p>
    <w:p w14:paraId="4D2C4D6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预付款支付比例或金额：</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不支付预付款</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358"/>
    <w:bookmarkEnd w:id="359"/>
    <w:bookmarkEnd w:id="360"/>
    <w:bookmarkEnd w:id="361"/>
    <w:bookmarkEnd w:id="362"/>
    <w:bookmarkEnd w:id="363"/>
    <w:bookmarkEnd w:id="364"/>
    <w:bookmarkEnd w:id="365"/>
    <w:bookmarkEnd w:id="366"/>
    <w:bookmarkEnd w:id="367"/>
    <w:p w14:paraId="0EF02A0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12.3 计量</w:t>
      </w:r>
    </w:p>
    <w:p w14:paraId="6BDD8D6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12.3.1 计量原则</w:t>
      </w:r>
    </w:p>
    <w:p w14:paraId="6A4D4AA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工程量计算规则：</w:t>
      </w:r>
      <w:r>
        <w:rPr>
          <w:rFonts w:eastAsia="仿宋_GB2312"/>
          <w:color w:val="auto"/>
          <w:sz w:val="30"/>
          <w:szCs w:val="32"/>
          <w:highlight w:val="none"/>
          <w:u w:val="single"/>
        </w:rPr>
        <w:t xml:space="preserve"> </w:t>
      </w:r>
      <w:r>
        <w:rPr>
          <w:rFonts w:ascii="宋体" w:hAnsi="宋体"/>
          <w:color w:val="auto"/>
          <w:szCs w:val="21"/>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《建设工程工程量清单计价规范》GB50500-2013、《重庆市建设工程工程量清单计价规则》（CQJJGZ-2013）、《重庆市建设工程工程量计算规则》、《重庆市房屋建筑与装饰工程计价定额》（CQ</w:t>
      </w:r>
      <w:r>
        <w:rPr>
          <w:rFonts w:eastAsia="仿宋_GB2312"/>
          <w:color w:val="auto"/>
          <w:sz w:val="30"/>
          <w:szCs w:val="32"/>
          <w:highlight w:val="none"/>
          <w:u w:val="single"/>
        </w:rPr>
        <w:t>JZZS</w:t>
      </w:r>
      <w:r>
        <w:rPr>
          <w:rFonts w:hint="eastAsia" w:eastAsia="仿宋_GB2312"/>
          <w:color w:val="auto"/>
          <w:sz w:val="30"/>
          <w:szCs w:val="32"/>
          <w:highlight w:val="none"/>
          <w:u w:val="single"/>
        </w:rPr>
        <w:t>DE-2018）、《重庆市市政工程计价定额》（CQSZDE-20</w:t>
      </w:r>
      <w:r>
        <w:rPr>
          <w:rFonts w:eastAsia="仿宋_GB2312"/>
          <w:color w:val="auto"/>
          <w:sz w:val="30"/>
          <w:szCs w:val="32"/>
          <w:highlight w:val="none"/>
          <w:u w:val="single"/>
        </w:rPr>
        <w:t>1</w:t>
      </w:r>
      <w:r>
        <w:rPr>
          <w:rFonts w:hint="eastAsia" w:eastAsia="仿宋_GB2312"/>
          <w:color w:val="auto"/>
          <w:sz w:val="30"/>
          <w:szCs w:val="32"/>
          <w:highlight w:val="none"/>
          <w:u w:val="single"/>
        </w:rPr>
        <w:t>8）、《重庆市通用安装工程计价定额》（CQAZDE-2018）、《重庆市房屋修缮工程计价定额》（C</w:t>
      </w:r>
      <w:r>
        <w:rPr>
          <w:rFonts w:eastAsia="仿宋_GB2312"/>
          <w:color w:val="auto"/>
          <w:sz w:val="30"/>
          <w:szCs w:val="32"/>
          <w:highlight w:val="none"/>
          <w:u w:val="single"/>
        </w:rPr>
        <w:t>QXSDE-2018）、《</w:t>
      </w:r>
      <w:r>
        <w:rPr>
          <w:rFonts w:hint="eastAsia" w:eastAsia="仿宋_GB2312"/>
          <w:color w:val="auto"/>
          <w:sz w:val="30"/>
          <w:szCs w:val="32"/>
          <w:highlight w:val="none"/>
          <w:u w:val="single"/>
        </w:rPr>
        <w:t>重庆市绿色建筑工程计价定额》（C</w:t>
      </w:r>
      <w:r>
        <w:rPr>
          <w:rFonts w:eastAsia="仿宋_GB2312"/>
          <w:color w:val="auto"/>
          <w:sz w:val="30"/>
          <w:szCs w:val="32"/>
          <w:highlight w:val="none"/>
          <w:u w:val="single"/>
        </w:rPr>
        <w:t>QLSJZDE-2018）、</w:t>
      </w:r>
      <w:r>
        <w:rPr>
          <w:rFonts w:hint="eastAsia" w:eastAsia="仿宋_GB2312"/>
          <w:color w:val="auto"/>
          <w:sz w:val="30"/>
          <w:szCs w:val="32"/>
          <w:highlight w:val="none"/>
          <w:u w:val="single"/>
        </w:rPr>
        <w:t>《重庆市建设工程费用定额》（CQFYDE-2018）及相关配套文件明确的计量规则执行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3C75DE5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12.3.2 计量周期</w:t>
      </w:r>
    </w:p>
    <w:p w14:paraId="3A54BE8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关于计量周期的约定：</w:t>
      </w:r>
      <w:r>
        <w:rPr>
          <w:rFonts w:eastAsia="仿宋_GB2312"/>
          <w:color w:val="auto"/>
          <w:sz w:val="30"/>
          <w:szCs w:val="32"/>
          <w:highlight w:val="none"/>
          <w:u w:val="single"/>
        </w:rPr>
        <w:t xml:space="preserve">  工程量的计量按月进行</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68A7BF44">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12.3.3 单价合同的计量</w:t>
      </w:r>
    </w:p>
    <w:p w14:paraId="5C7297E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关于单价合同计量的约定：</w:t>
      </w:r>
      <w:r>
        <w:rPr>
          <w:rFonts w:eastAsia="仿宋_GB2312"/>
          <w:color w:val="auto"/>
          <w:sz w:val="30"/>
          <w:szCs w:val="32"/>
          <w:highlight w:val="none"/>
          <w:u w:val="single"/>
        </w:rPr>
        <w:t xml:space="preserve">  承包人应于每月20日向监理人报送上月15日至当月14日已完成的工程量报告，并附具进度付款申请单、已完成工程量报表和有关资料；</w:t>
      </w:r>
      <w:r>
        <w:rPr>
          <w:rFonts w:hint="eastAsia" w:eastAsia="仿宋_GB2312"/>
          <w:color w:val="auto"/>
          <w:sz w:val="30"/>
          <w:szCs w:val="32"/>
          <w:highlight w:val="none"/>
          <w:u w:val="single"/>
        </w:rPr>
        <w:t>监理人应在收到</w:t>
      </w:r>
      <w:r>
        <w:rPr>
          <w:rFonts w:eastAsia="仿宋_GB2312"/>
          <w:color w:val="auto"/>
          <w:sz w:val="30"/>
          <w:szCs w:val="32"/>
          <w:highlight w:val="none"/>
          <w:u w:val="single"/>
        </w:rPr>
        <w:t>承包人提交的工程量报告后3天内完成对承包人提交的工程量报表的审核并报送发包人；</w:t>
      </w:r>
      <w:r>
        <w:rPr>
          <w:rFonts w:hint="eastAsia" w:eastAsia="仿宋_GB2312"/>
          <w:color w:val="auto"/>
          <w:sz w:val="30"/>
          <w:szCs w:val="32"/>
          <w:highlight w:val="none"/>
          <w:u w:val="single"/>
        </w:rPr>
        <w:t>发包人应于次月10日内完成审核</w:t>
      </w:r>
      <w:r>
        <w:rPr>
          <w:rFonts w:eastAsia="仿宋_GB2312"/>
          <w:color w:val="auto"/>
          <w:sz w:val="30"/>
          <w:szCs w:val="32"/>
          <w:highlight w:val="none"/>
          <w:u w:val="single"/>
        </w:rPr>
        <w:t xml:space="preserve">    </w:t>
      </w:r>
      <w:r>
        <w:rPr>
          <w:rFonts w:eastAsia="仿宋_GB2312"/>
          <w:color w:val="auto"/>
          <w:sz w:val="30"/>
          <w:szCs w:val="32"/>
          <w:highlight w:val="none"/>
        </w:rPr>
        <w:t>。</w:t>
      </w:r>
    </w:p>
    <w:p w14:paraId="5C4B96FE">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12.4 工程进度款支付</w:t>
      </w:r>
    </w:p>
    <w:p w14:paraId="6A8D5C8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发包人在进度审核完成后7日内，</w:t>
      </w:r>
      <w:r>
        <w:rPr>
          <w:rFonts w:eastAsia="仿宋_GB2312"/>
          <w:color w:val="auto"/>
          <w:sz w:val="30"/>
          <w:szCs w:val="32"/>
          <w:highlight w:val="none"/>
        </w:rPr>
        <w:t>按经发包人审核的当月完成工程形象进度的</w:t>
      </w:r>
      <w:r>
        <w:rPr>
          <w:rFonts w:hint="eastAsia" w:eastAsia="仿宋_GB2312"/>
          <w:color w:val="auto"/>
          <w:sz w:val="30"/>
          <w:szCs w:val="32"/>
          <w:highlight w:val="none"/>
        </w:rPr>
        <w:t>8</w:t>
      </w:r>
      <w:r>
        <w:rPr>
          <w:rFonts w:eastAsia="仿宋_GB2312"/>
          <w:color w:val="auto"/>
          <w:sz w:val="30"/>
          <w:szCs w:val="32"/>
          <w:highlight w:val="none"/>
        </w:rPr>
        <w:t>0%支付，</w:t>
      </w:r>
      <w:r>
        <w:rPr>
          <w:rFonts w:hint="eastAsia" w:eastAsia="仿宋_GB2312"/>
          <w:color w:val="auto"/>
          <w:sz w:val="30"/>
          <w:szCs w:val="32"/>
          <w:highlight w:val="none"/>
        </w:rPr>
        <w:t>但累计进度款支付总额不超过合同金额的80%</w:t>
      </w:r>
      <w:r>
        <w:rPr>
          <w:rFonts w:eastAsia="仿宋_GB2312"/>
          <w:color w:val="auto"/>
          <w:sz w:val="30"/>
          <w:szCs w:val="32"/>
          <w:highlight w:val="none"/>
        </w:rPr>
        <w:t>。</w:t>
      </w:r>
      <w:r>
        <w:rPr>
          <w:rFonts w:eastAsia="仿宋_GB2312"/>
          <w:color w:val="auto"/>
          <w:sz w:val="30"/>
          <w:szCs w:val="32"/>
          <w:highlight w:val="none"/>
        </w:rPr>
        <w:tab/>
      </w:r>
    </w:p>
    <w:p w14:paraId="13E239B0">
      <w:pPr>
        <w:spacing w:line="360" w:lineRule="auto"/>
        <w:ind w:firstLine="600" w:firstLineChars="200"/>
        <w:jc w:val="left"/>
        <w:rPr>
          <w:rFonts w:eastAsia="黑体"/>
          <w:color w:val="auto"/>
          <w:sz w:val="30"/>
          <w:szCs w:val="32"/>
          <w:highlight w:val="none"/>
        </w:rPr>
      </w:pPr>
      <w:r>
        <w:rPr>
          <w:rFonts w:eastAsia="黑体"/>
          <w:color w:val="auto"/>
          <w:sz w:val="30"/>
          <w:szCs w:val="32"/>
          <w:highlight w:val="none"/>
        </w:rPr>
        <w:t>12.6 工程</w:t>
      </w:r>
      <w:r>
        <w:rPr>
          <w:rFonts w:hint="eastAsia" w:eastAsia="黑体"/>
          <w:color w:val="auto"/>
          <w:sz w:val="30"/>
          <w:szCs w:val="32"/>
          <w:highlight w:val="none"/>
        </w:rPr>
        <w:t>款支付方式</w:t>
      </w:r>
    </w:p>
    <w:p w14:paraId="70B9623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发包人的支付方式约定为银行承兑汇票；如若付款方式调整为电汇付款（银行转账），则承包人对发包人的支付金额给予 1%的现金折扣（其中，需付至农民工工资专户的农民工工资和配置票据后付款尾差≤5000 元的现金支付部分不享受该现金折扣）。</w:t>
      </w:r>
    </w:p>
    <w:bookmarkEnd w:id="283"/>
    <w:p w14:paraId="23BA3AB3">
      <w:pPr>
        <w:pStyle w:val="5"/>
        <w:spacing w:before="120" w:after="120" w:line="360" w:lineRule="auto"/>
        <w:rPr>
          <w:rFonts w:ascii="Times New Roman" w:hAnsi="Times New Roman" w:eastAsia="黑体"/>
          <w:b w:val="0"/>
          <w:color w:val="auto"/>
          <w:sz w:val="32"/>
          <w:szCs w:val="32"/>
          <w:highlight w:val="none"/>
        </w:rPr>
      </w:pPr>
      <w:bookmarkStart w:id="368" w:name="_Toc351203645"/>
      <w:bookmarkStart w:id="369" w:name="_Toc297123564"/>
      <w:bookmarkStart w:id="370" w:name="_Toc304295593"/>
      <w:bookmarkStart w:id="371" w:name="_Toc300935015"/>
      <w:bookmarkStart w:id="372" w:name="_Toc297048405"/>
      <w:bookmarkStart w:id="373" w:name="_Toc312678053"/>
      <w:bookmarkStart w:id="374" w:name="_Toc296347218"/>
      <w:bookmarkStart w:id="375" w:name="_Toc297120519"/>
      <w:bookmarkStart w:id="376" w:name="_Toc297216223"/>
      <w:bookmarkStart w:id="377" w:name="_Toc296346720"/>
      <w:bookmarkStart w:id="378" w:name="_Toc292559424"/>
      <w:bookmarkStart w:id="379" w:name="_Toc296891047"/>
      <w:bookmarkStart w:id="380" w:name="_Toc303539172"/>
      <w:bookmarkStart w:id="381" w:name="_Toc292559929"/>
      <w:bookmarkStart w:id="382" w:name="_Toc296891259"/>
      <w:bookmarkStart w:id="383" w:name="_Toc296503219"/>
      <w:bookmarkStart w:id="384" w:name="_Toc296944558"/>
      <w:r>
        <w:rPr>
          <w:rFonts w:ascii="Times New Roman" w:hAnsi="Times New Roman" w:eastAsia="黑体"/>
          <w:b w:val="0"/>
          <w:color w:val="auto"/>
          <w:sz w:val="32"/>
          <w:szCs w:val="32"/>
          <w:highlight w:val="none"/>
        </w:rPr>
        <w:t>13.</w:t>
      </w:r>
      <w:r>
        <w:rPr>
          <w:rFonts w:hint="eastAsia" w:ascii="Times New Roman" w:hAnsi="Times New Roman" w:eastAsia="黑体"/>
          <w:b w:val="0"/>
          <w:color w:val="auto"/>
          <w:sz w:val="32"/>
          <w:szCs w:val="32"/>
          <w:highlight w:val="none"/>
        </w:rPr>
        <w:t xml:space="preserve"> </w:t>
      </w:r>
      <w:r>
        <w:rPr>
          <w:rFonts w:ascii="Times New Roman" w:hAnsi="Times New Roman" w:eastAsia="黑体"/>
          <w:b w:val="0"/>
          <w:color w:val="auto"/>
          <w:sz w:val="32"/>
          <w:szCs w:val="32"/>
          <w:highlight w:val="none"/>
        </w:rPr>
        <w:t>验收和工程试车</w:t>
      </w:r>
      <w:bookmarkEnd w:id="368"/>
    </w:p>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14:paraId="74FCD6A2">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13.1 分部分项工程验收</w:t>
      </w:r>
    </w:p>
    <w:p w14:paraId="5D5C969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13.1.2监理人不能按时进行验收时，应提前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5BDA3841">
      <w:pPr>
        <w:spacing w:line="360" w:lineRule="auto"/>
        <w:ind w:firstLine="600" w:firstLineChars="200"/>
        <w:jc w:val="left"/>
        <w:rPr>
          <w:rFonts w:eastAsia="仿宋_GB2312"/>
          <w:b/>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789AFFB7">
      <w:pPr>
        <w:spacing w:after="120" w:line="360" w:lineRule="auto"/>
        <w:ind w:firstLine="600" w:firstLineChars="200"/>
        <w:rPr>
          <w:rFonts w:eastAsia="黑体"/>
          <w:color w:val="auto"/>
          <w:sz w:val="30"/>
          <w:szCs w:val="32"/>
          <w:highlight w:val="none"/>
        </w:rPr>
      </w:pPr>
      <w:bookmarkStart w:id="385" w:name="_Toc297216224"/>
      <w:bookmarkStart w:id="386" w:name="_Toc297120523"/>
      <w:bookmarkStart w:id="387" w:name="_Toc296944562"/>
      <w:bookmarkStart w:id="388" w:name="_Toc303539173"/>
      <w:bookmarkStart w:id="389" w:name="_Toc300935016"/>
      <w:bookmarkStart w:id="390" w:name="_Toc304295596"/>
      <w:bookmarkStart w:id="391" w:name="_Toc297048409"/>
      <w:bookmarkStart w:id="392" w:name="_Toc292559428"/>
      <w:bookmarkStart w:id="393" w:name="_Toc296346724"/>
      <w:bookmarkStart w:id="394" w:name="_Toc297123565"/>
      <w:bookmarkStart w:id="395" w:name="_Toc292559933"/>
      <w:bookmarkStart w:id="396" w:name="_Toc296891051"/>
      <w:bookmarkStart w:id="397" w:name="_Toc296503223"/>
      <w:bookmarkStart w:id="398" w:name="_Toc312678056"/>
      <w:bookmarkStart w:id="399" w:name="_Toc296347222"/>
      <w:bookmarkStart w:id="400" w:name="_Toc296891263"/>
      <w:bookmarkStart w:id="401" w:name="_Toc267251476"/>
      <w:bookmarkStart w:id="402" w:name="_Toc267251471"/>
      <w:bookmarkStart w:id="403" w:name="_Toc267251473"/>
      <w:bookmarkStart w:id="404" w:name="_Toc267251474"/>
      <w:bookmarkStart w:id="405" w:name="_Toc267251472"/>
      <w:bookmarkStart w:id="406" w:name="_Toc267251470"/>
      <w:bookmarkStart w:id="407" w:name="_Toc267251475"/>
      <w:r>
        <w:rPr>
          <w:rFonts w:eastAsia="黑体"/>
          <w:color w:val="auto"/>
          <w:sz w:val="30"/>
          <w:szCs w:val="32"/>
          <w:highlight w:val="none"/>
        </w:rPr>
        <w:t>13.2 竣工验收</w:t>
      </w:r>
    </w:p>
    <w:p w14:paraId="4C5A664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13.2.1</w:t>
      </w:r>
      <w:r>
        <w:rPr>
          <w:rFonts w:hint="eastAsia" w:eastAsia="仿宋_GB2312"/>
          <w:color w:val="auto"/>
          <w:sz w:val="30"/>
          <w:szCs w:val="32"/>
          <w:highlight w:val="none"/>
        </w:rPr>
        <w:t>竣工资料</w:t>
      </w:r>
    </w:p>
    <w:p w14:paraId="5D570D03">
      <w:pPr>
        <w:spacing w:after="120" w:line="360" w:lineRule="auto"/>
        <w:ind w:firstLine="600" w:firstLineChars="200"/>
        <w:rPr>
          <w:rFonts w:ascii="宋体" w:hAnsi="宋体"/>
          <w:color w:val="auto"/>
          <w:szCs w:val="21"/>
          <w:highlight w:val="none"/>
        </w:rPr>
      </w:pPr>
      <w:r>
        <w:rPr>
          <w:rFonts w:hint="eastAsia" w:eastAsia="仿宋_GB2312"/>
          <w:color w:val="auto"/>
          <w:kern w:val="0"/>
          <w:sz w:val="30"/>
          <w:szCs w:val="32"/>
          <w:highlight w:val="none"/>
        </w:rPr>
        <w:t>竣工资料内容：</w:t>
      </w:r>
      <w:r>
        <w:rPr>
          <w:rFonts w:hint="eastAsia" w:eastAsia="仿宋_GB2312"/>
          <w:color w:val="auto"/>
          <w:sz w:val="30"/>
          <w:szCs w:val="32"/>
          <w:highlight w:val="none"/>
          <w:u w:val="single"/>
        </w:rPr>
        <w:t xml:space="preserve">   建设工程档案验收所需的所有资料  </w:t>
      </w:r>
      <w:r>
        <w:rPr>
          <w:rFonts w:hint="eastAsia" w:eastAsia="仿宋_GB2312"/>
          <w:color w:val="auto"/>
          <w:sz w:val="30"/>
          <w:szCs w:val="32"/>
          <w:highlight w:val="none"/>
        </w:rPr>
        <w:t>。</w:t>
      </w:r>
    </w:p>
    <w:p w14:paraId="13C7D87B">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竣工资料份数：</w:t>
      </w:r>
      <w:r>
        <w:rPr>
          <w:rFonts w:hint="eastAsia" w:eastAsia="仿宋_GB2312"/>
          <w:color w:val="auto"/>
          <w:sz w:val="30"/>
          <w:szCs w:val="32"/>
          <w:highlight w:val="none"/>
          <w:u w:val="single"/>
        </w:rPr>
        <w:t xml:space="preserve"> 竣工验收后承包人向发包人提交验收合格的完整的竣工图和工程竣工技术档案资料一式三份，电子文档及竣工图三份</w:t>
      </w:r>
      <w:r>
        <w:rPr>
          <w:rFonts w:hint="eastAsia" w:eastAsia="仿宋_GB2312"/>
          <w:color w:val="auto"/>
          <w:sz w:val="30"/>
          <w:szCs w:val="32"/>
          <w:highlight w:val="none"/>
        </w:rPr>
        <w:t>。</w:t>
      </w:r>
    </w:p>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14:paraId="551806BE">
      <w:pPr>
        <w:spacing w:line="360" w:lineRule="auto"/>
        <w:ind w:firstLine="600" w:firstLineChars="200"/>
        <w:jc w:val="left"/>
        <w:rPr>
          <w:rFonts w:eastAsia="仿宋_GB2312"/>
          <w:color w:val="auto"/>
          <w:sz w:val="30"/>
          <w:szCs w:val="32"/>
          <w:highlight w:val="none"/>
        </w:rPr>
      </w:pPr>
      <w:bookmarkStart w:id="408" w:name="_Toc280868704"/>
      <w:bookmarkStart w:id="409" w:name="_Toc280868705"/>
      <w:bookmarkStart w:id="410" w:name="_Toc280868706"/>
      <w:bookmarkStart w:id="411" w:name="_Toc280868707"/>
      <w:bookmarkStart w:id="412" w:name="_Toc280868708"/>
      <w:bookmarkStart w:id="413" w:name="_Toc280868709"/>
      <w:r>
        <w:rPr>
          <w:rFonts w:eastAsia="仿宋_GB2312"/>
          <w:color w:val="auto"/>
          <w:sz w:val="30"/>
          <w:szCs w:val="32"/>
          <w:highlight w:val="none"/>
        </w:rPr>
        <w:t>13.2.2竣工验收程序</w:t>
      </w:r>
    </w:p>
    <w:bookmarkEnd w:id="408"/>
    <w:p w14:paraId="65FDC92F">
      <w:pPr>
        <w:rPr>
          <w:rFonts w:eastAsia="仿宋_GB2312"/>
          <w:color w:val="auto"/>
          <w:sz w:val="30"/>
          <w:szCs w:val="32"/>
          <w:highlight w:val="none"/>
        </w:rPr>
      </w:pPr>
      <w:r>
        <w:rPr>
          <w:rFonts w:eastAsia="仿宋_GB2312"/>
          <w:color w:val="auto"/>
          <w:kern w:val="0"/>
          <w:sz w:val="30"/>
          <w:szCs w:val="32"/>
          <w:highlight w:val="none"/>
        </w:rPr>
        <w:t>关于竣工验收程序的约定：</w:t>
      </w:r>
      <w:r>
        <w:rPr>
          <w:rFonts w:eastAsia="仿宋_GB2312"/>
          <w:color w:val="auto"/>
          <w:sz w:val="30"/>
          <w:szCs w:val="32"/>
          <w:highlight w:val="none"/>
          <w:u w:val="single"/>
        </w:rPr>
        <w:t xml:space="preserve"> </w:t>
      </w:r>
      <w:r>
        <w:rPr>
          <w:rFonts w:hint="eastAsia" w:eastAsia="仿宋_GB2312"/>
          <w:color w:val="auto"/>
          <w:kern w:val="0"/>
          <w:sz w:val="30"/>
          <w:szCs w:val="32"/>
          <w:highlight w:val="none"/>
          <w:u w:val="single"/>
        </w:rPr>
        <w:t>按住房城乡建设部关于印发《房屋建筑和市政基础设施工程竣工验收规定》的通知（建质〔2013〕171号）文件执行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3FD58694">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发包人不按照本项约定组织竣工验收、颁发工程接收证书的违约金的计算方法：</w:t>
      </w:r>
      <w:r>
        <w:rPr>
          <w:rFonts w:eastAsia="仿宋_GB2312"/>
          <w:color w:val="auto"/>
          <w:sz w:val="30"/>
          <w:szCs w:val="32"/>
          <w:highlight w:val="none"/>
          <w:u w:val="single"/>
        </w:rPr>
        <w:t xml:space="preserve">  每逾期一天，应以签约合同价</w:t>
      </w:r>
      <w:r>
        <w:rPr>
          <w:rFonts w:hint="eastAsia" w:eastAsia="仿宋_GB2312"/>
          <w:color w:val="auto"/>
          <w:sz w:val="30"/>
          <w:szCs w:val="32"/>
          <w:highlight w:val="none"/>
          <w:u w:val="single"/>
        </w:rPr>
        <w:t>扣除已支付工程款</w:t>
      </w:r>
      <w:r>
        <w:rPr>
          <w:rFonts w:eastAsia="仿宋_GB2312"/>
          <w:color w:val="auto"/>
          <w:sz w:val="30"/>
          <w:szCs w:val="32"/>
          <w:highlight w:val="none"/>
          <w:u w:val="single"/>
        </w:rPr>
        <w:t>为基数，按照</w:t>
      </w:r>
      <w:r>
        <w:rPr>
          <w:rFonts w:hint="eastAsia" w:eastAsia="仿宋_GB2312"/>
          <w:color w:val="auto"/>
          <w:sz w:val="30"/>
          <w:szCs w:val="32"/>
          <w:highlight w:val="none"/>
          <w:u w:val="single"/>
        </w:rPr>
        <w:t>按同期全国银行间同业拆借中心公布的一年期贷款市场报价利率（LPR）</w:t>
      </w:r>
      <w:r>
        <w:rPr>
          <w:rFonts w:eastAsia="仿宋_GB2312"/>
          <w:color w:val="auto"/>
          <w:sz w:val="30"/>
          <w:szCs w:val="32"/>
          <w:highlight w:val="none"/>
          <w:u w:val="single"/>
        </w:rPr>
        <w:t xml:space="preserve">支付违约金   </w:t>
      </w:r>
      <w:r>
        <w:rPr>
          <w:rFonts w:eastAsia="仿宋_GB2312"/>
          <w:color w:val="auto"/>
          <w:sz w:val="30"/>
          <w:szCs w:val="32"/>
          <w:highlight w:val="none"/>
        </w:rPr>
        <w:t>。</w:t>
      </w:r>
    </w:p>
    <w:bookmarkEnd w:id="409"/>
    <w:p w14:paraId="383D8C3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13.2.5移交、接收全部与部分工程</w:t>
      </w:r>
    </w:p>
    <w:bookmarkEnd w:id="410"/>
    <w:p w14:paraId="078DA77C">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承包人向发包人移交工程的期限：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通过工程竣工验收后，承包人应在28天内，同发包人办理工程移交手续</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hint="eastAsia" w:eastAsia="仿宋_GB2312"/>
          <w:color w:val="auto"/>
          <w:sz w:val="30"/>
          <w:szCs w:val="32"/>
          <w:highlight w:val="none"/>
        </w:rPr>
        <w:t>。</w:t>
      </w:r>
    </w:p>
    <w:p w14:paraId="39135214">
      <w:pPr>
        <w:spacing w:line="360" w:lineRule="auto"/>
        <w:ind w:firstLine="600" w:firstLineChars="200"/>
        <w:jc w:val="left"/>
        <w:rPr>
          <w:rFonts w:eastAsia="仿宋_GB2312"/>
          <w:color w:val="auto"/>
          <w:sz w:val="30"/>
          <w:szCs w:val="32"/>
          <w:highlight w:val="none"/>
          <w:u w:val="single"/>
        </w:rPr>
      </w:pPr>
      <w:r>
        <w:rPr>
          <w:rFonts w:eastAsia="仿宋_GB2312"/>
          <w:color w:val="auto"/>
          <w:kern w:val="0"/>
          <w:sz w:val="30"/>
          <w:szCs w:val="32"/>
          <w:highlight w:val="none"/>
        </w:rPr>
        <w:t>发包人未按本合同约定接收全部或部分工程的，违约金的计算方法为：</w:t>
      </w:r>
      <w:r>
        <w:rPr>
          <w:rFonts w:hint="eastAsia" w:eastAsia="仿宋_GB2312"/>
          <w:color w:val="auto"/>
          <w:sz w:val="30"/>
          <w:szCs w:val="32"/>
          <w:highlight w:val="none"/>
          <w:u w:val="single"/>
        </w:rPr>
        <w:t xml:space="preserve">由双方确定与此相关的工程照管与养护费用补偿额  </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11"/>
    <w:p w14:paraId="35F0C85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承包人未按时移交工程的，违约金的计算方法为：</w:t>
      </w:r>
      <w:r>
        <w:rPr>
          <w:rFonts w:hint="eastAsia" w:eastAsia="仿宋_GB2312"/>
          <w:color w:val="auto"/>
          <w:sz w:val="30"/>
          <w:szCs w:val="32"/>
          <w:highlight w:val="none"/>
          <w:u w:val="single"/>
        </w:rPr>
        <w:t>按专用合同条款7.5.2执行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12"/>
    <w:p w14:paraId="5071BF9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13.6 竣工退场</w:t>
      </w:r>
    </w:p>
    <w:p w14:paraId="513B9D9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13.6.1 竣工退场</w:t>
      </w:r>
    </w:p>
    <w:p w14:paraId="25AD176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承包人完成竣工退场的期限：</w:t>
      </w:r>
      <w:r>
        <w:rPr>
          <w:rFonts w:hint="eastAsia" w:eastAsia="仿宋_GB2312"/>
          <w:color w:val="auto"/>
          <w:sz w:val="30"/>
          <w:szCs w:val="32"/>
          <w:highlight w:val="none"/>
          <w:u w:val="single"/>
        </w:rPr>
        <w:t>颁发工程接收证书后7天内</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3B53DC75">
      <w:pPr>
        <w:pStyle w:val="5"/>
        <w:spacing w:before="120" w:after="120" w:line="360" w:lineRule="auto"/>
        <w:rPr>
          <w:rFonts w:ascii="Times New Roman" w:hAnsi="Times New Roman" w:eastAsia="黑体"/>
          <w:b w:val="0"/>
          <w:color w:val="auto"/>
          <w:sz w:val="32"/>
          <w:szCs w:val="32"/>
          <w:highlight w:val="none"/>
        </w:rPr>
      </w:pPr>
      <w:bookmarkStart w:id="414" w:name="_Toc351203646"/>
      <w:r>
        <w:rPr>
          <w:rFonts w:ascii="Times New Roman" w:hAnsi="Times New Roman" w:eastAsia="黑体"/>
          <w:b w:val="0"/>
          <w:color w:val="auto"/>
          <w:sz w:val="32"/>
          <w:szCs w:val="32"/>
          <w:highlight w:val="none"/>
        </w:rPr>
        <w:t>14. 竣工结算</w:t>
      </w:r>
      <w:bookmarkEnd w:id="414"/>
    </w:p>
    <w:p w14:paraId="277B07D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14.1 竣工</w:t>
      </w:r>
      <w:r>
        <w:rPr>
          <w:rFonts w:hint="eastAsia" w:eastAsia="黑体"/>
          <w:color w:val="auto"/>
          <w:sz w:val="30"/>
          <w:szCs w:val="32"/>
          <w:highlight w:val="none"/>
        </w:rPr>
        <w:t>结算</w:t>
      </w:r>
      <w:r>
        <w:rPr>
          <w:rFonts w:eastAsia="黑体"/>
          <w:color w:val="auto"/>
          <w:sz w:val="30"/>
          <w:szCs w:val="32"/>
          <w:highlight w:val="none"/>
        </w:rPr>
        <w:t>申请</w:t>
      </w:r>
    </w:p>
    <w:p w14:paraId="46D7C7B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承包人提交竣工</w:t>
      </w:r>
      <w:r>
        <w:rPr>
          <w:rFonts w:hint="eastAsia" w:eastAsia="仿宋_GB2312"/>
          <w:color w:val="auto"/>
          <w:sz w:val="30"/>
          <w:szCs w:val="32"/>
          <w:highlight w:val="none"/>
        </w:rPr>
        <w:t>结算</w:t>
      </w:r>
      <w:r>
        <w:rPr>
          <w:rFonts w:eastAsia="仿宋_GB2312"/>
          <w:color w:val="auto"/>
          <w:sz w:val="30"/>
          <w:szCs w:val="32"/>
          <w:highlight w:val="none"/>
        </w:rPr>
        <w:t>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竣工验收合格后60日历天内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2BC22E8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承包人提交竣工付款申请单的份数：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eastAsia="仿宋_GB2312"/>
          <w:color w:val="auto"/>
          <w:sz w:val="30"/>
          <w:szCs w:val="32"/>
          <w:highlight w:val="none"/>
        </w:rPr>
        <w:t>。</w:t>
      </w:r>
    </w:p>
    <w:p w14:paraId="1B39CBB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竣工</w:t>
      </w:r>
      <w:r>
        <w:rPr>
          <w:rFonts w:hint="eastAsia" w:eastAsia="仿宋_GB2312"/>
          <w:color w:val="auto"/>
          <w:sz w:val="30"/>
          <w:szCs w:val="32"/>
          <w:highlight w:val="none"/>
        </w:rPr>
        <w:t>结算</w:t>
      </w:r>
      <w:r>
        <w:rPr>
          <w:rFonts w:eastAsia="仿宋_GB2312"/>
          <w:color w:val="auto"/>
          <w:sz w:val="30"/>
          <w:szCs w:val="32"/>
          <w:highlight w:val="none"/>
        </w:rPr>
        <w:t>申请单应包括的内容：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(1)竣工结算合同价格。(2)发包人已支付承包人的款项。(3)应扣留的质量保证金，已缴纳履约保证金的或提供其他工程质量担保方式的除外。(4)发包人应支付承包人的合同价款</w:t>
      </w:r>
      <w:r>
        <w:rPr>
          <w:rFonts w:eastAsia="仿宋_GB2312"/>
          <w:color w:val="auto"/>
          <w:sz w:val="30"/>
          <w:szCs w:val="32"/>
          <w:highlight w:val="none"/>
          <w:u w:val="single"/>
        </w:rPr>
        <w:t xml:space="preserve"> </w:t>
      </w:r>
      <w:r>
        <w:rPr>
          <w:rFonts w:eastAsia="仿宋_GB2312"/>
          <w:color w:val="auto"/>
          <w:sz w:val="30"/>
          <w:szCs w:val="32"/>
          <w:highlight w:val="none"/>
        </w:rPr>
        <w:t>。</w:t>
      </w:r>
    </w:p>
    <w:p w14:paraId="68534D0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须向发包人一次性递交完整的竣工结算资料，并以发包人一次性签收的竣工结算资料办理竣工结算，承包人此后补交的任何竣工结算资料发包人均拒绝接受。在递交完整竣工结算资料时承包人应提供发包人和承包人双方签认的《交接验收证书》，否则发包人有权拒绝接收竣工结算资料。</w:t>
      </w:r>
    </w:p>
    <w:p w14:paraId="57FD133A">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14.2 竣工结算审核</w:t>
      </w:r>
    </w:p>
    <w:p w14:paraId="37CDB13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1、竣工验收合格后，发包人收到承包人提交的完整的竣工结算报告及结算资料后</w:t>
      </w:r>
      <w:r>
        <w:rPr>
          <w:rFonts w:eastAsia="仿宋_GB2312"/>
          <w:color w:val="auto"/>
          <w:kern w:val="0"/>
          <w:sz w:val="30"/>
          <w:szCs w:val="32"/>
          <w:highlight w:val="none"/>
        </w:rPr>
        <w:t>28</w:t>
      </w:r>
      <w:r>
        <w:rPr>
          <w:rFonts w:hint="eastAsia" w:eastAsia="仿宋_GB2312"/>
          <w:color w:val="auto"/>
          <w:sz w:val="30"/>
          <w:szCs w:val="32"/>
          <w:highlight w:val="none"/>
        </w:rPr>
        <w:t>天内进行核实，给予确认或者提出修改意见 ；</w:t>
      </w:r>
    </w:p>
    <w:p w14:paraId="41D61CC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自工程竣工验收合格之日起60天内，承包人未能向发包人提交竣工结算报告及完整的结算资料，逾期提交一天，承包人承担2000元违约金；或虽提交了完整的结算资料，承包人的相关人员未按时配合发包人及造价咨询机构完成结算审核，造成工程竣工结算不能正常进行或工程竣工结算价款不能及时支付，发包人不承担相应责任，并经发包人书面通知催告后仍未配合，自发出书面通知催告七日后，每逾期一日，承包人承担2000元违约金。发包人及造价咨询机构完成结算审核并向承包人反馈审核结果后 30 日内，双方未签署结算定案表且承包人未提出书面异议的，发包人向承包人发送书面催告；承包人收到催告文件后 15 日内仍未提出异议的，视为认可发包人及造价咨询机构出具的结算审核金额，催告期限届满之次日，视为结算定案表已签订；</w:t>
      </w:r>
    </w:p>
    <w:p w14:paraId="7A1638F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w:t>
      </w:r>
      <w:bookmarkStart w:id="415" w:name="auto_fouce_21"/>
      <w:r>
        <w:rPr>
          <w:rFonts w:eastAsia="仿宋_GB2312"/>
          <w:color w:val="auto"/>
          <w:sz w:val="30"/>
          <w:szCs w:val="32"/>
          <w:highlight w:val="none"/>
        </w:rPr>
        <w:t>发包人在收到承包人提交</w:t>
      </w:r>
      <w:r>
        <w:rPr>
          <w:rFonts w:hint="eastAsia" w:eastAsia="仿宋_GB2312"/>
          <w:color w:val="auto"/>
          <w:sz w:val="30"/>
          <w:szCs w:val="32"/>
          <w:highlight w:val="none"/>
        </w:rPr>
        <w:t>的完整</w:t>
      </w:r>
      <w:r>
        <w:rPr>
          <w:rFonts w:eastAsia="仿宋_GB2312"/>
          <w:color w:val="auto"/>
          <w:sz w:val="30"/>
          <w:szCs w:val="32"/>
          <w:highlight w:val="none"/>
        </w:rPr>
        <w:t>竣工结算</w:t>
      </w:r>
      <w:r>
        <w:rPr>
          <w:rFonts w:hint="eastAsia" w:eastAsia="仿宋_GB2312"/>
          <w:color w:val="auto"/>
          <w:sz w:val="30"/>
          <w:szCs w:val="32"/>
          <w:highlight w:val="none"/>
        </w:rPr>
        <w:t>报告及结算资料</w:t>
      </w:r>
      <w:r>
        <w:rPr>
          <w:rFonts w:eastAsia="仿宋_GB2312"/>
          <w:color w:val="auto"/>
          <w:sz w:val="30"/>
          <w:szCs w:val="32"/>
          <w:highlight w:val="none"/>
        </w:rPr>
        <w:t>后</w:t>
      </w:r>
      <w:r>
        <w:rPr>
          <w:rFonts w:hint="eastAsia" w:eastAsia="仿宋_GB2312"/>
          <w:color w:val="auto"/>
          <w:sz w:val="30"/>
          <w:szCs w:val="32"/>
          <w:highlight w:val="none"/>
        </w:rPr>
        <w:t xml:space="preserve"> </w:t>
      </w:r>
      <w:r>
        <w:rPr>
          <w:rFonts w:eastAsia="仿宋_GB2312"/>
          <w:color w:val="auto"/>
          <w:sz w:val="30"/>
          <w:szCs w:val="32"/>
          <w:highlight w:val="none"/>
        </w:rPr>
        <w:t>天未完成审核</w:t>
      </w:r>
      <w:r>
        <w:rPr>
          <w:rFonts w:hint="eastAsia" w:eastAsia="仿宋_GB2312"/>
          <w:color w:val="auto"/>
          <w:sz w:val="30"/>
          <w:szCs w:val="32"/>
          <w:highlight w:val="none"/>
        </w:rPr>
        <w:t>又</w:t>
      </w:r>
      <w:r>
        <w:rPr>
          <w:rFonts w:eastAsia="仿宋_GB2312"/>
          <w:color w:val="auto"/>
          <w:sz w:val="30"/>
          <w:szCs w:val="32"/>
          <w:highlight w:val="none"/>
        </w:rPr>
        <w:t>未提出异议的，</w:t>
      </w:r>
      <w:r>
        <w:rPr>
          <w:rFonts w:hint="eastAsia" w:eastAsia="仿宋_GB2312"/>
          <w:color w:val="auto"/>
          <w:sz w:val="30"/>
          <w:szCs w:val="32"/>
          <w:highlight w:val="none"/>
        </w:rPr>
        <w:t>承</w:t>
      </w:r>
      <w:r>
        <w:rPr>
          <w:rFonts w:eastAsia="仿宋_GB2312"/>
          <w:color w:val="auto"/>
          <w:sz w:val="30"/>
          <w:szCs w:val="32"/>
          <w:highlight w:val="none"/>
        </w:rPr>
        <w:t>包人</w:t>
      </w:r>
      <w:r>
        <w:rPr>
          <w:rFonts w:hint="eastAsia" w:eastAsia="仿宋_GB2312"/>
          <w:color w:val="auto"/>
          <w:sz w:val="30"/>
          <w:szCs w:val="32"/>
          <w:highlight w:val="none"/>
        </w:rPr>
        <w:t>应向发</w:t>
      </w:r>
      <w:r>
        <w:rPr>
          <w:rFonts w:eastAsia="仿宋_GB2312"/>
          <w:color w:val="auto"/>
          <w:sz w:val="30"/>
          <w:szCs w:val="32"/>
          <w:highlight w:val="none"/>
        </w:rPr>
        <w:t>包人</w:t>
      </w:r>
      <w:r>
        <w:rPr>
          <w:rFonts w:hint="eastAsia" w:eastAsia="仿宋_GB2312"/>
          <w:color w:val="auto"/>
          <w:sz w:val="30"/>
          <w:szCs w:val="32"/>
          <w:highlight w:val="none"/>
        </w:rPr>
        <w:t>发出书面催告</w:t>
      </w:r>
      <w:r>
        <w:rPr>
          <w:rFonts w:eastAsia="仿宋_GB2312"/>
          <w:color w:val="auto"/>
          <w:sz w:val="30"/>
          <w:szCs w:val="32"/>
          <w:highlight w:val="none"/>
        </w:rPr>
        <w:t>，发包人收到</w:t>
      </w:r>
      <w:r>
        <w:rPr>
          <w:rFonts w:hint="eastAsia" w:eastAsia="仿宋_GB2312"/>
          <w:color w:val="auto"/>
          <w:sz w:val="30"/>
          <w:szCs w:val="32"/>
          <w:highlight w:val="none"/>
        </w:rPr>
        <w:t>催告后  天仍未完成审核且未提出异议的，视为认可</w:t>
      </w:r>
      <w:r>
        <w:rPr>
          <w:rFonts w:eastAsia="仿宋_GB2312"/>
          <w:color w:val="auto"/>
          <w:sz w:val="30"/>
          <w:szCs w:val="32"/>
          <w:highlight w:val="none"/>
        </w:rPr>
        <w:t>承包人提交的竣工结算</w:t>
      </w:r>
      <w:r>
        <w:rPr>
          <w:rFonts w:hint="eastAsia" w:eastAsia="仿宋_GB2312"/>
          <w:color w:val="auto"/>
          <w:sz w:val="30"/>
          <w:szCs w:val="32"/>
          <w:highlight w:val="none"/>
        </w:rPr>
        <w:t>报告，自催告期满次日</w:t>
      </w:r>
      <w:r>
        <w:rPr>
          <w:rFonts w:eastAsia="仿宋_GB2312"/>
          <w:color w:val="auto"/>
          <w:sz w:val="30"/>
          <w:szCs w:val="32"/>
          <w:highlight w:val="none"/>
        </w:rPr>
        <w:t>起视为已</w:t>
      </w:r>
      <w:r>
        <w:rPr>
          <w:rFonts w:hint="eastAsia" w:eastAsia="仿宋_GB2312"/>
          <w:color w:val="auto"/>
          <w:sz w:val="30"/>
          <w:szCs w:val="32"/>
          <w:highlight w:val="none"/>
        </w:rPr>
        <w:t>签订结算定案表；</w:t>
      </w:r>
      <w:bookmarkEnd w:id="415"/>
    </w:p>
    <w:p w14:paraId="78FCB54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w:t>
      </w:r>
      <w:r>
        <w:rPr>
          <w:rFonts w:eastAsia="仿宋_GB2312"/>
          <w:color w:val="auto"/>
          <w:sz w:val="30"/>
          <w:szCs w:val="32"/>
          <w:highlight w:val="none"/>
        </w:rPr>
        <w:t>发包人应在</w:t>
      </w:r>
      <w:r>
        <w:rPr>
          <w:rFonts w:hint="eastAsia" w:eastAsia="仿宋_GB2312"/>
          <w:color w:val="auto"/>
          <w:sz w:val="30"/>
          <w:szCs w:val="32"/>
          <w:highlight w:val="none"/>
        </w:rPr>
        <w:t>签订一审结算定案表</w:t>
      </w:r>
      <w:r>
        <w:rPr>
          <w:rFonts w:eastAsia="仿宋_GB2312"/>
          <w:color w:val="auto"/>
          <w:sz w:val="30"/>
          <w:szCs w:val="32"/>
          <w:highlight w:val="none"/>
        </w:rPr>
        <w:t>后的</w:t>
      </w:r>
      <w:r>
        <w:rPr>
          <w:rFonts w:hint="eastAsia" w:eastAsia="仿宋_GB2312"/>
          <w:color w:val="auto"/>
          <w:sz w:val="30"/>
          <w:szCs w:val="32"/>
          <w:highlight w:val="none"/>
        </w:rPr>
        <w:t>28</w:t>
      </w:r>
      <w:r>
        <w:rPr>
          <w:rFonts w:eastAsia="仿宋_GB2312"/>
          <w:color w:val="auto"/>
          <w:sz w:val="30"/>
          <w:szCs w:val="32"/>
          <w:highlight w:val="none"/>
        </w:rPr>
        <w:t xml:space="preserve"> 天内，</w:t>
      </w:r>
      <w:r>
        <w:rPr>
          <w:rFonts w:hint="eastAsia" w:eastAsia="仿宋_GB2312"/>
          <w:color w:val="auto"/>
          <w:sz w:val="30"/>
          <w:szCs w:val="32"/>
          <w:highlight w:val="none"/>
        </w:rPr>
        <w:t>累计支付至一审竣工结算价款的</w:t>
      </w:r>
      <w:r>
        <w:rPr>
          <w:rFonts w:eastAsia="仿宋_GB2312"/>
          <w:color w:val="auto"/>
          <w:sz w:val="30"/>
          <w:szCs w:val="32"/>
          <w:highlight w:val="none"/>
        </w:rPr>
        <w:t>97</w:t>
      </w:r>
      <w:r>
        <w:rPr>
          <w:rFonts w:hint="eastAsia" w:eastAsia="仿宋_GB2312"/>
          <w:color w:val="auto"/>
          <w:sz w:val="30"/>
          <w:szCs w:val="32"/>
          <w:highlight w:val="none"/>
        </w:rPr>
        <w:t>%</w:t>
      </w:r>
      <w:r>
        <w:rPr>
          <w:rFonts w:eastAsia="仿宋_GB2312"/>
          <w:color w:val="auto"/>
          <w:sz w:val="30"/>
          <w:szCs w:val="32"/>
          <w:highlight w:val="none"/>
        </w:rPr>
        <w:t>，余3%</w:t>
      </w:r>
      <w:r>
        <w:rPr>
          <w:rFonts w:hint="eastAsia" w:eastAsia="仿宋_GB2312"/>
          <w:color w:val="auto"/>
          <w:sz w:val="30"/>
          <w:szCs w:val="32"/>
          <w:highlight w:val="none"/>
        </w:rPr>
        <w:t>质保</w:t>
      </w:r>
      <w:r>
        <w:rPr>
          <w:rFonts w:eastAsia="仿宋_GB2312"/>
          <w:color w:val="auto"/>
          <w:sz w:val="30"/>
          <w:szCs w:val="32"/>
          <w:highlight w:val="none"/>
        </w:rPr>
        <w:t>金，待</w:t>
      </w:r>
      <w:r>
        <w:rPr>
          <w:rFonts w:hint="eastAsia" w:eastAsia="仿宋_GB2312"/>
          <w:color w:val="auto"/>
          <w:sz w:val="30"/>
          <w:szCs w:val="32"/>
          <w:highlight w:val="none"/>
        </w:rPr>
        <w:t>缺陷责任期</w:t>
      </w:r>
      <w:r>
        <w:rPr>
          <w:rFonts w:eastAsia="仿宋_GB2312"/>
          <w:color w:val="auto"/>
          <w:sz w:val="30"/>
          <w:szCs w:val="32"/>
          <w:highlight w:val="none"/>
        </w:rPr>
        <w:t>满后一次性付清。</w:t>
      </w:r>
    </w:p>
    <w:p w14:paraId="15917572">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14.4 最终结清</w:t>
      </w:r>
    </w:p>
    <w:p w14:paraId="6190875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14.4.1 最终结清申请单</w:t>
      </w:r>
    </w:p>
    <w:p w14:paraId="7DB0C7C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承包人提交最终结清申请单的份数：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74EB3DC1">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承包人提交最终结算申请单的期限：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承包人应在缺陷责任期终止证书颁发后7天内，向发包人提交最终结清申请单，并提供相关证明材料</w:t>
      </w:r>
      <w:r>
        <w:rPr>
          <w:rFonts w:eastAsia="仿宋_GB2312"/>
          <w:color w:val="auto"/>
          <w:sz w:val="30"/>
          <w:szCs w:val="32"/>
          <w:highlight w:val="none"/>
        </w:rPr>
        <w:t>。</w:t>
      </w:r>
      <w:r>
        <w:rPr>
          <w:rFonts w:eastAsia="仿宋_GB2312"/>
          <w:color w:val="auto"/>
          <w:sz w:val="30"/>
          <w:szCs w:val="32"/>
          <w:highlight w:val="none"/>
        </w:rPr>
        <w:t xml:space="preserve"> </w:t>
      </w:r>
    </w:p>
    <w:p w14:paraId="267C622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14.4.2 最终结清证书和支付</w:t>
      </w:r>
    </w:p>
    <w:p w14:paraId="2A83360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（1）发包人完成最终结清申请单的</w:t>
      </w:r>
      <w:r>
        <w:rPr>
          <w:rFonts w:hint="eastAsia" w:eastAsia="仿宋_GB2312"/>
          <w:color w:val="auto"/>
          <w:sz w:val="30"/>
          <w:szCs w:val="32"/>
          <w:highlight w:val="none"/>
        </w:rPr>
        <w:t>审批</w:t>
      </w:r>
      <w:r>
        <w:rPr>
          <w:rFonts w:eastAsia="仿宋_GB2312"/>
          <w:color w:val="auto"/>
          <w:sz w:val="30"/>
          <w:szCs w:val="32"/>
          <w:highlight w:val="none"/>
        </w:rPr>
        <w:t>并颁发最终结清证书的期限：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发包人应在收到承包人提交的最终结清申请单后14天内完成审批并向承包颁发最终结清证书 </w:t>
      </w:r>
      <w:r>
        <w:rPr>
          <w:rFonts w:eastAsia="仿宋_GB2312"/>
          <w:color w:val="auto"/>
          <w:sz w:val="30"/>
          <w:szCs w:val="32"/>
          <w:highlight w:val="none"/>
          <w:u w:val="single"/>
        </w:rPr>
        <w:t xml:space="preserve">    </w:t>
      </w:r>
      <w:r>
        <w:rPr>
          <w:rFonts w:eastAsia="仿宋_GB2312"/>
          <w:color w:val="auto"/>
          <w:sz w:val="30"/>
          <w:szCs w:val="32"/>
          <w:highlight w:val="none"/>
        </w:rPr>
        <w:t>。</w:t>
      </w:r>
    </w:p>
    <w:p w14:paraId="58FC4D5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（2）发包人完成支付的期限：</w:t>
      </w:r>
      <w:r>
        <w:rPr>
          <w:rFonts w:eastAsia="仿宋_GB2312"/>
          <w:color w:val="auto"/>
          <w:sz w:val="30"/>
          <w:szCs w:val="32"/>
          <w:highlight w:val="none"/>
          <w:u w:val="single"/>
        </w:rPr>
        <w:t xml:space="preserve">   在颁发最终结清证书后28天内完成支付  </w:t>
      </w:r>
      <w:r>
        <w:rPr>
          <w:rFonts w:eastAsia="仿宋_GB2312"/>
          <w:color w:val="auto"/>
          <w:sz w:val="30"/>
          <w:szCs w:val="32"/>
          <w:highlight w:val="none"/>
        </w:rPr>
        <w:t>。</w:t>
      </w:r>
    </w:p>
    <w:p w14:paraId="1D0F978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14.5</w:t>
      </w:r>
      <w:r>
        <w:rPr>
          <w:rFonts w:hint="eastAsia" w:eastAsia="仿宋_GB2312"/>
          <w:color w:val="auto"/>
          <w:sz w:val="30"/>
          <w:szCs w:val="32"/>
          <w:highlight w:val="none"/>
        </w:rPr>
        <w:t>竣工结算办理依据</w:t>
      </w:r>
    </w:p>
    <w:p w14:paraId="49C2431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1. 结算总价=分部分项工程量清单结算价±分部分项工程量清单新增或变更等引起的增（减）子项结算价±主要材料调差引起的增（减）结算价+措施费±其他项目费±规费±税金；    </w:t>
      </w:r>
    </w:p>
    <w:p w14:paraId="5CD7637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2.增减（变更）工程结算：</w:t>
      </w:r>
    </w:p>
    <w:p w14:paraId="33216D3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（1）、工程内容与已标价工程量清单中有相同的子项或类似子项，则按投标时的相同子项或类似子项的综合单价执行（类似子项的综合单价由发包人审定）；</w:t>
      </w:r>
    </w:p>
    <w:p w14:paraId="1A9D871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 (2)、工程内容如有与已标价工程量清单（包括技术措施项目部分）不同的子项（既无相同子项，又无类似子项），按《建设工程工程量清单计价规范》（GB50500-2013）、《重庆市建设工程工程量清单计价规则》（CQJJGZ-2013）、《重庆市建设工程工程量计算规则》（CQJLGZ-2013）、《重庆市房屋建筑与装饰工程计价定额》（CQ</w:t>
      </w:r>
      <w:r>
        <w:rPr>
          <w:rFonts w:eastAsia="仿宋_GB2312"/>
          <w:color w:val="auto"/>
          <w:sz w:val="30"/>
          <w:szCs w:val="32"/>
          <w:highlight w:val="none"/>
        </w:rPr>
        <w:t>JZZS</w:t>
      </w:r>
      <w:r>
        <w:rPr>
          <w:rFonts w:hint="eastAsia" w:eastAsia="仿宋_GB2312"/>
          <w:color w:val="auto"/>
          <w:sz w:val="30"/>
          <w:szCs w:val="32"/>
          <w:highlight w:val="none"/>
        </w:rPr>
        <w:t>DE-2018）、《重庆市市政工程计价定额》（CQSZDE-20</w:t>
      </w:r>
      <w:r>
        <w:rPr>
          <w:rFonts w:eastAsia="仿宋_GB2312"/>
          <w:color w:val="auto"/>
          <w:sz w:val="30"/>
          <w:szCs w:val="32"/>
          <w:highlight w:val="none"/>
        </w:rPr>
        <w:t>1</w:t>
      </w:r>
      <w:r>
        <w:rPr>
          <w:rFonts w:hint="eastAsia" w:eastAsia="仿宋_GB2312"/>
          <w:color w:val="auto"/>
          <w:sz w:val="30"/>
          <w:szCs w:val="32"/>
          <w:highlight w:val="none"/>
        </w:rPr>
        <w:t>8）、《重庆市通用安装工程计价定额》（CQAZDE-2018）、《重庆市房屋修缮工程计价定额》（C</w:t>
      </w:r>
      <w:r>
        <w:rPr>
          <w:rFonts w:eastAsia="仿宋_GB2312"/>
          <w:color w:val="auto"/>
          <w:sz w:val="30"/>
          <w:szCs w:val="32"/>
          <w:highlight w:val="none"/>
        </w:rPr>
        <w:t>QXSDE-2018）、《</w:t>
      </w:r>
      <w:r>
        <w:rPr>
          <w:rFonts w:hint="eastAsia" w:eastAsia="仿宋_GB2312"/>
          <w:color w:val="auto"/>
          <w:sz w:val="30"/>
          <w:szCs w:val="32"/>
          <w:highlight w:val="none"/>
        </w:rPr>
        <w:t>重庆市绿色建筑工程计价定额》（C</w:t>
      </w:r>
      <w:r>
        <w:rPr>
          <w:rFonts w:eastAsia="仿宋_GB2312"/>
          <w:color w:val="auto"/>
          <w:sz w:val="30"/>
          <w:szCs w:val="32"/>
          <w:highlight w:val="none"/>
        </w:rPr>
        <w:t>QLSJZDE-2018）、</w:t>
      </w:r>
      <w:r>
        <w:rPr>
          <w:rFonts w:hint="eastAsia" w:eastAsia="仿宋_GB2312"/>
          <w:color w:val="auto"/>
          <w:sz w:val="30"/>
          <w:szCs w:val="32"/>
          <w:highlight w:val="none"/>
        </w:rPr>
        <w:t>《重庆市建设工程费用定额》（CQFYDE-2018）、《重庆市建设工程混凝土及砂浆配合比表》（CQP</w:t>
      </w:r>
      <w:r>
        <w:rPr>
          <w:rFonts w:eastAsia="仿宋_GB2312"/>
          <w:color w:val="auto"/>
          <w:sz w:val="30"/>
          <w:szCs w:val="32"/>
          <w:highlight w:val="none"/>
        </w:rPr>
        <w:t>HBB</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8）、《重庆市建设工程施工机械台班定额》（CQ</w:t>
      </w:r>
      <w:r>
        <w:rPr>
          <w:rFonts w:eastAsia="仿宋_GB2312"/>
          <w:color w:val="auto"/>
          <w:sz w:val="30"/>
          <w:szCs w:val="32"/>
          <w:highlight w:val="none"/>
        </w:rPr>
        <w:t>JXDE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8）、《重庆市建设工程施工仪器仪表台班定额》（CQ</w:t>
      </w:r>
      <w:r>
        <w:rPr>
          <w:rFonts w:eastAsia="仿宋_GB2312"/>
          <w:color w:val="auto"/>
          <w:sz w:val="30"/>
          <w:szCs w:val="32"/>
          <w:highlight w:val="none"/>
        </w:rPr>
        <w:t>YQYBDE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及相关配套文件执行，再按承包人报价浮动费率{承包人报价浮动率=【1-（不含税中标价-甲供材-暂估价-暂列金额-安全文明施工费）/（不含税投标总报价最高限价-甲供材-暂估价-暂列金额-安全文明施工费）】×100%}进行税前下浮后结算，其中：</w:t>
      </w:r>
    </w:p>
    <w:p w14:paraId="38E34D6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人工工日单价按《重庆工程造价信息》公布的</w:t>
      </w:r>
      <w:r>
        <w:rPr>
          <w:rFonts w:eastAsia="仿宋_GB2312"/>
          <w:color w:val="auto"/>
          <w:kern w:val="0"/>
          <w:sz w:val="30"/>
          <w:szCs w:val="32"/>
          <w:highlight w:val="none"/>
        </w:rPr>
        <w:t>2026</w:t>
      </w:r>
      <w:r>
        <w:rPr>
          <w:rFonts w:hint="eastAsia" w:eastAsia="仿宋_GB2312"/>
          <w:color w:val="auto"/>
          <w:sz w:val="30"/>
          <w:szCs w:val="32"/>
          <w:highlight w:val="none"/>
        </w:rPr>
        <w:t>年第</w:t>
      </w:r>
      <w:r>
        <w:rPr>
          <w:rFonts w:hint="eastAsia" w:eastAsia="仿宋_GB2312"/>
          <w:color w:val="auto"/>
          <w:kern w:val="0"/>
          <w:sz w:val="30"/>
          <w:szCs w:val="32"/>
          <w:highlight w:val="none"/>
        </w:rPr>
        <w:t>三</w:t>
      </w:r>
      <w:r>
        <w:rPr>
          <w:rFonts w:hint="eastAsia" w:eastAsia="仿宋_GB2312"/>
          <w:color w:val="auto"/>
          <w:sz w:val="30"/>
          <w:szCs w:val="32"/>
          <w:highlight w:val="none"/>
        </w:rPr>
        <w:t>季度项目所在地人工信息价计算；</w:t>
      </w:r>
    </w:p>
    <w:p w14:paraId="5E3A3C3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材料单价：</w:t>
      </w:r>
    </w:p>
    <w:p w14:paraId="6E01124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①按合同签订日期《重庆工程造价信息》发布的项目所在地的信息价（厂商推荐价格和厂商推广价格除外）执行，如所在地区县没有相关材料信息价，则按主城区信息价（综合价格信息）执行；</w:t>
      </w:r>
    </w:p>
    <w:p w14:paraId="4F91B26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②阻燃、耐火、低烟无卤等电缆的单价在普通电缆信息价基础上按以下比例上浮，再执行合同约定的下浮费率：</w:t>
      </w:r>
    </w:p>
    <w:p w14:paraId="5756DC8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⒈阻燃线缆在同截面普通线缆上C类加2%、B类加4.3%、A类加6.7%；</w:t>
      </w:r>
    </w:p>
    <w:p w14:paraId="43004C3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⒉耐火线缆在同截面普通线缆上加15%（50mm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28%（10mm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w:t>
      </w:r>
      <w:r>
        <w:rPr>
          <w:rFonts w:hint="eastAsia" w:eastAsia="仿宋_GB2312"/>
          <w:color w:val="auto"/>
          <w:sz w:val="30"/>
          <w:szCs w:val="32"/>
          <w:highlight w:val="none"/>
        </w:rPr>
        <w:t>）；</w:t>
      </w:r>
    </w:p>
    <w:p w14:paraId="78B1080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⒊低烟无卤阻燃（B类）线缆在同截面普通线缆价格上加10%(50mm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)、13%（10mm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17%（10mm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以下）；低烟无卤阻燃耐火（</w:t>
      </w:r>
      <w:r>
        <w:rPr>
          <w:rFonts w:hint="eastAsia" w:eastAsia="仿宋_GB2312"/>
          <w:color w:val="auto"/>
          <w:sz w:val="30"/>
          <w:szCs w:val="32"/>
          <w:highlight w:val="none"/>
        </w:rPr>
        <w:t>B类）线缆在同截面普通线缆价格上加22%（50mm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29%（10mm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34%（10mm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w:t>
      </w:r>
      <w:r>
        <w:rPr>
          <w:rFonts w:hint="eastAsia" w:eastAsia="仿宋_GB2312"/>
          <w:color w:val="auto"/>
          <w:sz w:val="30"/>
          <w:szCs w:val="32"/>
          <w:highlight w:val="none"/>
        </w:rPr>
        <w:t>A类单价按B类单价乘1.05系数，低烟无卤C类单价按B类单价乘0.93系数；</w:t>
      </w:r>
    </w:p>
    <w:p w14:paraId="5030AB6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⒋燃烧性能B1级按低烟无卤阻燃（B类）线缆相同截面价格基础上乘1.09系数。</w:t>
      </w:r>
    </w:p>
    <w:p w14:paraId="5C8349A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③信息价中虽载有同类型钢材，但所刊载的具体型号、规格与工程实际使用钢材不完全一致时，按以下原则参照近似规格的信息价执行，仍须适用本合同约定的价格下浮费率：</w:t>
      </w:r>
    </w:p>
    <w:p w14:paraId="7089F75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⒈实际规格低于信息价所列最小规格，按信息价中最接近的较小规格区间价格执行（示例： 槽钢实际规格低于 8# 的，参照信息价中“8–14#”区间价格执行）。</w:t>
      </w:r>
    </w:p>
    <w:p w14:paraId="621130C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⒉实际规格高于信息价所列最大规格，按信息价中最接近的较大规格区间价格执行（示例： 槽钢实际规格高于 40# 的，参照信息价中“36–40#”区间价格执行）。</w:t>
      </w:r>
    </w:p>
    <w:p w14:paraId="21A07B5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⒊其他规格差异情形参照上述原则，选择与工程实际使用钢材在性能参数、尺寸规格方面最为接近的信息价对应区间执行。</w:t>
      </w:r>
    </w:p>
    <w:p w14:paraId="43F832D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④信息价没有的按承包人中标文件中相同材料单价的最低值执行；</w:t>
      </w:r>
    </w:p>
    <w:p w14:paraId="3B430F4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⑤信息价和承包人中标文件都没有的，按发包人结合市场行情认质核价确定；</w:t>
      </w:r>
    </w:p>
    <w:p w14:paraId="343636D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⑥不再另行计取采保费；</w:t>
      </w:r>
    </w:p>
    <w:p w14:paraId="050C21B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下浮基数不含安全文明施工费、认质核价的费用、甲供材、规费；</w:t>
      </w:r>
    </w:p>
    <w:p w14:paraId="430E94D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（3）、零星机械台班和经审批的特殊施工方案中明确的机械台班按发包人核价执行，零星材料和经审批的特殊施工方案中明确的材料按前款第（2）条中的约定执行；</w:t>
      </w:r>
    </w:p>
    <w:p w14:paraId="024568F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施工组织措施项目费：完成合同范围约定内的工作内容，则按投标时施工组织措施项目费的报价作为结算价，若有新增工作内容，施工组织措施项目费费率高于重庆市建设工程费用定额（CQFYDE-2018）规定的，结算时按定额标准计取，否则按投标报价费率计取；</w:t>
      </w:r>
    </w:p>
    <w:p w14:paraId="0695721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5）、施工技术措施项目费中以项计列的项目，完成合同范围约定内的工作内容，则按投标时施工技术措施项目费的报价作为结算价；技术措施清单中以项目编码、项目名称、项目特征、工程内容、工程量及计量单位列项的项目，以中标人投标报价的综合单价乘以按《建设工程工程量清单计价规范》（GB50500-2013）约定的计量规则计算的实际变更及调整合格工程量办理结算；    </w:t>
      </w:r>
    </w:p>
    <w:p w14:paraId="75A0898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安全文明施工费：按《关于修订发布《重庆市建设工程安全文明施工费计取及使用管理规定》的通知》（渝建管〔2024〕38号）规定进行结算，即在结算时先减去投标时的暂列金额，再按渝建管〔2024〕38号结算；</w:t>
      </w:r>
      <w:r>
        <w:rPr>
          <w:rFonts w:eastAsia="仿宋_GB2312"/>
          <w:color w:val="auto"/>
          <w:sz w:val="30"/>
          <w:szCs w:val="32"/>
          <w:highlight w:val="none"/>
        </w:rPr>
        <w:t xml:space="preserve"> </w:t>
      </w:r>
    </w:p>
    <w:p w14:paraId="39D7F88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4. 规费按2018年重庆市建设工程费用定额规定结算。税金按《重庆市城乡建设委员会关于建筑业营业税改征增值税调整建设工程计价依据的通知》（渝建发[2016]35号）文件及《重庆市城乡建设委员会关于适用增值税新税率调整建设工程计价依据的通知》（渝建〔2019〕143 号）文件规定执行。  </w:t>
      </w:r>
    </w:p>
    <w:p w14:paraId="2ABF2AD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5. 承包人不得以工程量增减变化为由向发包人提出利润、管理费等费用索赔；</w:t>
      </w:r>
    </w:p>
    <w:p w14:paraId="05CCAA9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甲供材消耗量按投标文件对应综合单价分析表中材料损耗率计算，如无对应综合单价分析表则参照本条增减工程结算约定的计价定额中相关定额子目材料损耗率计算。承包人领取材料量大于结算材料消耗量则视为材料过剩，如非承包人原因所造成的，则承包人需将多余材料移交发包人，并完成移交手续，双方签字确认；如未完成移交手续或承包人无法证明过剩材料非承包人原因所造成，则按发包人对应材料采购合同中材料单价计算，并在结算工程款中扣除。另外，若承包人领取的单项材料量超过结算材料消耗量的10%时，超过部分材料，承包人除承担该部分材料价款外，还将按发包人采购价的50%作为承包人应承担的违约金，并在结算工程款中扣除。</w:t>
      </w:r>
    </w:p>
    <w:bookmarkEnd w:id="401"/>
    <w:bookmarkEnd w:id="402"/>
    <w:bookmarkEnd w:id="403"/>
    <w:bookmarkEnd w:id="404"/>
    <w:bookmarkEnd w:id="405"/>
    <w:bookmarkEnd w:id="406"/>
    <w:bookmarkEnd w:id="407"/>
    <w:bookmarkEnd w:id="413"/>
    <w:p w14:paraId="5F21593B">
      <w:pPr>
        <w:pStyle w:val="5"/>
        <w:spacing w:before="120" w:after="120" w:line="360" w:lineRule="auto"/>
        <w:rPr>
          <w:rFonts w:ascii="Times New Roman" w:hAnsi="Times New Roman" w:eastAsia="黑体"/>
          <w:b w:val="0"/>
          <w:color w:val="auto"/>
          <w:sz w:val="32"/>
          <w:szCs w:val="32"/>
          <w:highlight w:val="none"/>
        </w:rPr>
      </w:pPr>
      <w:bookmarkStart w:id="416" w:name="_Toc351203647"/>
      <w:bookmarkStart w:id="417" w:name="_Toc267251483"/>
      <w:bookmarkStart w:id="418" w:name="_Toc267251482"/>
      <w:bookmarkStart w:id="419" w:name="_Toc267251484"/>
      <w:bookmarkStart w:id="420" w:name="_Toc267251485"/>
      <w:bookmarkStart w:id="421" w:name="_Toc267251490"/>
      <w:bookmarkStart w:id="422" w:name="_Toc267251489"/>
      <w:bookmarkStart w:id="423" w:name="_Toc267251486"/>
      <w:bookmarkStart w:id="424" w:name="_Toc267251488"/>
      <w:bookmarkStart w:id="425" w:name="_Toc267251491"/>
      <w:bookmarkStart w:id="426" w:name="_Toc267251498"/>
      <w:bookmarkStart w:id="427" w:name="_Toc267251495"/>
      <w:bookmarkStart w:id="428" w:name="_Toc267251499"/>
      <w:bookmarkStart w:id="429" w:name="_Toc267251502"/>
      <w:bookmarkStart w:id="430" w:name="_Toc267251493"/>
      <w:bookmarkStart w:id="431" w:name="_Toc267251503"/>
      <w:bookmarkStart w:id="432" w:name="_Toc267251492"/>
      <w:bookmarkStart w:id="433" w:name="_Toc267251496"/>
      <w:bookmarkStart w:id="434" w:name="_Toc267251497"/>
      <w:bookmarkStart w:id="435" w:name="_Toc267251494"/>
      <w:bookmarkStart w:id="436" w:name="_Toc267251501"/>
      <w:bookmarkStart w:id="437" w:name="_Toc267251506"/>
      <w:bookmarkStart w:id="438" w:name="_Toc267251504"/>
      <w:bookmarkStart w:id="439" w:name="_Toc267251507"/>
      <w:bookmarkStart w:id="440" w:name="_Toc267251508"/>
      <w:bookmarkStart w:id="441" w:name="_Toc267251514"/>
      <w:bookmarkStart w:id="442" w:name="_Toc267251511"/>
      <w:bookmarkStart w:id="443" w:name="_Toc267251515"/>
      <w:bookmarkStart w:id="444" w:name="_Toc267251513"/>
      <w:bookmarkStart w:id="445" w:name="_Toc267251509"/>
      <w:bookmarkStart w:id="446" w:name="_Toc267251510"/>
      <w:r>
        <w:rPr>
          <w:rFonts w:ascii="Times New Roman" w:hAnsi="Times New Roman" w:eastAsia="黑体"/>
          <w:b w:val="0"/>
          <w:color w:val="auto"/>
          <w:sz w:val="32"/>
          <w:szCs w:val="32"/>
          <w:highlight w:val="none"/>
        </w:rPr>
        <w:t>15. 缺陷责任期与保修</w:t>
      </w:r>
      <w:bookmarkEnd w:id="416"/>
    </w:p>
    <w:p w14:paraId="798C019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15.2缺陷责任期</w:t>
      </w:r>
      <w:bookmarkEnd w:id="417"/>
    </w:p>
    <w:p w14:paraId="7B9A930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缺陷责任期的具体期限：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自工程通过竣工验收之日起计算24个月</w:t>
      </w:r>
      <w:r>
        <w:rPr>
          <w:rFonts w:eastAsia="仿宋_GB2312"/>
          <w:color w:val="auto"/>
          <w:sz w:val="30"/>
          <w:szCs w:val="32"/>
          <w:highlight w:val="none"/>
          <w:u w:val="single"/>
        </w:rPr>
        <w:t xml:space="preserve">  </w:t>
      </w:r>
      <w:r>
        <w:rPr>
          <w:rFonts w:eastAsia="仿宋_GB2312"/>
          <w:color w:val="auto"/>
          <w:sz w:val="30"/>
          <w:szCs w:val="32"/>
          <w:highlight w:val="none"/>
        </w:rPr>
        <w:t>。</w:t>
      </w:r>
    </w:p>
    <w:p w14:paraId="27684EFD">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15.3 质量保证金</w:t>
      </w:r>
    </w:p>
    <w:p w14:paraId="423FB9F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关于是否扣留质量保证金的约定：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是</w:t>
      </w:r>
      <w:r>
        <w:rPr>
          <w:rFonts w:eastAsia="仿宋_GB2312"/>
          <w:color w:val="auto"/>
          <w:sz w:val="30"/>
          <w:szCs w:val="32"/>
          <w:highlight w:val="none"/>
          <w:u w:val="single"/>
        </w:rPr>
        <w:t xml:space="preserve">  </w:t>
      </w:r>
      <w:r>
        <w:rPr>
          <w:rFonts w:eastAsia="仿宋_GB2312"/>
          <w:color w:val="auto"/>
          <w:sz w:val="30"/>
          <w:szCs w:val="32"/>
          <w:highlight w:val="none"/>
        </w:rPr>
        <w:t>。</w:t>
      </w:r>
    </w:p>
    <w:p w14:paraId="55D7D96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在工程项目竣工前，承包人按专用合同条款第3.7条提供履约担保的，发包人不得同时预留工程质量保证金。</w:t>
      </w:r>
    </w:p>
    <w:p w14:paraId="12D81D0E">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15.3.1 </w:t>
      </w:r>
      <w:r>
        <w:rPr>
          <w:rFonts w:hint="eastAsia" w:eastAsia="仿宋_GB2312"/>
          <w:color w:val="auto"/>
          <w:sz w:val="30"/>
          <w:szCs w:val="32"/>
          <w:highlight w:val="none"/>
        </w:rPr>
        <w:t>承包人提供</w:t>
      </w:r>
      <w:r>
        <w:rPr>
          <w:rFonts w:eastAsia="仿宋_GB2312"/>
          <w:color w:val="auto"/>
          <w:sz w:val="30"/>
          <w:szCs w:val="32"/>
          <w:highlight w:val="none"/>
        </w:rPr>
        <w:t>质量保证金的</w:t>
      </w:r>
      <w:r>
        <w:rPr>
          <w:rFonts w:hint="eastAsia" w:eastAsia="仿宋_GB2312"/>
          <w:color w:val="auto"/>
          <w:sz w:val="30"/>
          <w:szCs w:val="32"/>
          <w:highlight w:val="none"/>
        </w:rPr>
        <w:t>方</w:t>
      </w:r>
      <w:r>
        <w:rPr>
          <w:rFonts w:eastAsia="仿宋_GB2312"/>
          <w:color w:val="auto"/>
          <w:sz w:val="30"/>
          <w:szCs w:val="32"/>
          <w:highlight w:val="none"/>
        </w:rPr>
        <w:t>式</w:t>
      </w:r>
    </w:p>
    <w:p w14:paraId="546D2BF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质量保证金采用以下第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34639CBE">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（1）质量保证金保函，保证金额为：</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 xml:space="preserve">； </w:t>
      </w:r>
    </w:p>
    <w:p w14:paraId="392F21A5">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eastAsia="仿宋_GB2312"/>
          <w:color w:val="auto"/>
          <w:kern w:val="0"/>
          <w:sz w:val="30"/>
          <w:szCs w:val="32"/>
          <w:highlight w:val="none"/>
          <w:u w:val="single"/>
        </w:rPr>
        <w:t xml:space="preserve">  3  </w:t>
      </w:r>
      <w:r>
        <w:rPr>
          <w:rFonts w:eastAsia="仿宋_GB2312"/>
          <w:color w:val="auto"/>
          <w:kern w:val="0"/>
          <w:sz w:val="30"/>
          <w:szCs w:val="32"/>
          <w:highlight w:val="none"/>
        </w:rPr>
        <w:t>%的工程款；</w:t>
      </w:r>
    </w:p>
    <w:p w14:paraId="19232228">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w:t>
      </w:r>
      <w:r>
        <w:rPr>
          <w:rFonts w:hint="eastAsia" w:eastAsia="仿宋_GB2312"/>
          <w:color w:val="auto"/>
          <w:kern w:val="0"/>
          <w:sz w:val="30"/>
          <w:szCs w:val="32"/>
          <w:highlight w:val="none"/>
        </w:rPr>
        <w:t>方</w:t>
      </w:r>
      <w:r>
        <w:rPr>
          <w:rFonts w:eastAsia="仿宋_GB2312"/>
          <w:color w:val="auto"/>
          <w:kern w:val="0"/>
          <w:sz w:val="30"/>
          <w:szCs w:val="32"/>
          <w:highlight w:val="none"/>
        </w:rPr>
        <w:t>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EE59C99">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15.3.2 质量保证金的扣留 </w:t>
      </w:r>
    </w:p>
    <w:p w14:paraId="0E515C4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质量保证金的扣留采取以下第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36476D26">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（1）在支付工程进度款时逐次扣留，在此情形下，质量保证金的计算基数不包括预付款的支付、扣回以及价格调整的金额；</w:t>
      </w:r>
    </w:p>
    <w:p w14:paraId="5896F409">
      <w:pPr>
        <w:autoSpaceDE w:val="0"/>
        <w:autoSpaceDN w:val="0"/>
        <w:adjustRightInd w:val="0"/>
        <w:spacing w:line="360" w:lineRule="auto"/>
        <w:ind w:firstLine="600" w:firstLineChars="200"/>
        <w:jc w:val="left"/>
        <w:outlineLvl w:val="0"/>
        <w:rPr>
          <w:rFonts w:eastAsia="仿宋_GB2312"/>
          <w:color w:val="auto"/>
          <w:kern w:val="0"/>
          <w:sz w:val="30"/>
          <w:szCs w:val="32"/>
          <w:highlight w:val="none"/>
        </w:rPr>
      </w:pPr>
      <w:r>
        <w:rPr>
          <w:rFonts w:eastAsia="仿宋_GB2312"/>
          <w:color w:val="auto"/>
          <w:kern w:val="0"/>
          <w:sz w:val="30"/>
          <w:szCs w:val="32"/>
          <w:highlight w:val="none"/>
        </w:rPr>
        <w:t>（2）工程竣工结算时一次性扣留质量保证金；</w:t>
      </w:r>
    </w:p>
    <w:p w14:paraId="35C73CD2">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（3）其他扣留方式: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78923C6">
      <w:pPr>
        <w:spacing w:line="360" w:lineRule="auto"/>
        <w:ind w:firstLine="600" w:firstLineChars="200"/>
        <w:jc w:val="left"/>
        <w:rPr>
          <w:rFonts w:eastAsia="仿宋_GB2312"/>
          <w:color w:val="auto"/>
          <w:kern w:val="0"/>
          <w:sz w:val="30"/>
          <w:szCs w:val="32"/>
          <w:highlight w:val="none"/>
          <w:u w:val="single"/>
        </w:rPr>
      </w:pPr>
      <w:r>
        <w:rPr>
          <w:rFonts w:eastAsia="仿宋_GB2312"/>
          <w:color w:val="auto"/>
          <w:sz w:val="30"/>
          <w:szCs w:val="32"/>
          <w:highlight w:val="none"/>
        </w:rPr>
        <w:t>关于质量保证金的补充约定：</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发包人退还质量保证金时仅退还本金，不另计利息   </w:t>
      </w:r>
      <w:r>
        <w:rPr>
          <w:rFonts w:eastAsia="仿宋_GB2312"/>
          <w:color w:val="auto"/>
          <w:kern w:val="0"/>
          <w:sz w:val="30"/>
          <w:szCs w:val="32"/>
          <w:highlight w:val="none"/>
        </w:rPr>
        <w:t>。</w:t>
      </w:r>
    </w:p>
    <w:bookmarkEnd w:id="418"/>
    <w:bookmarkEnd w:id="419"/>
    <w:p w14:paraId="28AA98C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15.4保修</w:t>
      </w:r>
    </w:p>
    <w:bookmarkEnd w:id="420"/>
    <w:p w14:paraId="3C167473">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15.4.1 保修责任</w:t>
      </w:r>
    </w:p>
    <w:p w14:paraId="1F27A493">
      <w:pPr>
        <w:ind w:firstLine="600" w:firstLineChars="200"/>
        <w:rPr>
          <w:rFonts w:eastAsia="仿宋_GB2312"/>
          <w:color w:val="auto"/>
          <w:sz w:val="30"/>
          <w:szCs w:val="32"/>
          <w:highlight w:val="none"/>
        </w:rPr>
      </w:pPr>
      <w:r>
        <w:rPr>
          <w:rFonts w:eastAsia="仿宋_GB2312"/>
          <w:color w:val="auto"/>
          <w:sz w:val="30"/>
          <w:szCs w:val="32"/>
          <w:highlight w:val="none"/>
        </w:rPr>
        <w:t>工程保修期为：</w:t>
      </w:r>
    </w:p>
    <w:p w14:paraId="7267680D">
      <w:pPr>
        <w:ind w:firstLine="600" w:firstLineChars="200"/>
        <w:rPr>
          <w:rFonts w:ascii="仿宋_GB2312"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地基基础工程和主体结构工程为设计文件规定的工程合理使用年限；</w:t>
      </w:r>
    </w:p>
    <w:p w14:paraId="2C1783BB">
      <w:pPr>
        <w:spacing w:line="360" w:lineRule="auto"/>
        <w:ind w:firstLine="600" w:firstLineChars="200"/>
        <w:rPr>
          <w:rFonts w:eastAsia="仿宋_GB2312"/>
          <w:color w:val="auto"/>
          <w:sz w:val="30"/>
          <w:szCs w:val="30"/>
          <w:highlight w:val="none"/>
        </w:rPr>
      </w:pPr>
      <w:r>
        <w:rPr>
          <w:rFonts w:hint="eastAsia" w:ascii="仿宋_GB2312" w:eastAsia="仿宋_GB2312"/>
          <w:color w:val="auto"/>
          <w:sz w:val="30"/>
          <w:szCs w:val="30"/>
          <w:highlight w:val="none"/>
        </w:rPr>
        <w:t>（2）．</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5  </w:t>
      </w:r>
      <w:r>
        <w:rPr>
          <w:rFonts w:eastAsia="仿宋_GB2312"/>
          <w:color w:val="auto"/>
          <w:sz w:val="30"/>
          <w:szCs w:val="30"/>
          <w:highlight w:val="none"/>
        </w:rPr>
        <w:t>年；</w:t>
      </w:r>
    </w:p>
    <w:p w14:paraId="781117C3">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（3）．</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2863303F">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（4）．</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19BF1481">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（5）．</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60575EF8">
      <w:pPr>
        <w:spacing w:line="360" w:lineRule="auto"/>
        <w:ind w:left="420" w:leftChars="200" w:firstLine="150" w:firstLineChars="50"/>
        <w:rPr>
          <w:color w:val="auto"/>
          <w:highlight w:val="none"/>
        </w:rPr>
      </w:pPr>
      <w:r>
        <w:rPr>
          <w:rFonts w:hint="eastAsia" w:ascii="仿宋_GB2312" w:eastAsia="仿宋_GB2312"/>
          <w:color w:val="auto"/>
          <w:sz w:val="30"/>
          <w:szCs w:val="30"/>
          <w:highlight w:val="none"/>
        </w:rPr>
        <w:t>（6）．</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64B7FA1B">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15.4.3 修复通知</w:t>
      </w:r>
    </w:p>
    <w:p w14:paraId="4CE1DFE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承包人收到保修通知并到达工程现场的合理时间：</w:t>
      </w:r>
      <w:r>
        <w:rPr>
          <w:rFonts w:eastAsia="仿宋_GB2312"/>
          <w:color w:val="auto"/>
          <w:kern w:val="0"/>
          <w:sz w:val="30"/>
          <w:szCs w:val="32"/>
          <w:highlight w:val="none"/>
          <w:u w:val="single"/>
        </w:rPr>
        <w:t xml:space="preserve">  24</w:t>
      </w:r>
      <w:r>
        <w:rPr>
          <w:rFonts w:hint="eastAsia" w:eastAsia="仿宋_GB2312"/>
          <w:color w:val="auto"/>
          <w:kern w:val="0"/>
          <w:sz w:val="30"/>
          <w:szCs w:val="32"/>
          <w:highlight w:val="none"/>
          <w:u w:val="single"/>
        </w:rPr>
        <w:t>小时内</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bookmarkEnd w:id="421"/>
    <w:bookmarkEnd w:id="422"/>
    <w:bookmarkEnd w:id="423"/>
    <w:bookmarkEnd w:id="424"/>
    <w:p w14:paraId="6806FC3E">
      <w:pPr>
        <w:pStyle w:val="5"/>
        <w:spacing w:before="120" w:after="120" w:line="360" w:lineRule="auto"/>
        <w:rPr>
          <w:rFonts w:ascii="Times New Roman" w:hAnsi="Times New Roman" w:eastAsia="黑体"/>
          <w:b w:val="0"/>
          <w:color w:val="auto"/>
          <w:sz w:val="32"/>
          <w:szCs w:val="32"/>
          <w:highlight w:val="none"/>
        </w:rPr>
      </w:pPr>
      <w:bookmarkStart w:id="447" w:name="_Toc351203648"/>
      <w:bookmarkStart w:id="448" w:name="_Toc280868717"/>
      <w:bookmarkStart w:id="449" w:name="_Toc280868718"/>
      <w:r>
        <w:rPr>
          <w:rFonts w:ascii="Times New Roman" w:hAnsi="Times New Roman" w:eastAsia="黑体"/>
          <w:b w:val="0"/>
          <w:color w:val="auto"/>
          <w:sz w:val="32"/>
          <w:szCs w:val="32"/>
          <w:highlight w:val="none"/>
        </w:rPr>
        <w:t>16. 违约</w:t>
      </w:r>
      <w:bookmarkEnd w:id="447"/>
    </w:p>
    <w:p w14:paraId="4316197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16.1 发包人违约</w:t>
      </w:r>
    </w:p>
    <w:p w14:paraId="43481B6F">
      <w:pPr>
        <w:spacing w:line="360" w:lineRule="auto"/>
        <w:ind w:left="1500" w:hanging="1500" w:hangingChars="500"/>
        <w:jc w:val="left"/>
        <w:rPr>
          <w:rFonts w:eastAsia="仿宋_GB2312"/>
          <w:color w:val="auto"/>
          <w:kern w:val="0"/>
          <w:sz w:val="30"/>
          <w:szCs w:val="32"/>
          <w:highlight w:val="none"/>
        </w:rPr>
      </w:pPr>
      <w:r>
        <w:rPr>
          <w:rFonts w:eastAsia="仿宋_GB2312"/>
          <w:color w:val="auto"/>
          <w:kern w:val="0"/>
          <w:sz w:val="30"/>
          <w:szCs w:val="32"/>
          <w:highlight w:val="none"/>
        </w:rPr>
        <w:t xml:space="preserve">    16.1.2 发包人违约的责任</w:t>
      </w:r>
    </w:p>
    <w:p w14:paraId="0D7DC851">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发包人违约责任的承担方式和计算方法：</w:t>
      </w:r>
    </w:p>
    <w:p w14:paraId="48263692">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（1）因发包人原因未能在计划开工日期前7天内下达开工通知的违约责任：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相关风险已包含在合同金额内，发包人不再承担违约责任 </w:t>
      </w:r>
      <w:r>
        <w:rPr>
          <w:rFonts w:eastAsia="仿宋_GB2312"/>
          <w:color w:val="auto"/>
          <w:kern w:val="0"/>
          <w:sz w:val="30"/>
          <w:szCs w:val="32"/>
          <w:highlight w:val="none"/>
        </w:rPr>
        <w:t>。</w:t>
      </w:r>
    </w:p>
    <w:p w14:paraId="281F828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（2）因发包人原因未能按合同约定支付合同价款的违约责任：</w:t>
      </w:r>
      <w:r>
        <w:rPr>
          <w:rFonts w:eastAsia="仿宋_GB2312"/>
          <w:color w:val="auto"/>
          <w:kern w:val="0"/>
          <w:sz w:val="30"/>
          <w:szCs w:val="32"/>
          <w:highlight w:val="none"/>
          <w:u w:val="single"/>
        </w:rPr>
        <w:t xml:space="preserve">  按照</w:t>
      </w:r>
      <w:r>
        <w:rPr>
          <w:rFonts w:hint="eastAsia" w:eastAsia="仿宋_GB2312"/>
          <w:color w:val="auto"/>
          <w:kern w:val="0"/>
          <w:sz w:val="30"/>
          <w:szCs w:val="32"/>
          <w:highlight w:val="none"/>
          <w:u w:val="single"/>
        </w:rPr>
        <w:t>同期全国银行间同业拆借中心公布的一年期贷款市场报价利率（LPR）</w:t>
      </w:r>
      <w:r>
        <w:rPr>
          <w:rFonts w:eastAsia="仿宋_GB2312"/>
          <w:color w:val="auto"/>
          <w:kern w:val="0"/>
          <w:sz w:val="30"/>
          <w:szCs w:val="32"/>
          <w:highlight w:val="none"/>
          <w:u w:val="single"/>
        </w:rPr>
        <w:t xml:space="preserve">支付违约金 </w:t>
      </w:r>
      <w:r>
        <w:rPr>
          <w:rFonts w:eastAsia="仿宋_GB2312"/>
          <w:color w:val="auto"/>
          <w:kern w:val="0"/>
          <w:sz w:val="30"/>
          <w:szCs w:val="32"/>
          <w:highlight w:val="none"/>
        </w:rPr>
        <w:t>。</w:t>
      </w:r>
    </w:p>
    <w:p w14:paraId="2AB2BF9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（3）发包人违反第10.1款</w:t>
      </w:r>
      <w:r>
        <w:rPr>
          <w:rFonts w:hint="eastAsia" w:eastAsia="仿宋_GB2312"/>
          <w:color w:val="auto"/>
          <w:kern w:val="0"/>
          <w:sz w:val="30"/>
          <w:szCs w:val="32"/>
          <w:highlight w:val="none"/>
        </w:rPr>
        <w:t>〔</w:t>
      </w:r>
      <w:r>
        <w:rPr>
          <w:rFonts w:eastAsia="仿宋_GB2312"/>
          <w:color w:val="auto"/>
          <w:kern w:val="0"/>
          <w:sz w:val="30"/>
          <w:szCs w:val="32"/>
          <w:highlight w:val="none"/>
        </w:rPr>
        <w:t>变更的范围</w:t>
      </w:r>
      <w:r>
        <w:rPr>
          <w:rFonts w:hint="eastAsia" w:eastAsia="仿宋_GB2312"/>
          <w:color w:val="auto"/>
          <w:kern w:val="0"/>
          <w:sz w:val="30"/>
          <w:szCs w:val="32"/>
          <w:highlight w:val="none"/>
        </w:rPr>
        <w:t>〕</w:t>
      </w:r>
      <w:r>
        <w:rPr>
          <w:rFonts w:eastAsia="仿宋_GB2312"/>
          <w:color w:val="auto"/>
          <w:kern w:val="0"/>
          <w:sz w:val="30"/>
          <w:szCs w:val="32"/>
          <w:highlight w:val="none"/>
        </w:rPr>
        <w:t>第（2）项约定，自行实施被取消的工作或转由他人实施的违约责任：</w:t>
      </w:r>
      <w:r>
        <w:rPr>
          <w:rFonts w:hint="eastAsia" w:eastAsia="仿宋_GB2312"/>
          <w:color w:val="auto"/>
          <w:kern w:val="0"/>
          <w:sz w:val="30"/>
          <w:szCs w:val="32"/>
          <w:highlight w:val="none"/>
          <w:u w:val="single"/>
        </w:rPr>
        <w:t xml:space="preserve">应支付承包人相应工作的合理利润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045A21C">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（4）发包人提供的材料、工程设备的规格、数量或质量不符合合同约定，或因发包人原因导致交货日期延误或交货地点变更等情况的违约责任：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相应工期顺延</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28072D75">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（7）</w:t>
      </w:r>
      <w:r>
        <w:rPr>
          <w:rFonts w:hint="eastAsia" w:eastAsia="仿宋_GB2312"/>
          <w:color w:val="auto"/>
          <w:kern w:val="0"/>
          <w:sz w:val="30"/>
          <w:szCs w:val="32"/>
          <w:highlight w:val="none"/>
        </w:rPr>
        <w:t>其他：</w:t>
      </w:r>
      <w:r>
        <w:rPr>
          <w:rFonts w:hint="eastAsia" w:eastAsia="仿宋_GB2312"/>
          <w:color w:val="auto"/>
          <w:kern w:val="0"/>
          <w:sz w:val="30"/>
          <w:szCs w:val="32"/>
          <w:highlight w:val="none"/>
          <w:u w:val="single"/>
        </w:rPr>
        <w:t>因发包人违约给承包人造成的损失，发包人只对直接损失给予赔偿，对间接损失不予任何费用赔偿</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73E03C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16.2 承包人违约</w:t>
      </w:r>
    </w:p>
    <w:p w14:paraId="3EE398C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16.2.2承包人违约的责任</w:t>
      </w:r>
    </w:p>
    <w:p w14:paraId="39AB63D3">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1、承包人在施工中没有领会发包人意图或不明确施工要求而又不向发包人求证明确，致使施工不能达到发包人要求的，发包人有权要求承包人返工并由承包人承担返工损失，工期不得顺延；</w:t>
      </w:r>
    </w:p>
    <w:p w14:paraId="54F06402">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2、承包人不能因为任何原因拖欠农民工工资，由此引发的任何责任由承包人承担；出现拖欠农民工工资行为，发包人有权从承包人工程进度款中扣减直接支付给农民工，并处每次二十万元整的违约金；承包人不能因为任何原因拖欠包含但不限于承包人材料供应商及施工机具租赁方任何费用，由此引发的任何责任由承包人承担；出现拖欠包含但不限于材料费及机具租赁费等行为，发包人有权暂停支付工程进度款直至承包人支付完成为止，并处每次二十万元整的违约金。</w:t>
      </w:r>
    </w:p>
    <w:p w14:paraId="449A2F57">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3、承包人派往施工现场的项目经理、技术负责人、其他管理人员每周在现场的时间不少于6天，未经发包人批准擅自离岗的支付违约金每人500元/天；如任一管理人员擅自离岗累计超出5天后，则按超出天数支付违约金</w:t>
      </w:r>
      <w:r>
        <w:rPr>
          <w:rFonts w:eastAsia="仿宋_GB2312"/>
          <w:color w:val="auto"/>
          <w:kern w:val="0"/>
          <w:sz w:val="30"/>
          <w:szCs w:val="32"/>
          <w:highlight w:val="none"/>
        </w:rPr>
        <w:t>1</w:t>
      </w:r>
      <w:r>
        <w:rPr>
          <w:rFonts w:hint="eastAsia" w:eastAsia="仿宋_GB2312"/>
          <w:color w:val="auto"/>
          <w:kern w:val="0"/>
          <w:sz w:val="30"/>
          <w:szCs w:val="32"/>
          <w:highlight w:val="none"/>
        </w:rPr>
        <w:t>000元/天；如任一管理人员擅自离岗累计超出10天，</w:t>
      </w:r>
      <w:r>
        <w:rPr>
          <w:rFonts w:hint="eastAsia" w:eastAsia="仿宋_GB2312"/>
          <w:color w:val="auto"/>
          <w:sz w:val="30"/>
          <w:szCs w:val="32"/>
          <w:highlight w:val="none"/>
        </w:rPr>
        <w:t>发包人有权单方解除合同，不承担违约责任。承包人应于发包人解除合同之日起5日内向发包人支付违约金五十万元。逾期支付，承包人应额外向发包人支付未付金额0.5‰/天的逾期违约金直至完全支付时</w:t>
      </w:r>
      <w:r>
        <w:rPr>
          <w:rFonts w:hint="eastAsia" w:eastAsia="仿宋_GB2312"/>
          <w:color w:val="auto"/>
          <w:kern w:val="0"/>
          <w:sz w:val="30"/>
          <w:szCs w:val="32"/>
          <w:highlight w:val="none"/>
        </w:rPr>
        <w:t>。</w:t>
      </w:r>
    </w:p>
    <w:p w14:paraId="36B7F2AE">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4、承包人进场人员必须严格按照合同及相关文件中所报项目经理、技术负责人及其他管理人员配备，不得更换。如承包人未经监理和发包人审查同意，更换填报的任一项目经理、技术负责人及其他管理人员，处以每人次五万元的违约金，并限期予以纠正；</w:t>
      </w:r>
      <w:r>
        <w:rPr>
          <w:rFonts w:hint="eastAsia" w:eastAsia="仿宋_GB2312"/>
          <w:color w:val="auto"/>
          <w:sz w:val="30"/>
          <w:szCs w:val="32"/>
          <w:highlight w:val="none"/>
        </w:rPr>
        <w:t>逾期未纠正，发包人有权单方解除合同，不承担违约责任。承包人应于发包人解除合同之日起5日内向发包人支付违约金五十万元。逾期支付，承包人应额外向发包人支付未付金额0.5‰/天的逾期违约金直至完全支付时。</w:t>
      </w:r>
    </w:p>
    <w:p w14:paraId="13BFF638">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5、承包人有以下情况发生，属违约行为，应承担的违约责任：按十万元/次支付违约金并继续履行合同；在指定期限内拒不整改的，发包人有权解除合同，并要求承包人承担严重违约责任。</w:t>
      </w:r>
    </w:p>
    <w:p w14:paraId="49FD4A6E">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（1）承包人违反合同约定进行转包或违法分包的；</w:t>
      </w:r>
    </w:p>
    <w:p w14:paraId="405DD2F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（2）承包人违反合同约定采购和使用不合格的材料和工程设备的；</w:t>
      </w:r>
    </w:p>
    <w:p w14:paraId="1F04742B">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6、承包人有以下情况发生，属违约行为，应承担的违约责任：支付违约金三千元/次 。</w:t>
      </w:r>
    </w:p>
    <w:p w14:paraId="371723E4">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（1）因承包人原因导致工程质量不符合合同要求的</w:t>
      </w:r>
      <w:r>
        <w:rPr>
          <w:rFonts w:hint="eastAsia" w:eastAsia="仿宋_GB2312"/>
          <w:color w:val="auto"/>
          <w:kern w:val="0"/>
          <w:sz w:val="30"/>
          <w:szCs w:val="32"/>
          <w:highlight w:val="none"/>
        </w:rPr>
        <w:t>，由承包人负责返工，直到达到约定标准，其耽误的工期由承包人自负</w:t>
      </w:r>
      <w:r>
        <w:rPr>
          <w:rFonts w:eastAsia="仿宋_GB2312"/>
          <w:color w:val="auto"/>
          <w:kern w:val="0"/>
          <w:sz w:val="30"/>
          <w:szCs w:val="32"/>
          <w:highlight w:val="none"/>
        </w:rPr>
        <w:t>；</w:t>
      </w:r>
    </w:p>
    <w:p w14:paraId="05D3DB5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hint="eastAsia" w:eastAsia="仿宋_GB2312"/>
          <w:color w:val="auto"/>
          <w:kern w:val="0"/>
          <w:sz w:val="30"/>
          <w:szCs w:val="32"/>
          <w:highlight w:val="none"/>
        </w:rPr>
        <w:t>关键工作或发包人特别要求完成的主要工程未按计划完成</w:t>
      </w:r>
      <w:r>
        <w:rPr>
          <w:rFonts w:eastAsia="仿宋_GB2312"/>
          <w:color w:val="auto"/>
          <w:kern w:val="0"/>
          <w:sz w:val="30"/>
          <w:szCs w:val="32"/>
          <w:highlight w:val="none"/>
        </w:rPr>
        <w:t xml:space="preserve">； </w:t>
      </w:r>
    </w:p>
    <w:p w14:paraId="1C2A1F8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3</w:t>
      </w:r>
      <w:r>
        <w:rPr>
          <w:rFonts w:eastAsia="仿宋_GB2312"/>
          <w:color w:val="auto"/>
          <w:kern w:val="0"/>
          <w:sz w:val="30"/>
          <w:szCs w:val="32"/>
          <w:highlight w:val="none"/>
        </w:rPr>
        <w:t>）</w:t>
      </w:r>
      <w:r>
        <w:rPr>
          <w:rFonts w:hint="eastAsia" w:eastAsia="仿宋_GB2312"/>
          <w:color w:val="auto"/>
          <w:kern w:val="0"/>
          <w:sz w:val="30"/>
          <w:szCs w:val="32"/>
          <w:highlight w:val="none"/>
        </w:rPr>
        <w:t>施工过程中不按国家相关施工规范组织施工；</w:t>
      </w:r>
    </w:p>
    <w:p w14:paraId="01139A75">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4</w:t>
      </w:r>
      <w:r>
        <w:rPr>
          <w:rFonts w:eastAsia="仿宋_GB2312"/>
          <w:color w:val="auto"/>
          <w:kern w:val="0"/>
          <w:sz w:val="30"/>
          <w:szCs w:val="32"/>
          <w:highlight w:val="none"/>
        </w:rPr>
        <w:t>）</w:t>
      </w:r>
      <w:r>
        <w:rPr>
          <w:rFonts w:hint="eastAsia" w:eastAsia="仿宋_GB2312"/>
          <w:color w:val="auto"/>
          <w:kern w:val="0"/>
          <w:sz w:val="30"/>
          <w:szCs w:val="32"/>
          <w:highlight w:val="none"/>
        </w:rPr>
        <w:t>重要部位不按施工程序自检、报验和发包人签字审核，擅自施工；</w:t>
      </w:r>
    </w:p>
    <w:p w14:paraId="71683B8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5</w:t>
      </w:r>
      <w:r>
        <w:rPr>
          <w:rFonts w:eastAsia="仿宋_GB2312"/>
          <w:color w:val="auto"/>
          <w:kern w:val="0"/>
          <w:sz w:val="30"/>
          <w:szCs w:val="32"/>
          <w:highlight w:val="none"/>
        </w:rPr>
        <w:t xml:space="preserve">）未经批准，私自将已按照合同约定进入施工现场的材料或设备撤离施工现场的 </w:t>
      </w:r>
      <w:r>
        <w:rPr>
          <w:rFonts w:hint="eastAsia" w:eastAsia="仿宋_GB2312"/>
          <w:color w:val="auto"/>
          <w:kern w:val="0"/>
          <w:sz w:val="30"/>
          <w:szCs w:val="32"/>
          <w:highlight w:val="none"/>
        </w:rPr>
        <w:t>；</w:t>
      </w:r>
    </w:p>
    <w:p w14:paraId="2890876C">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6</w:t>
      </w:r>
      <w:r>
        <w:rPr>
          <w:rFonts w:eastAsia="仿宋_GB2312"/>
          <w:color w:val="auto"/>
          <w:kern w:val="0"/>
          <w:sz w:val="30"/>
          <w:szCs w:val="32"/>
          <w:highlight w:val="none"/>
        </w:rPr>
        <w:t>）承包人在缺陷责任期及保修期内，未能在合理期限对工程缺陷进行修复，或拒绝按发包人要求进行修复的</w:t>
      </w:r>
      <w:r>
        <w:rPr>
          <w:rFonts w:hint="eastAsia" w:eastAsia="仿宋_GB2312"/>
          <w:color w:val="auto"/>
          <w:kern w:val="0"/>
          <w:sz w:val="30"/>
          <w:szCs w:val="32"/>
          <w:highlight w:val="none"/>
        </w:rPr>
        <w:t xml:space="preserve"> 。</w:t>
      </w:r>
      <w:r>
        <w:rPr>
          <w:rFonts w:eastAsia="仿宋_GB2312"/>
          <w:color w:val="auto"/>
          <w:kern w:val="0"/>
          <w:sz w:val="30"/>
          <w:szCs w:val="32"/>
          <w:highlight w:val="none"/>
        </w:rPr>
        <w:t xml:space="preserve">  </w:t>
      </w:r>
    </w:p>
    <w:p w14:paraId="61BB1935">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 xml:space="preserve"> </w:t>
      </w:r>
      <w:r>
        <w:rPr>
          <w:rFonts w:hint="eastAsia" w:eastAsia="仿宋_GB2312"/>
          <w:color w:val="auto"/>
          <w:kern w:val="0"/>
          <w:sz w:val="30"/>
          <w:szCs w:val="32"/>
          <w:highlight w:val="none"/>
        </w:rPr>
        <w:t xml:space="preserve">7、承包人提交的工程竣工资料必须字迹清楚、资料完全、图物相符、数据准确、竣工图纸完整，如不符合要求则应承担违约金三千元/处；隐蔽工程验收单缺失则应承担违约金五千元/项。 </w:t>
      </w:r>
    </w:p>
    <w:p w14:paraId="69B77E81">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w:t>
      </w:r>
      <w:r>
        <w:rPr>
          <w:rFonts w:eastAsia="仿宋_GB2312"/>
          <w:color w:val="auto"/>
          <w:kern w:val="0"/>
          <w:sz w:val="30"/>
          <w:szCs w:val="32"/>
          <w:highlight w:val="none"/>
        </w:rPr>
        <w:t>8、</w:t>
      </w:r>
      <w:r>
        <w:rPr>
          <w:rFonts w:hint="eastAsia" w:eastAsia="仿宋_GB2312"/>
          <w:color w:val="auto"/>
          <w:kern w:val="0"/>
          <w:sz w:val="30"/>
          <w:szCs w:val="32"/>
          <w:highlight w:val="none"/>
        </w:rPr>
        <w:t>发包人有权根据工程进度情况要求承包人增加施工人员和更换施工班组，若承包人未按发包人要求执行，一次性扣违约金五万元。</w:t>
      </w:r>
    </w:p>
    <w:p w14:paraId="3B0BA0EE">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9、承包人逾期支付上述违约金额时，承包人应额外向发包人支付未付金额0.5‰/天的逾期违约金直至完全支付为止。发包人有权单方解除合同，不承担违约责任。  </w:t>
      </w:r>
    </w:p>
    <w:p w14:paraId="21480A8C">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10、实际施工中，如有增减工程内容的情形（包括合同范围以外的新增工作内容），发包人有权对工程内容进行增减调整，承包人必须按发包人发出的指令执行，承包人拒不履行的，发包人有权一次性扣违约金五万元，经催告后仍不执行的，发包人有权单方解除合同，不承担违约责任。</w:t>
      </w:r>
    </w:p>
    <w:p w14:paraId="068729D1">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11、</w:t>
      </w:r>
      <w:r>
        <w:rPr>
          <w:rFonts w:hint="eastAsia" w:eastAsia="仿宋_GB2312"/>
          <w:color w:val="auto"/>
          <w:kern w:val="0"/>
          <w:sz w:val="30"/>
          <w:szCs w:val="32"/>
          <w:highlight w:val="none"/>
        </w:rPr>
        <w:t>由发包人组织的工程会议或监理组织的每周工地例会，承包人项目经理和技术负责人必须出席（经发包人批准除外），每缺席一次按500元/人.次扣除违约金。若发包人通知承包人纠正，承包人拒绝或超过48小时未纠正的，发包人有权单方解除合同，因此造成的一切损失由承包人承担。</w:t>
      </w:r>
    </w:p>
    <w:p w14:paraId="43C82A61">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12、</w:t>
      </w:r>
      <w:r>
        <w:rPr>
          <w:rFonts w:hint="eastAsia" w:eastAsia="仿宋_GB2312"/>
          <w:color w:val="auto"/>
          <w:kern w:val="0"/>
          <w:sz w:val="30"/>
          <w:szCs w:val="32"/>
          <w:highlight w:val="none"/>
        </w:rPr>
        <w:t>工程保修期内发现质量不合格，承包人必须在规定的期限返工并达到合同约定的质量等级，并按该不合格项目所处分项工程造价5%计算向发包人承担支付违约金的责任。</w:t>
      </w:r>
    </w:p>
    <w:p w14:paraId="4406089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w:t>
      </w:r>
      <w:r>
        <w:rPr>
          <w:rFonts w:hint="eastAsia" w:eastAsia="仿宋_GB2312"/>
          <w:color w:val="auto"/>
          <w:kern w:val="0"/>
          <w:sz w:val="30"/>
          <w:szCs w:val="32"/>
          <w:highlight w:val="none"/>
        </w:rPr>
        <w:t>竣工结算办理时如承包人送交的正式结算资料（包含但不限于竣工图、签证单等资料）经发包人查实与工程实际不符，竣工资料应予修改，并且承包人须向发包人支付双倍差额的违约金。</w:t>
      </w:r>
    </w:p>
    <w:p w14:paraId="231DD085">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14、</w:t>
      </w:r>
      <w:r>
        <w:rPr>
          <w:rFonts w:hint="eastAsia" w:eastAsia="仿宋_GB2312"/>
          <w:color w:val="auto"/>
          <w:kern w:val="0"/>
          <w:sz w:val="30"/>
          <w:szCs w:val="32"/>
          <w:highlight w:val="none"/>
        </w:rPr>
        <w:t>在施工过程中如出现各类资料、测量工器具（含设备）等弄虚作假的情况，处以违约金5万元/次，发包人有权单方解除合同，因此造成的相应损失由承包人承担。</w:t>
      </w:r>
    </w:p>
    <w:p w14:paraId="428C4CAB">
      <w:pPr>
        <w:pStyle w:val="7"/>
        <w:ind w:left="63" w:right="63"/>
        <w:jc w:val="left"/>
        <w:rPr>
          <w:color w:val="auto"/>
          <w:highlight w:val="none"/>
        </w:rPr>
      </w:pPr>
      <w:r>
        <w:rPr>
          <w:rFonts w:hint="eastAsia"/>
          <w:color w:val="auto"/>
          <w:highlight w:val="none"/>
        </w:rPr>
        <w:t xml:space="preserve"> </w:t>
      </w:r>
      <w:r>
        <w:rPr>
          <w:color w:val="auto"/>
          <w:highlight w:val="none"/>
        </w:rPr>
        <w:t xml:space="preserve">     </w:t>
      </w:r>
      <w:r>
        <w:rPr>
          <w:rFonts w:eastAsia="仿宋_GB2312"/>
          <w:color w:val="auto"/>
          <w:sz w:val="30"/>
          <w:szCs w:val="32"/>
          <w:highlight w:val="none"/>
        </w:rPr>
        <w:t>15、</w:t>
      </w:r>
      <w:r>
        <w:rPr>
          <w:rFonts w:hint="eastAsia" w:eastAsia="仿宋_GB2312"/>
          <w:color w:val="auto"/>
          <w:sz w:val="30"/>
          <w:szCs w:val="32"/>
          <w:highlight w:val="none"/>
        </w:rPr>
        <w:t>每期</w:t>
      </w:r>
      <w:r>
        <w:rPr>
          <w:rFonts w:eastAsia="仿宋_GB2312"/>
          <w:color w:val="auto"/>
          <w:sz w:val="30"/>
          <w:szCs w:val="32"/>
          <w:highlight w:val="none"/>
        </w:rPr>
        <w:t>施工单位</w:t>
      </w:r>
      <w:r>
        <w:rPr>
          <w:rFonts w:hint="eastAsia" w:eastAsia="仿宋_GB2312"/>
          <w:color w:val="auto"/>
          <w:sz w:val="30"/>
          <w:szCs w:val="32"/>
          <w:highlight w:val="none"/>
        </w:rPr>
        <w:t>报送</w:t>
      </w:r>
      <w:r>
        <w:rPr>
          <w:rFonts w:eastAsia="仿宋_GB2312"/>
          <w:color w:val="auto"/>
          <w:sz w:val="30"/>
          <w:szCs w:val="32"/>
          <w:highlight w:val="none"/>
        </w:rPr>
        <w:t>的</w:t>
      </w:r>
      <w:r>
        <w:rPr>
          <w:rFonts w:hint="eastAsia" w:eastAsia="仿宋_GB2312"/>
          <w:color w:val="auto"/>
          <w:sz w:val="30"/>
          <w:szCs w:val="32"/>
          <w:highlight w:val="none"/>
        </w:rPr>
        <w:t>施工进度报审金额超过施工进度审核金额的</w:t>
      </w:r>
      <w:r>
        <w:rPr>
          <w:rFonts w:eastAsia="仿宋_GB2312"/>
          <w:color w:val="auto"/>
          <w:sz w:val="30"/>
          <w:szCs w:val="32"/>
          <w:highlight w:val="none"/>
        </w:rPr>
        <w:t>20%时，每次扣除</w:t>
      </w:r>
      <w:r>
        <w:rPr>
          <w:rFonts w:eastAsia="仿宋_GB2312"/>
          <w:color w:val="auto"/>
          <w:sz w:val="30"/>
          <w:szCs w:val="32"/>
          <w:highlight w:val="none"/>
          <w:u w:val="single"/>
        </w:rPr>
        <w:t xml:space="preserve">   1000   </w:t>
      </w:r>
      <w:r>
        <w:rPr>
          <w:rFonts w:hint="eastAsia" w:eastAsia="仿宋_GB2312"/>
          <w:color w:val="auto"/>
          <w:sz w:val="30"/>
          <w:szCs w:val="32"/>
          <w:highlight w:val="none"/>
        </w:rPr>
        <w:t>元违约金。</w:t>
      </w:r>
    </w:p>
    <w:p w14:paraId="32F6D4F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16.2.3 因承包人违约解除合同</w:t>
      </w:r>
    </w:p>
    <w:p w14:paraId="67D6B3A7">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关于承包人违约解除合同的特别约定：</w:t>
      </w:r>
    </w:p>
    <w:p w14:paraId="7A634C96">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1、承包人接到通知后，必须在2天内停止工程施工，并在10天内将机械、材料、物件、人员从施工现场撤离。停工3天内，发包人将会同承包人对已完成工程量进行清点：只承认已完工且符合质量验收标准的部分工程，对于已订货而未到现场或在现场未使用的材料、设备等不予承认，由承包人自行处理；对于承包人已开工但经检验不合格的工程，承包人必须在限期内拆除，并清运出工地，由此带来的相应损失由承包人承担；</w:t>
      </w:r>
    </w:p>
    <w:p w14:paraId="18B626E9">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2、承包人未在规定期限内离场的，发包人有权将其留在现场的材料、设备和其他物件临时转运到其它堆放处，由此产生的搬运、保管费用应由承包人负责，在此过程中出现的任何非发包人主观故意引起的损坏、遗失由承包人自行负责，处理费用由承包人承担。由于合同解除引致发包人工期延误及其它方面的损失，由承包人负责赔偿；</w:t>
      </w:r>
    </w:p>
    <w:p w14:paraId="48FCD390">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3、承包人在部分解除合同或解除合同后，还必须在规定期限内作好已施工技术资料和实物的交底、移交工作，并配合发包人重新确定施工单位。承包人因未履行上述义务而给发包人带来工期延误和其它损失的，应赔偿发包人的实际损失；</w:t>
      </w:r>
    </w:p>
    <w:p w14:paraId="7A0C8D76">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4、合同解除后，不影响双方在合同中约定的结算和清理尾款的效力，亦不能免除承包人对已完工项目的保修责任</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4F3A7D92">
      <w:pPr>
        <w:spacing w:before="120" w:after="120"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w:t>
      </w:r>
      <w:r>
        <w:rPr>
          <w:rFonts w:hint="eastAsia" w:eastAsia="仿宋_GB2312"/>
          <w:color w:val="auto"/>
          <w:kern w:val="0"/>
          <w:sz w:val="30"/>
          <w:szCs w:val="32"/>
          <w:highlight w:val="none"/>
        </w:rPr>
        <w:t>继续</w:t>
      </w:r>
      <w:r>
        <w:rPr>
          <w:rFonts w:eastAsia="仿宋_GB2312"/>
          <w:color w:val="auto"/>
          <w:kern w:val="0"/>
          <w:sz w:val="30"/>
          <w:szCs w:val="32"/>
          <w:highlight w:val="none"/>
        </w:rPr>
        <w:t>使用承包人在施工现场的材料、设备、临时工程、承包人文件和由承包人或以其名义编制的其他文件</w:t>
      </w:r>
      <w:r>
        <w:rPr>
          <w:rFonts w:hint="eastAsia" w:eastAsia="仿宋_GB2312"/>
          <w:color w:val="auto"/>
          <w:kern w:val="0"/>
          <w:sz w:val="30"/>
          <w:szCs w:val="32"/>
          <w:highlight w:val="none"/>
        </w:rPr>
        <w:t>的费用承担方式</w:t>
      </w:r>
      <w:r>
        <w:rPr>
          <w:rFonts w:eastAsia="仿宋_GB2312"/>
          <w:color w:val="auto"/>
          <w:kern w:val="0"/>
          <w:sz w:val="30"/>
          <w:szCs w:val="32"/>
          <w:highlight w:val="none"/>
        </w:rPr>
        <w:t>：</w:t>
      </w:r>
      <w:r>
        <w:rPr>
          <w:rFonts w:hint="eastAsia" w:eastAsia="仿宋_GB2312"/>
          <w:color w:val="auto"/>
          <w:kern w:val="0"/>
          <w:sz w:val="30"/>
          <w:szCs w:val="32"/>
          <w:highlight w:val="none"/>
          <w:u w:val="single"/>
        </w:rPr>
        <w:t>发包人继续使用施工现场的材料、设备、临时工程</w:t>
      </w:r>
      <w:r>
        <w:rPr>
          <w:rFonts w:eastAsia="仿宋_GB2312"/>
          <w:color w:val="auto"/>
          <w:kern w:val="0"/>
          <w:sz w:val="30"/>
          <w:szCs w:val="32"/>
          <w:highlight w:val="none"/>
          <w:u w:val="single"/>
        </w:rPr>
        <w:t>按</w:t>
      </w:r>
      <w:r>
        <w:rPr>
          <w:rFonts w:hint="eastAsia" w:eastAsia="仿宋_GB2312"/>
          <w:color w:val="auto"/>
          <w:kern w:val="0"/>
          <w:sz w:val="30"/>
          <w:szCs w:val="32"/>
          <w:highlight w:val="none"/>
          <w:u w:val="single"/>
        </w:rPr>
        <w:t>通用合同条款</w:t>
      </w:r>
      <w:r>
        <w:rPr>
          <w:rFonts w:eastAsia="仿宋_GB2312"/>
          <w:color w:val="auto"/>
          <w:kern w:val="0"/>
          <w:sz w:val="30"/>
          <w:szCs w:val="32"/>
          <w:highlight w:val="none"/>
          <w:u w:val="single"/>
        </w:rPr>
        <w:t>第4.4款</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；承包人文件和由承包人或以其名义编制的其他文件无偿提供给发包人使用</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rPr>
        <w:t>。</w:t>
      </w:r>
    </w:p>
    <w:p w14:paraId="7C5FFD5E">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16.4</w:t>
      </w:r>
      <w:r>
        <w:rPr>
          <w:rFonts w:hint="eastAsia" w:eastAsia="仿宋_GB2312"/>
          <w:color w:val="auto"/>
          <w:kern w:val="0"/>
          <w:sz w:val="30"/>
          <w:szCs w:val="32"/>
          <w:highlight w:val="none"/>
        </w:rPr>
        <w:t>承包人应在发包人发出支付违约金通知之日起7日内支付违约金，超出7日则视为逾期支付违约金。</w:t>
      </w:r>
    </w:p>
    <w:p w14:paraId="3FA959B3">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16.5本合同约定的违约金条款均可同时适用，当约定的违约金低于发包人实际损失（包括直接损失、间接损失及维权成本），发包人有权要求承包人按实际损失赔偿。实际损失包括但不限于可得利益损失、替代交易价差、停产损失、维权律师费及差旅费。发包人有权直接从应付款项或保证金中扣除违约金、赔偿金，无需承包人同意。</w:t>
      </w:r>
    </w:p>
    <w:p w14:paraId="1657AAFE">
      <w:pPr>
        <w:pStyle w:val="5"/>
        <w:spacing w:before="120" w:after="120" w:line="360" w:lineRule="auto"/>
        <w:rPr>
          <w:rFonts w:ascii="Times New Roman" w:hAnsi="Times New Roman" w:eastAsia="黑体"/>
          <w:b w:val="0"/>
          <w:color w:val="auto"/>
          <w:sz w:val="32"/>
          <w:szCs w:val="32"/>
          <w:highlight w:val="none"/>
        </w:rPr>
      </w:pPr>
      <w:bookmarkStart w:id="450" w:name="_Toc351203649"/>
      <w:r>
        <w:rPr>
          <w:rFonts w:ascii="Times New Roman" w:hAnsi="Times New Roman" w:eastAsia="黑体"/>
          <w:b w:val="0"/>
          <w:color w:val="auto"/>
          <w:sz w:val="32"/>
          <w:szCs w:val="32"/>
          <w:highlight w:val="none"/>
        </w:rPr>
        <w:t>17. 不可抗力</w:t>
      </w:r>
      <w:bookmarkEnd w:id="450"/>
      <w:r>
        <w:rPr>
          <w:rFonts w:ascii="Times New Roman" w:hAnsi="Times New Roman" w:eastAsia="黑体"/>
          <w:b w:val="0"/>
          <w:color w:val="auto"/>
          <w:sz w:val="32"/>
          <w:szCs w:val="32"/>
          <w:highlight w:val="none"/>
        </w:rPr>
        <w:t xml:space="preserve"> </w:t>
      </w:r>
      <w:bookmarkEnd w:id="448"/>
    </w:p>
    <w:p w14:paraId="59A723FD">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17.1 不可抗力的确认</w:t>
      </w:r>
    </w:p>
    <w:p w14:paraId="7C0460C2">
      <w:pPr>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除通用合同条款约定的不可抗力事件之外，视为不可抗力的其他情形：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空中飞行物坠落或非发包人、承包人责任造成的爆炸、火灾以及百年一遇以上等级的风、雨、雪、洪水、高温自然灾害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24684F7">
      <w:pPr>
        <w:spacing w:line="360" w:lineRule="auto"/>
        <w:ind w:firstLine="600" w:firstLineChars="200"/>
        <w:jc w:val="left"/>
        <w:rPr>
          <w:rFonts w:eastAsia="黑体"/>
          <w:color w:val="auto"/>
          <w:sz w:val="30"/>
          <w:szCs w:val="32"/>
          <w:highlight w:val="none"/>
        </w:rPr>
      </w:pPr>
      <w:r>
        <w:rPr>
          <w:rFonts w:eastAsia="仿宋_GB2312"/>
          <w:color w:val="auto"/>
          <w:kern w:val="0"/>
          <w:sz w:val="30"/>
          <w:szCs w:val="32"/>
          <w:highlight w:val="none"/>
        </w:rPr>
        <w:t>17.3</w:t>
      </w:r>
      <w:r>
        <w:rPr>
          <w:rFonts w:eastAsia="黑体"/>
          <w:color w:val="auto"/>
          <w:sz w:val="30"/>
          <w:szCs w:val="32"/>
          <w:highlight w:val="none"/>
        </w:rPr>
        <w:t>不可抗力后果的承担</w:t>
      </w:r>
    </w:p>
    <w:p w14:paraId="4625A7EE">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17.3.2</w:t>
      </w:r>
      <w:r>
        <w:rPr>
          <w:rFonts w:eastAsia="仿宋_GB2312"/>
          <w:color w:val="auto"/>
          <w:sz w:val="30"/>
          <w:szCs w:val="32"/>
          <w:highlight w:val="none"/>
        </w:rPr>
        <w:t>不可抗力导致的人员伤亡、财产损失、费用增加和（或）工期延误等后果，由合同当事人按以下原则承担：</w:t>
      </w:r>
    </w:p>
    <w:p w14:paraId="7EA3735F">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（4</w:t>
      </w:r>
      <w:r>
        <w:rPr>
          <w:rFonts w:eastAsia="仿宋_GB2312"/>
          <w:color w:val="auto"/>
          <w:sz w:val="30"/>
          <w:szCs w:val="32"/>
          <w:highlight w:val="none"/>
        </w:rPr>
        <w:t>）因不可抗力影响承包人履行合同约定的义务，由此导致承包人停工的费用损失由承包人</w:t>
      </w:r>
      <w:r>
        <w:rPr>
          <w:rFonts w:hint="eastAsia" w:eastAsia="仿宋_GB2312"/>
          <w:color w:val="auto"/>
          <w:sz w:val="30"/>
          <w:szCs w:val="32"/>
          <w:highlight w:val="none"/>
        </w:rPr>
        <w:t>承担</w:t>
      </w:r>
      <w:r>
        <w:rPr>
          <w:rFonts w:eastAsia="仿宋_GB2312"/>
          <w:color w:val="auto"/>
          <w:sz w:val="30"/>
          <w:szCs w:val="32"/>
          <w:highlight w:val="none"/>
        </w:rPr>
        <w:t>，停工期间必须支付的工人工资由</w:t>
      </w:r>
      <w:r>
        <w:rPr>
          <w:rFonts w:hint="eastAsia" w:eastAsia="仿宋_GB2312"/>
          <w:color w:val="auto"/>
          <w:sz w:val="30"/>
          <w:szCs w:val="32"/>
          <w:highlight w:val="none"/>
        </w:rPr>
        <w:t>承包</w:t>
      </w:r>
      <w:r>
        <w:rPr>
          <w:rFonts w:eastAsia="仿宋_GB2312"/>
          <w:color w:val="auto"/>
          <w:sz w:val="30"/>
          <w:szCs w:val="32"/>
          <w:highlight w:val="none"/>
        </w:rPr>
        <w:t>人承担。</w:t>
      </w:r>
    </w:p>
    <w:p w14:paraId="05B7AB5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17.4 因不可抗力解除合同</w:t>
      </w:r>
    </w:p>
    <w:p w14:paraId="6BA7156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合同解除后，发包人应在商定或确定发包人应支付款项后</w:t>
      </w:r>
      <w:r>
        <w:rPr>
          <w:rFonts w:eastAsia="仿宋_GB2312"/>
          <w:color w:val="auto"/>
          <w:sz w:val="30"/>
          <w:szCs w:val="32"/>
          <w:highlight w:val="none"/>
          <w:u w:val="single"/>
        </w:rPr>
        <w:t xml:space="preserve"> 28 </w:t>
      </w:r>
      <w:r>
        <w:rPr>
          <w:rFonts w:eastAsia="仿宋_GB2312"/>
          <w:color w:val="auto"/>
          <w:sz w:val="30"/>
          <w:szCs w:val="32"/>
          <w:highlight w:val="none"/>
        </w:rPr>
        <w:t>天内完成款项的支付。</w:t>
      </w:r>
    </w:p>
    <w:p w14:paraId="0F189F8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承包人撤离施工现场以及遣散承包人人员的费用</w:t>
      </w:r>
      <w:r>
        <w:rPr>
          <w:rFonts w:hint="eastAsia" w:eastAsia="仿宋_GB2312"/>
          <w:color w:val="auto"/>
          <w:sz w:val="30"/>
          <w:szCs w:val="32"/>
          <w:highlight w:val="none"/>
        </w:rPr>
        <w:t>由承包人自行承担。</w:t>
      </w:r>
    </w:p>
    <w:p w14:paraId="451E90C2">
      <w:pPr>
        <w:pStyle w:val="5"/>
        <w:spacing w:before="120" w:after="120" w:line="360" w:lineRule="auto"/>
        <w:rPr>
          <w:rFonts w:ascii="Times New Roman" w:hAnsi="Times New Roman" w:eastAsia="黑体"/>
          <w:b w:val="0"/>
          <w:color w:val="auto"/>
          <w:sz w:val="32"/>
          <w:szCs w:val="32"/>
          <w:highlight w:val="none"/>
        </w:rPr>
      </w:pPr>
      <w:bookmarkStart w:id="451" w:name="_Toc351203650"/>
      <w:r>
        <w:rPr>
          <w:rFonts w:ascii="Times New Roman" w:hAnsi="Times New Roman" w:eastAsia="黑体"/>
          <w:b w:val="0"/>
          <w:color w:val="auto"/>
          <w:sz w:val="32"/>
          <w:szCs w:val="32"/>
          <w:highlight w:val="none"/>
        </w:rPr>
        <w:t>18. 保险</w:t>
      </w:r>
      <w:bookmarkEnd w:id="451"/>
    </w:p>
    <w:bookmarkEnd w:id="449"/>
    <w:p w14:paraId="5516A65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18.1 工程保险</w:t>
      </w:r>
    </w:p>
    <w:p w14:paraId="2894A5E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关于工程保险的特别约定：</w:t>
      </w:r>
      <w:r>
        <w:rPr>
          <w:rFonts w:hint="eastAsia" w:eastAsia="仿宋_GB2312"/>
          <w:color w:val="auto"/>
          <w:kern w:val="0"/>
          <w:sz w:val="30"/>
          <w:szCs w:val="32"/>
          <w:highlight w:val="none"/>
          <w:u w:val="single"/>
        </w:rPr>
        <w:t>承包人须以发包人和承包人的名义向双方同意的保险人投保建筑安装工程一切险及第三方责任险，此项费用由承包人承担，如承包人未按约定购买，导致发包人未能得到足额赔偿，由承包人负责补足。承包人应当按照劳动法有关规定为所有入场人员办理工伤保险，并在合同签订后7天内向发包人提交保险证明材料。承包人必须要为其所有作业人员购买人身伤害保险,发生身故情况的保险赔偿金额不低于 200 万元，并为施工场地内自有人员生命财产和施工机械设备办理保险，支付保险费用。</w:t>
      </w:r>
    </w:p>
    <w:bookmarkEnd w:id="425"/>
    <w:bookmarkEnd w:id="426"/>
    <w:bookmarkEnd w:id="427"/>
    <w:bookmarkEnd w:id="428"/>
    <w:bookmarkEnd w:id="429"/>
    <w:bookmarkEnd w:id="430"/>
    <w:bookmarkEnd w:id="431"/>
    <w:bookmarkEnd w:id="432"/>
    <w:bookmarkEnd w:id="433"/>
    <w:bookmarkEnd w:id="434"/>
    <w:bookmarkEnd w:id="435"/>
    <w:bookmarkEnd w:id="436"/>
    <w:p w14:paraId="00EB49ED">
      <w:pPr>
        <w:pStyle w:val="5"/>
        <w:spacing w:before="120" w:after="120" w:line="360" w:lineRule="auto"/>
        <w:rPr>
          <w:rFonts w:ascii="Times New Roman" w:hAnsi="Times New Roman" w:eastAsia="黑体"/>
          <w:b w:val="0"/>
          <w:color w:val="auto"/>
          <w:sz w:val="32"/>
          <w:szCs w:val="32"/>
          <w:highlight w:val="none"/>
        </w:rPr>
      </w:pPr>
      <w:bookmarkStart w:id="452" w:name="_Toc351203651"/>
      <w:r>
        <w:rPr>
          <w:rFonts w:ascii="Times New Roman" w:hAnsi="Times New Roman" w:eastAsia="黑体"/>
          <w:b w:val="0"/>
          <w:color w:val="auto"/>
          <w:sz w:val="32"/>
          <w:szCs w:val="32"/>
          <w:highlight w:val="none"/>
        </w:rPr>
        <w:t>20. 争议解决</w:t>
      </w:r>
      <w:bookmarkEnd w:id="452"/>
    </w:p>
    <w:bookmarkEnd w:id="437"/>
    <w:bookmarkEnd w:id="438"/>
    <w:bookmarkEnd w:id="439"/>
    <w:p w14:paraId="3FD3BF3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20.4仲裁或诉讼</w:t>
      </w:r>
      <w:bookmarkEnd w:id="440"/>
    </w:p>
    <w:p w14:paraId="363D96F9">
      <w:pPr>
        <w:spacing w:after="120" w:line="360" w:lineRule="auto"/>
        <w:ind w:firstLine="600" w:firstLineChars="200"/>
        <w:rPr>
          <w:rFonts w:eastAsia="黑体"/>
          <w:color w:val="auto"/>
          <w:sz w:val="30"/>
          <w:szCs w:val="32"/>
          <w:highlight w:val="none"/>
        </w:rPr>
      </w:pPr>
      <w:r>
        <w:rPr>
          <w:rFonts w:eastAsia="仿宋_GB2312"/>
          <w:color w:val="auto"/>
          <w:sz w:val="30"/>
          <w:szCs w:val="32"/>
          <w:highlight w:val="none"/>
        </w:rPr>
        <w:t>因合同及合同有关事项发生的争议，按下列第</w:t>
      </w:r>
      <w:r>
        <w:rPr>
          <w:rFonts w:eastAsia="仿宋_GB2312"/>
          <w:color w:val="auto"/>
          <w:sz w:val="30"/>
          <w:szCs w:val="32"/>
          <w:highlight w:val="none"/>
          <w:u w:val="single"/>
        </w:rPr>
        <w:t xml:space="preserve">  2  </w:t>
      </w:r>
      <w:r>
        <w:rPr>
          <w:rFonts w:eastAsia="仿宋_GB2312"/>
          <w:color w:val="auto"/>
          <w:sz w:val="30"/>
          <w:szCs w:val="32"/>
          <w:highlight w:val="none"/>
        </w:rPr>
        <w:t>种方式</w:t>
      </w:r>
      <w:r>
        <w:rPr>
          <w:rFonts w:hint="eastAsia" w:eastAsia="仿宋_GB2312"/>
          <w:color w:val="auto"/>
          <w:sz w:val="30"/>
          <w:szCs w:val="32"/>
          <w:highlight w:val="none"/>
        </w:rPr>
        <w:t>解</w:t>
      </w:r>
      <w:r>
        <w:rPr>
          <w:rFonts w:eastAsia="仿宋_GB2312"/>
          <w:color w:val="auto"/>
          <w:sz w:val="30"/>
          <w:szCs w:val="32"/>
          <w:highlight w:val="none"/>
        </w:rPr>
        <w:t>决：</w:t>
      </w:r>
    </w:p>
    <w:p w14:paraId="7E00910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（1）向</w:t>
      </w:r>
      <w:r>
        <w:rPr>
          <w:rFonts w:eastAsia="仿宋_GB2312"/>
          <w:color w:val="auto"/>
          <w:sz w:val="30"/>
          <w:szCs w:val="32"/>
          <w:highlight w:val="none"/>
          <w:u w:val="single"/>
        </w:rPr>
        <w:t xml:space="preserve">                     </w:t>
      </w:r>
      <w:r>
        <w:rPr>
          <w:rFonts w:eastAsia="仿宋_GB2312"/>
          <w:color w:val="auto"/>
          <w:sz w:val="30"/>
          <w:szCs w:val="32"/>
          <w:highlight w:val="none"/>
        </w:rPr>
        <w:t>仲裁委员会申请仲裁；</w:t>
      </w:r>
    </w:p>
    <w:p w14:paraId="7175DDE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（2）向</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发包人所在地   </w:t>
      </w:r>
      <w:r>
        <w:rPr>
          <w:rFonts w:eastAsia="仿宋_GB2312"/>
          <w:color w:val="auto"/>
          <w:sz w:val="30"/>
          <w:szCs w:val="32"/>
          <w:highlight w:val="none"/>
          <w:u w:val="single"/>
        </w:rPr>
        <w:t xml:space="preserve">  </w:t>
      </w:r>
      <w:r>
        <w:rPr>
          <w:rFonts w:eastAsia="仿宋_GB2312"/>
          <w:color w:val="auto"/>
          <w:sz w:val="30"/>
          <w:szCs w:val="32"/>
          <w:highlight w:val="none"/>
        </w:rPr>
        <w:t>人民法院起诉。</w:t>
      </w:r>
      <w:bookmarkEnd w:id="441"/>
      <w:bookmarkEnd w:id="442"/>
      <w:bookmarkEnd w:id="443"/>
      <w:bookmarkEnd w:id="444"/>
      <w:bookmarkEnd w:id="445"/>
      <w:bookmarkEnd w:id="446"/>
    </w:p>
    <w:p w14:paraId="3CFA55BF">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21. </w:t>
      </w:r>
      <w:r>
        <w:rPr>
          <w:rFonts w:hint="eastAsia" w:ascii="Times New Roman" w:hAnsi="Times New Roman" w:eastAsia="黑体"/>
          <w:b w:val="0"/>
          <w:color w:val="auto"/>
          <w:sz w:val="32"/>
          <w:szCs w:val="32"/>
          <w:highlight w:val="none"/>
        </w:rPr>
        <w:t>其他未尽事宜补充约定</w:t>
      </w:r>
    </w:p>
    <w:p w14:paraId="6C7ED961">
      <w:pPr>
        <w:spacing w:after="120" w:line="360" w:lineRule="auto"/>
        <w:ind w:firstLine="600" w:firstLineChars="200"/>
        <w:outlineLvl w:val="0"/>
        <w:rPr>
          <w:rFonts w:eastAsia="仿宋_GB2312"/>
          <w:color w:val="auto"/>
          <w:sz w:val="30"/>
          <w:szCs w:val="32"/>
          <w:highlight w:val="none"/>
        </w:rPr>
      </w:pPr>
      <w:r>
        <w:rPr>
          <w:rFonts w:eastAsia="黑体"/>
          <w:color w:val="auto"/>
          <w:sz w:val="30"/>
          <w:szCs w:val="32"/>
          <w:highlight w:val="none"/>
        </w:rPr>
        <w:t>21.1</w:t>
      </w:r>
      <w:r>
        <w:rPr>
          <w:rFonts w:hint="eastAsia" w:eastAsia="仿宋_GB2312"/>
          <w:color w:val="auto"/>
          <w:sz w:val="30"/>
          <w:szCs w:val="32"/>
          <w:highlight w:val="none"/>
        </w:rPr>
        <w:t>本合同为乙供主材，本合同采用一般计税方法计取增值税，发包人在支付承包人工程款以前须收到承包人开具的付款金额足额的增值税专用发票，否则发包人不予支付工程款；</w:t>
      </w:r>
    </w:p>
    <w:p w14:paraId="28A744BE">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21.2</w:t>
      </w:r>
      <w:r>
        <w:rPr>
          <w:rFonts w:hint="eastAsia" w:eastAsia="仿宋_GB2312"/>
          <w:color w:val="auto"/>
          <w:sz w:val="30"/>
          <w:szCs w:val="32"/>
          <w:highlight w:val="none"/>
        </w:rPr>
        <w:t>如果承包人送审的工程结算金额超过双方审定的结算总额的10%以上，超出部分的金额发包人委托造价咨询公司提供咨询服务所产生的咨询费用由承包人承担，且按超出部分金额的5%作为违约金由承包人承担。</w:t>
      </w:r>
    </w:p>
    <w:p w14:paraId="7F5F8D3E">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21.3施工现场</w:t>
      </w:r>
      <w:r>
        <w:rPr>
          <w:rFonts w:hint="eastAsia" w:eastAsia="仿宋_GB2312"/>
          <w:color w:val="auto"/>
          <w:sz w:val="30"/>
          <w:szCs w:val="32"/>
          <w:highlight w:val="none"/>
        </w:rPr>
        <w:t>临时</w:t>
      </w:r>
      <w:r>
        <w:rPr>
          <w:rFonts w:eastAsia="仿宋_GB2312"/>
          <w:color w:val="auto"/>
          <w:sz w:val="30"/>
          <w:szCs w:val="32"/>
          <w:highlight w:val="none"/>
        </w:rPr>
        <w:t>用水、电由承包人自行</w:t>
      </w:r>
      <w:r>
        <w:rPr>
          <w:rFonts w:hint="eastAsia" w:eastAsia="仿宋_GB2312"/>
          <w:color w:val="auto"/>
          <w:sz w:val="30"/>
          <w:szCs w:val="32"/>
          <w:highlight w:val="none"/>
        </w:rPr>
        <w:t>在临时用水、电搭接处</w:t>
      </w:r>
      <w:r>
        <w:rPr>
          <w:rFonts w:eastAsia="仿宋_GB2312"/>
          <w:color w:val="auto"/>
          <w:sz w:val="30"/>
          <w:szCs w:val="32"/>
          <w:highlight w:val="none"/>
        </w:rPr>
        <w:t>安装水、电表单独计量。</w:t>
      </w:r>
      <w:r>
        <w:rPr>
          <w:rFonts w:hint="eastAsia" w:eastAsia="仿宋_GB2312"/>
          <w:color w:val="auto"/>
          <w:sz w:val="30"/>
          <w:szCs w:val="32"/>
          <w:highlight w:val="none"/>
        </w:rPr>
        <w:t>每月最后一天由承包人与发包人工装工程中心共同确认核实用水、电量，其中水按5元/吨，电按1元/度计算。承包人于次月5号前向发包人缴纳足额水电费，发包人向承包人开具水电费增值税专用发票，如承包人未缴纳足额水电费，则次月工程进度款将停止支付。</w:t>
      </w:r>
    </w:p>
    <w:p w14:paraId="1995B54B">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21.4承包人拆除的钢筋混凝土构件中的钢筋、预埋铁件等，由承包人自行处理并清理外运。</w:t>
      </w:r>
    </w:p>
    <w:p w14:paraId="6CD1CBB9">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21.5承包人应向发包人开具增值税专用发票，收到承包人开具的9%税率的增值税专用发票后发包人再进行支付工程款，开票信息如下：</w:t>
      </w:r>
    </w:p>
    <w:p w14:paraId="53CD085B">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重庆国际复合材料股份有限公司大渡口厂区开票信息：</w:t>
      </w:r>
    </w:p>
    <w:p w14:paraId="7BA9293F">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单位名称：重庆国际复合材料股份有限公司</w:t>
      </w:r>
    </w:p>
    <w:p w14:paraId="14034C33">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纳税人识别号：915001046219007657</w:t>
      </w:r>
    </w:p>
    <w:p w14:paraId="5EF05555">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地址电话：重庆市大渡口区建桥工业园B区 023-68157845</w:t>
      </w:r>
    </w:p>
    <w:p w14:paraId="0CAB899F">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开户行：中国建设银行重庆市分行营业部</w:t>
      </w:r>
    </w:p>
    <w:p w14:paraId="674D3077">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账号 ：50001333600050012972</w:t>
      </w:r>
    </w:p>
    <w:p w14:paraId="00668524">
      <w:pPr>
        <w:rPr>
          <w:rFonts w:eastAsia="仿宋_GB2312"/>
          <w:color w:val="auto"/>
          <w:sz w:val="30"/>
          <w:szCs w:val="32"/>
          <w:highlight w:val="none"/>
        </w:rPr>
      </w:pPr>
      <w:r>
        <w:rPr>
          <w:rFonts w:hint="eastAsia" w:eastAsia="仿宋_GB2312"/>
          <w:color w:val="auto"/>
          <w:sz w:val="30"/>
          <w:szCs w:val="32"/>
          <w:highlight w:val="none"/>
        </w:rPr>
        <w:t>专用合同条款附件：</w:t>
      </w:r>
    </w:p>
    <w:p w14:paraId="4D2C0939">
      <w:pPr>
        <w:spacing w:line="360" w:lineRule="auto"/>
        <w:jc w:val="left"/>
        <w:rPr>
          <w:rFonts w:eastAsia="仿宋_GB2312"/>
          <w:color w:val="auto"/>
          <w:sz w:val="30"/>
          <w:szCs w:val="32"/>
          <w:highlight w:val="none"/>
        </w:rPr>
      </w:pPr>
      <w:r>
        <w:rPr>
          <w:rFonts w:eastAsia="仿宋_GB2312"/>
          <w:color w:val="auto"/>
          <w:sz w:val="30"/>
          <w:szCs w:val="32"/>
          <w:highlight w:val="none"/>
        </w:rPr>
        <w:t>附件1：工程质量保修书</w:t>
      </w:r>
    </w:p>
    <w:p w14:paraId="26AC4D19">
      <w:pPr>
        <w:spacing w:line="360" w:lineRule="auto"/>
        <w:jc w:val="left"/>
        <w:rPr>
          <w:rFonts w:eastAsia="仿宋_GB2312"/>
          <w:color w:val="auto"/>
          <w:sz w:val="30"/>
          <w:szCs w:val="32"/>
          <w:highlight w:val="none"/>
        </w:rPr>
      </w:pPr>
      <w:r>
        <w:rPr>
          <w:rFonts w:eastAsia="仿宋_GB2312"/>
          <w:color w:val="auto"/>
          <w:sz w:val="30"/>
          <w:szCs w:val="32"/>
          <w:highlight w:val="none"/>
        </w:rPr>
        <w:t>附件2：</w:t>
      </w:r>
      <w:r>
        <w:rPr>
          <w:rFonts w:hint="eastAsia" w:eastAsia="仿宋_GB2312"/>
          <w:color w:val="auto"/>
          <w:sz w:val="30"/>
          <w:szCs w:val="32"/>
          <w:highlight w:val="none"/>
        </w:rPr>
        <w:t>廉政协议</w:t>
      </w:r>
    </w:p>
    <w:p w14:paraId="10623F07">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附件3：安全环保协议</w:t>
      </w:r>
    </w:p>
    <w:p w14:paraId="2C262307">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附件4：工程经济资料管理办法</w:t>
      </w:r>
    </w:p>
    <w:p w14:paraId="18A83628">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附件5：工程项目质量管理考核细则</w:t>
      </w:r>
    </w:p>
    <w:p w14:paraId="45A1056B">
      <w:pPr>
        <w:pStyle w:val="7"/>
        <w:ind w:right="63"/>
        <w:rPr>
          <w:rFonts w:eastAsia="仿宋_GB2312"/>
          <w:color w:val="auto"/>
          <w:sz w:val="30"/>
          <w:szCs w:val="32"/>
          <w:highlight w:val="none"/>
        </w:rPr>
      </w:pPr>
      <w:r>
        <w:rPr>
          <w:rFonts w:hint="eastAsia" w:eastAsia="仿宋_GB2312"/>
          <w:color w:val="auto"/>
          <w:sz w:val="30"/>
          <w:szCs w:val="32"/>
          <w:highlight w:val="none"/>
        </w:rPr>
        <w:t>附件</w:t>
      </w:r>
      <w:r>
        <w:rPr>
          <w:rFonts w:eastAsia="仿宋_GB2312"/>
          <w:color w:val="auto"/>
          <w:sz w:val="30"/>
          <w:szCs w:val="32"/>
          <w:highlight w:val="none"/>
        </w:rPr>
        <w:t>6</w:t>
      </w:r>
      <w:r>
        <w:rPr>
          <w:rFonts w:hint="eastAsia" w:eastAsia="仿宋_GB2312"/>
          <w:color w:val="auto"/>
          <w:sz w:val="30"/>
          <w:szCs w:val="32"/>
          <w:highlight w:val="none"/>
        </w:rPr>
        <w:t>：工程项目设计变更管理办法</w:t>
      </w:r>
    </w:p>
    <w:p w14:paraId="10FF99F6">
      <w:pPr>
        <w:rPr>
          <w:color w:val="auto"/>
          <w:highlight w:val="none"/>
        </w:rPr>
      </w:pPr>
      <w:r>
        <w:rPr>
          <w:rFonts w:hint="eastAsia" w:eastAsia="仿宋_GB2312"/>
          <w:color w:val="auto"/>
          <w:sz w:val="30"/>
          <w:szCs w:val="32"/>
          <w:highlight w:val="none"/>
        </w:rPr>
        <w:t>附件</w:t>
      </w:r>
      <w:r>
        <w:rPr>
          <w:rFonts w:eastAsia="仿宋_GB2312"/>
          <w:color w:val="auto"/>
          <w:sz w:val="30"/>
          <w:szCs w:val="32"/>
          <w:highlight w:val="none"/>
        </w:rPr>
        <w:t>7</w:t>
      </w:r>
      <w:r>
        <w:rPr>
          <w:rFonts w:hint="eastAsia" w:eastAsia="仿宋_GB2312"/>
          <w:color w:val="auto"/>
          <w:sz w:val="30"/>
          <w:szCs w:val="32"/>
          <w:highlight w:val="none"/>
        </w:rPr>
        <w:t>：履约保函示范文本</w:t>
      </w:r>
    </w:p>
    <w:p w14:paraId="0C8D1FD5">
      <w:pPr>
        <w:spacing w:line="360" w:lineRule="auto"/>
        <w:jc w:val="left"/>
        <w:rPr>
          <w:rFonts w:ascii="仿宋_GB2312" w:eastAsia="仿宋_GB2312"/>
          <w:color w:val="auto"/>
          <w:sz w:val="30"/>
          <w:szCs w:val="30"/>
          <w:highlight w:val="none"/>
        </w:rPr>
      </w:pPr>
      <w:r>
        <w:rPr>
          <w:rFonts w:eastAsia="仿宋_GB2312"/>
          <w:color w:val="auto"/>
          <w:sz w:val="30"/>
          <w:szCs w:val="32"/>
          <w:highlight w:val="none"/>
        </w:rPr>
        <w:br w:type="page"/>
      </w:r>
      <w:r>
        <w:rPr>
          <w:rFonts w:hint="eastAsia" w:ascii="仿宋_GB2312" w:eastAsia="仿宋_GB2312"/>
          <w:color w:val="auto"/>
          <w:sz w:val="30"/>
          <w:szCs w:val="30"/>
          <w:highlight w:val="none"/>
        </w:rPr>
        <w:t>附件1：</w:t>
      </w:r>
    </w:p>
    <w:p w14:paraId="75F082D3">
      <w:pPr>
        <w:spacing w:before="156" w:beforeLines="50" w:after="156" w:afterLines="50" w:line="440" w:lineRule="exact"/>
        <w:jc w:val="center"/>
        <w:rPr>
          <w:rFonts w:eastAsia="黑体"/>
          <w:color w:val="auto"/>
          <w:sz w:val="30"/>
          <w:szCs w:val="30"/>
          <w:highlight w:val="none"/>
        </w:rPr>
      </w:pPr>
      <w:r>
        <w:rPr>
          <w:rFonts w:eastAsia="黑体"/>
          <w:color w:val="auto"/>
          <w:sz w:val="30"/>
          <w:szCs w:val="30"/>
          <w:highlight w:val="none"/>
        </w:rPr>
        <w:t>工程质量保修书</w:t>
      </w:r>
    </w:p>
    <w:p w14:paraId="011C4DB0">
      <w:pPr>
        <w:spacing w:line="440" w:lineRule="exact"/>
        <w:ind w:firstLine="600" w:firstLineChars="200"/>
        <w:rPr>
          <w:rFonts w:eastAsia="仿宋_GB2312"/>
          <w:color w:val="auto"/>
          <w:sz w:val="30"/>
          <w:szCs w:val="30"/>
          <w:highlight w:val="none"/>
        </w:rPr>
      </w:pPr>
      <w:r>
        <w:rPr>
          <w:rFonts w:eastAsia="仿宋_GB2312"/>
          <w:color w:val="auto"/>
          <w:sz w:val="30"/>
          <w:szCs w:val="30"/>
          <w:highlight w:val="none"/>
        </w:rPr>
        <w:t>发包人（全称）：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066AD423">
      <w:pPr>
        <w:spacing w:line="440" w:lineRule="exact"/>
        <w:rPr>
          <w:rFonts w:eastAsia="仿宋_GB2312"/>
          <w:color w:val="auto"/>
          <w:sz w:val="30"/>
          <w:szCs w:val="30"/>
          <w:highlight w:val="none"/>
        </w:rPr>
      </w:pPr>
      <w:r>
        <w:rPr>
          <w:rFonts w:eastAsia="仿宋_GB2312"/>
          <w:color w:val="auto"/>
          <w:sz w:val="30"/>
          <w:szCs w:val="30"/>
          <w:highlight w:val="none"/>
        </w:rPr>
        <w:t>　　承包人（全称）：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2298CC67">
      <w:pPr>
        <w:spacing w:line="440" w:lineRule="exact"/>
        <w:rPr>
          <w:rFonts w:eastAsia="仿宋_GB2312"/>
          <w:color w:val="auto"/>
          <w:sz w:val="30"/>
          <w:szCs w:val="30"/>
          <w:highlight w:val="none"/>
        </w:rPr>
      </w:pPr>
    </w:p>
    <w:p w14:paraId="2E838C3A">
      <w:pPr>
        <w:spacing w:line="360" w:lineRule="auto"/>
        <w:rPr>
          <w:rFonts w:eastAsia="仿宋_GB2312"/>
          <w:color w:val="auto"/>
          <w:sz w:val="30"/>
          <w:szCs w:val="30"/>
          <w:highlight w:val="none"/>
        </w:rPr>
      </w:pPr>
      <w:r>
        <w:rPr>
          <w:rFonts w:eastAsia="仿宋_GB2312"/>
          <w:color w:val="auto"/>
          <w:sz w:val="30"/>
          <w:szCs w:val="30"/>
          <w:highlight w:val="none"/>
        </w:rPr>
        <w:t>　　发包人和承包人根据《中华人民共和国建筑法》和《建设工程质量管理条例》，经协商一致就</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（工程全称）签订工程质量保修书。</w:t>
      </w:r>
    </w:p>
    <w:p w14:paraId="520FE949">
      <w:pPr>
        <w:spacing w:line="360" w:lineRule="auto"/>
        <w:outlineLvl w:val="0"/>
        <w:rPr>
          <w:rFonts w:eastAsia="黑体"/>
          <w:color w:val="auto"/>
          <w:sz w:val="30"/>
          <w:szCs w:val="30"/>
          <w:highlight w:val="none"/>
        </w:rPr>
      </w:pPr>
      <w:r>
        <w:rPr>
          <w:rFonts w:eastAsia="黑体"/>
          <w:color w:val="auto"/>
          <w:sz w:val="30"/>
          <w:szCs w:val="30"/>
          <w:highlight w:val="none"/>
        </w:rPr>
        <w:t>　　一、工程质量保修范围和内容</w:t>
      </w:r>
    </w:p>
    <w:p w14:paraId="7EF79977">
      <w:pPr>
        <w:spacing w:line="360" w:lineRule="auto"/>
        <w:rPr>
          <w:rFonts w:eastAsia="仿宋_GB2312"/>
          <w:color w:val="auto"/>
          <w:sz w:val="30"/>
          <w:szCs w:val="30"/>
          <w:highlight w:val="none"/>
        </w:rPr>
      </w:pPr>
      <w:r>
        <w:rPr>
          <w:rFonts w:eastAsia="仿宋_GB2312"/>
          <w:color w:val="auto"/>
          <w:sz w:val="30"/>
          <w:szCs w:val="30"/>
          <w:highlight w:val="none"/>
        </w:rPr>
        <w:t>　　承包人在质量保修期内，按照有关法律规定和合同约定，承担工程质量保修责任。</w:t>
      </w:r>
    </w:p>
    <w:p w14:paraId="63A2DFF5">
      <w:pPr>
        <w:spacing w:line="360" w:lineRule="auto"/>
        <w:rPr>
          <w:rFonts w:eastAsia="仿宋_GB2312"/>
          <w:color w:val="auto"/>
          <w:sz w:val="30"/>
          <w:szCs w:val="30"/>
          <w:highlight w:val="none"/>
        </w:rPr>
      </w:pPr>
      <w:r>
        <w:rPr>
          <w:rFonts w:eastAsia="仿宋_GB2312"/>
          <w:color w:val="auto"/>
          <w:sz w:val="30"/>
          <w:szCs w:val="30"/>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eastAsia="仿宋_GB2312"/>
          <w:color w:val="auto"/>
          <w:sz w:val="30"/>
          <w:szCs w:val="30"/>
          <w:highlight w:val="none"/>
          <w:u w:val="single"/>
        </w:rPr>
        <w:t>工程承包合同约定的承包工程内容及按约定增加的内容</w:t>
      </w:r>
      <w:r>
        <w:rPr>
          <w:rFonts w:eastAsia="仿宋_GB2312"/>
          <w:color w:val="auto"/>
          <w:sz w:val="30"/>
          <w:szCs w:val="30"/>
          <w:highlight w:val="none"/>
          <w:u w:val="single"/>
        </w:rPr>
        <w:t xml:space="preserve">    </w:t>
      </w:r>
      <w:r>
        <w:rPr>
          <w:rFonts w:eastAsia="仿宋_GB2312"/>
          <w:color w:val="auto"/>
          <w:sz w:val="30"/>
          <w:szCs w:val="30"/>
          <w:highlight w:val="none"/>
        </w:rPr>
        <w:t>。</w:t>
      </w:r>
    </w:p>
    <w:p w14:paraId="67C9EE80">
      <w:pPr>
        <w:spacing w:line="360" w:lineRule="auto"/>
        <w:outlineLvl w:val="0"/>
        <w:rPr>
          <w:rFonts w:eastAsia="黑体"/>
          <w:color w:val="auto"/>
          <w:sz w:val="30"/>
          <w:szCs w:val="30"/>
          <w:highlight w:val="none"/>
        </w:rPr>
      </w:pPr>
      <w:r>
        <w:rPr>
          <w:rFonts w:eastAsia="仿宋_GB2312"/>
          <w:b/>
          <w:color w:val="auto"/>
          <w:sz w:val="30"/>
          <w:szCs w:val="30"/>
          <w:highlight w:val="none"/>
        </w:rPr>
        <w:t>　　</w:t>
      </w:r>
      <w:r>
        <w:rPr>
          <w:rFonts w:eastAsia="黑体"/>
          <w:color w:val="auto"/>
          <w:sz w:val="30"/>
          <w:szCs w:val="30"/>
          <w:highlight w:val="none"/>
        </w:rPr>
        <w:t>二、质量保修期</w:t>
      </w:r>
    </w:p>
    <w:p w14:paraId="61C03E5F">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根据《建设工程质量管理条例》及有关规定，工程的质量保修期如下：</w:t>
      </w:r>
    </w:p>
    <w:p w14:paraId="57272600">
      <w:pPr>
        <w:ind w:firstLine="600" w:firstLineChars="200"/>
        <w:rPr>
          <w:rFonts w:ascii="仿宋_GB2312" w:eastAsia="仿宋_GB2312"/>
          <w:color w:val="auto"/>
          <w:sz w:val="30"/>
          <w:szCs w:val="30"/>
          <w:highlight w:val="none"/>
        </w:rPr>
      </w:pPr>
      <w:r>
        <w:rPr>
          <w:rFonts w:hint="eastAsia" w:ascii="仿宋_GB2312" w:eastAsia="仿宋_GB2312"/>
          <w:color w:val="auto"/>
          <w:sz w:val="30"/>
          <w:szCs w:val="30"/>
          <w:highlight w:val="none"/>
        </w:rPr>
        <w:t>1</w:t>
      </w:r>
      <w:r>
        <w:rPr>
          <w:rFonts w:hint="eastAsia" w:eastAsia="仿宋_GB2312"/>
          <w:color w:val="auto"/>
          <w:sz w:val="30"/>
          <w:szCs w:val="30"/>
          <w:highlight w:val="none"/>
        </w:rPr>
        <w:t>．</w:t>
      </w:r>
      <w:r>
        <w:rPr>
          <w:rFonts w:hint="eastAsia" w:ascii="仿宋_GB2312" w:eastAsia="仿宋_GB2312"/>
          <w:color w:val="auto"/>
          <w:sz w:val="30"/>
          <w:szCs w:val="30"/>
          <w:highlight w:val="none"/>
        </w:rPr>
        <w:t>地基基础工程和主体结构工程为设计文件规定的工程合理使用年限；</w:t>
      </w:r>
    </w:p>
    <w:p w14:paraId="3C6483C7">
      <w:pPr>
        <w:spacing w:line="360" w:lineRule="auto"/>
        <w:ind w:firstLine="600" w:firstLineChars="200"/>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   5  </w:t>
      </w:r>
      <w:r>
        <w:rPr>
          <w:rFonts w:eastAsia="仿宋_GB2312"/>
          <w:color w:val="auto"/>
          <w:sz w:val="30"/>
          <w:szCs w:val="30"/>
          <w:highlight w:val="none"/>
        </w:rPr>
        <w:t>年；</w:t>
      </w:r>
    </w:p>
    <w:p w14:paraId="7074FDA8">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5EAAD035">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1C8EE32C">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5</w:t>
      </w:r>
      <w:r>
        <w:rPr>
          <w:rFonts w:hint="eastAsia" w:ascii="仿宋_GB2312" w:eastAsia="仿宋_GB2312"/>
          <w:color w:val="auto"/>
          <w:sz w:val="30"/>
          <w:szCs w:val="30"/>
          <w:highlight w:val="none"/>
        </w:rPr>
        <w:t>．</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1F1A1590">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6</w:t>
      </w:r>
      <w:r>
        <w:rPr>
          <w:rFonts w:hint="eastAsia" w:ascii="仿宋_GB2312" w:eastAsia="仿宋_GB2312"/>
          <w:color w:val="auto"/>
          <w:sz w:val="30"/>
          <w:szCs w:val="30"/>
          <w:highlight w:val="none"/>
        </w:rPr>
        <w:t>．</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4A4788A6">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7</w:t>
      </w:r>
      <w:r>
        <w:rPr>
          <w:rFonts w:hint="eastAsia" w:ascii="仿宋_GB2312" w:eastAsia="仿宋_GB2312"/>
          <w:color w:val="auto"/>
          <w:sz w:val="30"/>
          <w:szCs w:val="30"/>
          <w:highlight w:val="none"/>
        </w:rPr>
        <w:t>．</w:t>
      </w:r>
      <w:r>
        <w:rPr>
          <w:rFonts w:eastAsia="仿宋_GB2312"/>
          <w:color w:val="auto"/>
          <w:sz w:val="30"/>
          <w:szCs w:val="30"/>
          <w:highlight w:val="none"/>
        </w:rPr>
        <w:t>其他项目保修期限约定如下：</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0229A98F">
      <w:pPr>
        <w:spacing w:line="360" w:lineRule="auto"/>
        <w:rPr>
          <w:rFonts w:eastAsia="仿宋_GB2312"/>
          <w:color w:val="auto"/>
          <w:sz w:val="30"/>
          <w:szCs w:val="30"/>
          <w:highlight w:val="none"/>
        </w:rPr>
      </w:pPr>
      <w:r>
        <w:rPr>
          <w:rFonts w:eastAsia="仿宋_GB2312"/>
          <w:color w:val="auto"/>
          <w:sz w:val="30"/>
          <w:szCs w:val="30"/>
          <w:highlight w:val="none"/>
        </w:rPr>
        <w:t>　　质量保修期自工程竣工验收合格之日起计算。</w:t>
      </w:r>
    </w:p>
    <w:p w14:paraId="6AFB6F1B">
      <w:pPr>
        <w:spacing w:line="360" w:lineRule="auto"/>
        <w:ind w:firstLine="600" w:firstLineChars="200"/>
        <w:outlineLvl w:val="0"/>
        <w:rPr>
          <w:rFonts w:eastAsia="黑体"/>
          <w:color w:val="auto"/>
          <w:sz w:val="30"/>
          <w:szCs w:val="30"/>
          <w:highlight w:val="none"/>
        </w:rPr>
      </w:pPr>
      <w:r>
        <w:rPr>
          <w:rFonts w:eastAsia="黑体"/>
          <w:color w:val="auto"/>
          <w:sz w:val="30"/>
          <w:szCs w:val="30"/>
          <w:highlight w:val="none"/>
        </w:rPr>
        <w:t>三、缺陷责任期</w:t>
      </w:r>
    </w:p>
    <w:p w14:paraId="687F42DE">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工程缺陷责任期为</w:t>
      </w:r>
      <w:r>
        <w:rPr>
          <w:rFonts w:eastAsia="仿宋_GB2312"/>
          <w:color w:val="auto"/>
          <w:sz w:val="30"/>
          <w:szCs w:val="30"/>
          <w:highlight w:val="none"/>
          <w:u w:val="single"/>
        </w:rPr>
        <w:t xml:space="preserve">   24  </w:t>
      </w:r>
      <w:r>
        <w:rPr>
          <w:rFonts w:eastAsia="仿宋_GB2312"/>
          <w:color w:val="auto"/>
          <w:sz w:val="30"/>
          <w:szCs w:val="30"/>
          <w:highlight w:val="none"/>
        </w:rPr>
        <w:t>个月，缺陷责任期自工程</w:t>
      </w:r>
      <w:r>
        <w:rPr>
          <w:rFonts w:hint="eastAsia" w:eastAsia="仿宋_GB2312"/>
          <w:color w:val="auto"/>
          <w:sz w:val="30"/>
          <w:szCs w:val="30"/>
          <w:highlight w:val="none"/>
        </w:rPr>
        <w:t>通过竣工验收</w:t>
      </w:r>
      <w:r>
        <w:rPr>
          <w:rFonts w:eastAsia="仿宋_GB2312"/>
          <w:color w:val="auto"/>
          <w:sz w:val="30"/>
          <w:szCs w:val="30"/>
          <w:highlight w:val="none"/>
        </w:rPr>
        <w:t>之日起计算。单位工程先于全部工程进行验收，单位工程缺陷责任期自单位工程验收合格之日起算。</w:t>
      </w:r>
    </w:p>
    <w:p w14:paraId="0A5E0FB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缺陷责任期终止后，发包人应退还剩余的质量保证金。</w:t>
      </w:r>
    </w:p>
    <w:p w14:paraId="6B5F9DB3">
      <w:pPr>
        <w:spacing w:line="360" w:lineRule="auto"/>
        <w:outlineLvl w:val="0"/>
        <w:rPr>
          <w:rFonts w:eastAsia="黑体"/>
          <w:color w:val="auto"/>
          <w:sz w:val="30"/>
          <w:szCs w:val="30"/>
          <w:highlight w:val="none"/>
        </w:rPr>
      </w:pPr>
      <w:r>
        <w:rPr>
          <w:rFonts w:eastAsia="黑体"/>
          <w:color w:val="auto"/>
          <w:sz w:val="30"/>
          <w:szCs w:val="30"/>
          <w:highlight w:val="none"/>
        </w:rPr>
        <w:t xml:space="preserve">    四、质量保修责任</w:t>
      </w:r>
    </w:p>
    <w:p w14:paraId="31E3AC79">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w:t>
      </w:r>
      <w:r>
        <w:rPr>
          <w:rFonts w:eastAsia="仿宋_GB2312"/>
          <w:color w:val="auto"/>
          <w:sz w:val="30"/>
          <w:szCs w:val="30"/>
          <w:highlight w:val="none"/>
        </w:rPr>
        <w:t>属于保修范围、内容的项目，承包人应当在接到保修通知之日起24</w:t>
      </w:r>
      <w:r>
        <w:rPr>
          <w:rFonts w:hint="eastAsia" w:eastAsia="仿宋_GB2312"/>
          <w:color w:val="auto"/>
          <w:sz w:val="30"/>
          <w:szCs w:val="30"/>
          <w:highlight w:val="none"/>
        </w:rPr>
        <w:t>小时</w:t>
      </w:r>
      <w:r>
        <w:rPr>
          <w:rFonts w:eastAsia="仿宋_GB2312"/>
          <w:color w:val="auto"/>
          <w:sz w:val="30"/>
          <w:szCs w:val="30"/>
          <w:highlight w:val="none"/>
        </w:rPr>
        <w:t>内派人保修。承包人不在约定期限内派人保修的，发包人可以委托他人修理。</w:t>
      </w:r>
    </w:p>
    <w:p w14:paraId="260C070D">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发生紧急事故需抢修的，承包人在接到事故通知后，应当立即到达事故现场抢修。</w:t>
      </w:r>
    </w:p>
    <w:p w14:paraId="2A9C2588">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42A1266">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质量保修完成后，由发包人组织验收。</w:t>
      </w:r>
    </w:p>
    <w:p w14:paraId="0C42F7EC">
      <w:pPr>
        <w:spacing w:line="360" w:lineRule="auto"/>
        <w:outlineLvl w:val="0"/>
        <w:rPr>
          <w:rFonts w:eastAsia="黑体"/>
          <w:color w:val="auto"/>
          <w:sz w:val="30"/>
          <w:szCs w:val="30"/>
          <w:highlight w:val="none"/>
        </w:rPr>
      </w:pPr>
      <w:r>
        <w:rPr>
          <w:rFonts w:eastAsia="黑体"/>
          <w:color w:val="auto"/>
          <w:sz w:val="30"/>
          <w:szCs w:val="30"/>
          <w:highlight w:val="none"/>
        </w:rPr>
        <w:t>　　五、保修费用</w:t>
      </w:r>
    </w:p>
    <w:p w14:paraId="21326711">
      <w:pPr>
        <w:spacing w:line="360" w:lineRule="auto"/>
        <w:rPr>
          <w:rFonts w:eastAsia="仿宋_GB2312"/>
          <w:color w:val="auto"/>
          <w:sz w:val="30"/>
          <w:szCs w:val="30"/>
          <w:highlight w:val="none"/>
        </w:rPr>
      </w:pPr>
      <w:r>
        <w:rPr>
          <w:rFonts w:eastAsia="仿宋_GB2312"/>
          <w:color w:val="auto"/>
          <w:sz w:val="30"/>
          <w:szCs w:val="30"/>
          <w:highlight w:val="none"/>
        </w:rPr>
        <w:t>　　保修费用由造成质量缺陷的责任方承担。</w:t>
      </w:r>
    </w:p>
    <w:p w14:paraId="39F1F9D4">
      <w:pPr>
        <w:spacing w:line="360" w:lineRule="auto"/>
        <w:ind w:firstLine="600"/>
        <w:jc w:val="left"/>
        <w:outlineLvl w:val="0"/>
        <w:rPr>
          <w:rFonts w:eastAsia="仿宋_GB2312"/>
          <w:color w:val="auto"/>
          <w:sz w:val="30"/>
          <w:szCs w:val="30"/>
          <w:highlight w:val="none"/>
        </w:rPr>
      </w:pPr>
      <w:r>
        <w:rPr>
          <w:rFonts w:eastAsia="黑体"/>
          <w:b/>
          <w:color w:val="auto"/>
          <w:sz w:val="30"/>
          <w:szCs w:val="30"/>
          <w:highlight w:val="none"/>
        </w:rPr>
        <w:t>六</w:t>
      </w:r>
      <w:r>
        <w:rPr>
          <w:rFonts w:eastAsia="黑体"/>
          <w:color w:val="auto"/>
          <w:sz w:val="30"/>
          <w:szCs w:val="30"/>
          <w:highlight w:val="none"/>
        </w:rPr>
        <w:t>、双方约定的其他工程质量保修事项</w:t>
      </w:r>
      <w:r>
        <w:rPr>
          <w:rFonts w:eastAsia="仿宋_GB2312"/>
          <w:color w:val="auto"/>
          <w:sz w:val="30"/>
          <w:szCs w:val="30"/>
          <w:highlight w:val="none"/>
        </w:rPr>
        <w:t>：</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715D3467">
      <w:pPr>
        <w:spacing w:line="360" w:lineRule="auto"/>
        <w:ind w:firstLine="570" w:firstLineChars="190"/>
        <w:rPr>
          <w:rFonts w:eastAsia="仿宋_GB2312"/>
          <w:color w:val="auto"/>
          <w:sz w:val="30"/>
          <w:szCs w:val="30"/>
          <w:highlight w:val="none"/>
        </w:rPr>
      </w:pPr>
      <w:r>
        <w:rPr>
          <w:rFonts w:eastAsia="仿宋_GB2312"/>
          <w:color w:val="auto"/>
          <w:sz w:val="30"/>
          <w:szCs w:val="30"/>
          <w:highlight w:val="none"/>
        </w:rPr>
        <w:t>工程质量保修书由发包人、承包人在工程竣工验收前共同签署，作为施工合同附件，其有效期限至保修期满。</w:t>
      </w:r>
    </w:p>
    <w:p w14:paraId="3E2DF717">
      <w:pPr>
        <w:spacing w:line="360" w:lineRule="auto"/>
        <w:ind w:firstLine="420"/>
        <w:rPr>
          <w:rFonts w:eastAsia="仿宋_GB2312"/>
          <w:color w:val="auto"/>
          <w:sz w:val="30"/>
          <w:szCs w:val="30"/>
          <w:highlight w:val="none"/>
        </w:rPr>
      </w:pPr>
    </w:p>
    <w:p w14:paraId="3AC61E39">
      <w:pPr>
        <w:spacing w:line="360" w:lineRule="auto"/>
        <w:rPr>
          <w:rFonts w:eastAsia="仿宋_GB2312"/>
          <w:color w:val="auto"/>
          <w:sz w:val="30"/>
          <w:szCs w:val="30"/>
          <w:highlight w:val="none"/>
          <w:u w:val="single"/>
        </w:rPr>
      </w:pPr>
      <w:r>
        <w:rPr>
          <w:rFonts w:eastAsia="仿宋_GB2312"/>
          <w:color w:val="auto"/>
          <w:sz w:val="30"/>
          <w:szCs w:val="30"/>
          <w:highlight w:val="none"/>
        </w:rPr>
        <w:t>发包人(公章)：</w:t>
      </w:r>
      <w:r>
        <w:rPr>
          <w:rFonts w:eastAsia="仿宋_GB2312"/>
          <w:color w:val="auto"/>
          <w:sz w:val="30"/>
          <w:szCs w:val="30"/>
          <w:highlight w:val="none"/>
          <w:u w:val="single"/>
        </w:rPr>
        <w:t xml:space="preserve">         </w:t>
      </w:r>
      <w:r>
        <w:rPr>
          <w:rFonts w:eastAsia="仿宋_GB2312"/>
          <w:color w:val="auto"/>
          <w:sz w:val="30"/>
          <w:szCs w:val="30"/>
          <w:highlight w:val="none"/>
        </w:rPr>
        <w:t xml:space="preserve"> 承包人(公章)：</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6AD43309">
      <w:pPr>
        <w:pStyle w:val="7"/>
        <w:ind w:left="63" w:right="63"/>
        <w:rPr>
          <w:color w:val="auto"/>
          <w:highlight w:val="none"/>
        </w:rPr>
      </w:pPr>
    </w:p>
    <w:p w14:paraId="72230605">
      <w:pPr>
        <w:spacing w:line="360" w:lineRule="auto"/>
        <w:rPr>
          <w:rFonts w:eastAsia="仿宋_GB2312"/>
          <w:color w:val="auto"/>
          <w:sz w:val="30"/>
          <w:szCs w:val="30"/>
          <w:highlight w:val="none"/>
          <w:u w:val="single"/>
        </w:rPr>
      </w:pPr>
      <w:r>
        <w:rPr>
          <w:rFonts w:eastAsia="仿宋_GB2312"/>
          <w:color w:val="auto"/>
          <w:sz w:val="30"/>
          <w:szCs w:val="30"/>
          <w:highlight w:val="none"/>
        </w:rPr>
        <w:t>法定代表人(签字)：</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 xml:space="preserve"> 法定代表人(签字)：</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5EE845B8">
      <w:pPr>
        <w:pStyle w:val="7"/>
        <w:ind w:left="63" w:right="63"/>
        <w:rPr>
          <w:color w:val="auto"/>
          <w:highlight w:val="none"/>
        </w:rPr>
      </w:pPr>
    </w:p>
    <w:p w14:paraId="13A1BC87">
      <w:pPr>
        <w:spacing w:line="360" w:lineRule="auto"/>
        <w:rPr>
          <w:rFonts w:eastAsia="仿宋_GB2312"/>
          <w:color w:val="auto"/>
          <w:sz w:val="30"/>
          <w:szCs w:val="30"/>
          <w:highlight w:val="none"/>
        </w:rPr>
      </w:pPr>
      <w:r>
        <w:rPr>
          <w:rFonts w:eastAsia="仿宋_GB2312"/>
          <w:color w:val="auto"/>
          <w:sz w:val="30"/>
          <w:szCs w:val="30"/>
          <w:highlight w:val="none"/>
        </w:rPr>
        <w:t>委托代理人(签字)：</w:t>
      </w:r>
      <w:r>
        <w:rPr>
          <w:rFonts w:eastAsia="仿宋_GB2312"/>
          <w:color w:val="auto"/>
          <w:sz w:val="30"/>
          <w:szCs w:val="30"/>
          <w:highlight w:val="none"/>
          <w:u w:val="single"/>
        </w:rPr>
        <w:t xml:space="preserve">        </w:t>
      </w:r>
      <w:r>
        <w:rPr>
          <w:rFonts w:eastAsia="仿宋_GB2312"/>
          <w:color w:val="auto"/>
          <w:sz w:val="30"/>
          <w:szCs w:val="30"/>
          <w:highlight w:val="none"/>
        </w:rPr>
        <w:t xml:space="preserve"> 委托代理人(签字)：</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5BBE2463">
      <w:pPr>
        <w:spacing w:line="440" w:lineRule="exact"/>
        <w:rPr>
          <w:rFonts w:eastAsia="仿宋_GB2312"/>
          <w:color w:val="auto"/>
          <w:sz w:val="30"/>
          <w:szCs w:val="30"/>
          <w:highlight w:val="none"/>
        </w:rPr>
      </w:pPr>
      <w:r>
        <w:rPr>
          <w:rFonts w:eastAsia="仿宋_GB2312"/>
          <w:b/>
          <w:color w:val="auto"/>
          <w:sz w:val="30"/>
          <w:szCs w:val="30"/>
          <w:highlight w:val="none"/>
        </w:rPr>
        <w:br w:type="page"/>
      </w:r>
      <w:r>
        <w:rPr>
          <w:rFonts w:eastAsia="仿宋_GB2312"/>
          <w:color w:val="auto"/>
          <w:sz w:val="30"/>
          <w:szCs w:val="30"/>
          <w:highlight w:val="none"/>
        </w:rPr>
        <w:t>附件2：</w:t>
      </w:r>
    </w:p>
    <w:p w14:paraId="4DC3BF5B">
      <w:pPr>
        <w:widowControl/>
        <w:spacing w:before="156" w:beforeLines="50" w:line="580" w:lineRule="exact"/>
        <w:jc w:val="center"/>
        <w:rPr>
          <w:rFonts w:ascii="宋体" w:hAnsi="宋体" w:cs="宋体"/>
          <w:b/>
          <w:bCs/>
          <w:color w:val="auto"/>
          <w:kern w:val="0"/>
          <w:sz w:val="40"/>
          <w:szCs w:val="40"/>
          <w:highlight w:val="none"/>
        </w:rPr>
      </w:pPr>
      <w:r>
        <w:rPr>
          <w:rFonts w:hint="eastAsia" w:ascii="宋体" w:hAnsi="宋体" w:cs="宋体"/>
          <w:b/>
          <w:bCs/>
          <w:color w:val="auto"/>
          <w:kern w:val="0"/>
          <w:sz w:val="40"/>
          <w:szCs w:val="40"/>
          <w:highlight w:val="none"/>
        </w:rPr>
        <w:t>廉洁协议</w:t>
      </w:r>
    </w:p>
    <w:p w14:paraId="49A66171">
      <w:pPr>
        <w:widowControl/>
        <w:spacing w:line="260" w:lineRule="exact"/>
        <w:jc w:val="center"/>
        <w:rPr>
          <w:rFonts w:ascii="宋体" w:hAnsi="宋体" w:cs="宋体"/>
          <w:bCs/>
          <w:color w:val="auto"/>
          <w:kern w:val="0"/>
          <w:sz w:val="18"/>
          <w:szCs w:val="18"/>
          <w:highlight w:val="none"/>
        </w:rPr>
      </w:pPr>
    </w:p>
    <w:p w14:paraId="49196A0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发包人：重庆国际复合材料股份有限公司 </w:t>
      </w:r>
    </w:p>
    <w:p w14:paraId="44F1E4D8">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承包人：</w:t>
      </w:r>
      <w:r>
        <w:rPr>
          <w:rFonts w:ascii="宋体" w:hAnsi="宋体" w:cs="宋体"/>
          <w:color w:val="auto"/>
          <w:kern w:val="0"/>
          <w:sz w:val="18"/>
          <w:szCs w:val="18"/>
          <w:highlight w:val="none"/>
        </w:rPr>
        <w:t xml:space="preserve">                            </w:t>
      </w:r>
    </w:p>
    <w:p w14:paraId="78B72C60">
      <w:pPr>
        <w:widowControl/>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为促进发包人及承包人双方廉洁高效合作，促使发包人及承包人双方工作人员廉洁从业，按照《民法典》和国家其他有关法律法规、廉洁规定，经发包人及承包人双方协商一致，自愿签订以下廉洁协议。</w:t>
      </w:r>
    </w:p>
    <w:p w14:paraId="5527D055">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第一条：</w:t>
      </w:r>
      <w:r>
        <w:rPr>
          <w:rFonts w:hint="eastAsia" w:ascii="宋体" w:hAnsi="宋体" w:cs="宋体"/>
          <w:color w:val="auto"/>
          <w:kern w:val="0"/>
          <w:sz w:val="18"/>
          <w:szCs w:val="18"/>
          <w:highlight w:val="none"/>
        </w:rPr>
        <w:t>发包人在廉洁方面的义务</w:t>
      </w:r>
    </w:p>
    <w:p w14:paraId="3DA5B74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（一）发包人及其工作人员不得干扰协作企业正常的生产经营活动，不得以任何理由要挟承包人从事不属于承包人义务的工作。 </w:t>
      </w:r>
    </w:p>
    <w:p w14:paraId="1C5FF39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（二）发包人及其工作人员不得违规索要或接受承包人的礼金、佣金、回扣、有价证券、支付凭证、贵重物品等财物。</w:t>
      </w:r>
    </w:p>
    <w:p w14:paraId="120F3D49">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（三）发包人及其工作人员不得在承包人报销应由发包人或个人支付的任何费用。</w:t>
      </w:r>
    </w:p>
    <w:p w14:paraId="4BA9D4ED">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（四）发包人工作人员不得参加承包人提供的宴请、娱乐活动、高档消费；不得要求承包人提供交通工具、通讯工具、高档办公用品等。</w:t>
      </w:r>
    </w:p>
    <w:p w14:paraId="67297840">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（五）发包人及其工作人员不得要求或者接受承包人为其住房装修、婚丧嫁娶、配偶、子女、亲友出国（境）旅游等违反规定的相关活动提供方便。</w:t>
      </w:r>
    </w:p>
    <w:p w14:paraId="0BB571FC">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（六）发包人及其工作人员不得要求承包人为其配偶、子女及有利害关系的人员安排工作或劳务；不得违反规定从事与承包人施工项目有关的材料设备供应、工程分包等经济活动。</w:t>
      </w:r>
    </w:p>
    <w:p w14:paraId="37D5E2BF">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第二条：</w:t>
      </w:r>
      <w:r>
        <w:rPr>
          <w:rFonts w:hint="eastAsia" w:ascii="宋体" w:hAnsi="宋体" w:cs="宋体"/>
          <w:color w:val="auto"/>
          <w:kern w:val="0"/>
          <w:sz w:val="18"/>
          <w:szCs w:val="18"/>
          <w:highlight w:val="none"/>
        </w:rPr>
        <w:t>承包人在廉洁方面义务</w:t>
      </w:r>
    </w:p>
    <w:p w14:paraId="53EA56F2">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（一）承包人不准以任何形式向发包人及其工作人员馈赠礼金、佣金、回扣、有价证券、支付凭证、贵重物品等财物。</w:t>
      </w:r>
    </w:p>
    <w:p w14:paraId="45C6DC1E">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（二）承包人不准以任何名义为发包人及其工作人员报销应由发包人或个人支付的任何费用。</w:t>
      </w:r>
    </w:p>
    <w:p w14:paraId="1AD4FC8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（三）承包人不准以任何理由邀请发包人工作人员参加有影响合作业务的宴请及娱乐活动；不准为其提供通讯工具、交通工具、高档办公用品等。</w:t>
      </w:r>
    </w:p>
    <w:p w14:paraId="7D65160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（四）承包人不准为发包人工作人员在住房装修、婚丧嫁娶、配偶、子女、亲友出国（境）旅游提供方便；不准为发包人工作人员的配偶、子女及有利害关系的人员安排工作或劳务。</w:t>
      </w:r>
    </w:p>
    <w:p w14:paraId="67B0DD69">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（五）承包人及其工作人员不准与监管单位串通，违反有关规定和程序，损害发包人利益。</w:t>
      </w:r>
    </w:p>
    <w:p w14:paraId="2F3EF1C3">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（六）不得有其他违反法律法规行为。</w:t>
      </w:r>
    </w:p>
    <w:p w14:paraId="34BABC5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第三条：</w:t>
      </w:r>
      <w:r>
        <w:rPr>
          <w:rFonts w:hint="eastAsia" w:ascii="宋体" w:hAnsi="宋体" w:cs="宋体"/>
          <w:color w:val="auto"/>
          <w:kern w:val="0"/>
          <w:sz w:val="18"/>
          <w:szCs w:val="18"/>
          <w:highlight w:val="none"/>
        </w:rPr>
        <w:t>违约责任</w:t>
      </w:r>
    </w:p>
    <w:p w14:paraId="796FC7F0">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（一）承包人违反本《廉洁协议》规定义务的，须向发包人承担经济合同总额3%的经济违约金。</w:t>
      </w:r>
    </w:p>
    <w:p w14:paraId="0631ACD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（二）承包人发生多次违反廉洁协议约定内容，发包人有权将承包人列入黑名单，禁止5年内进入发包人作业市场；给发包人造成经济损失、社会影响较大的，发包人有权终止履行经济合同。</w:t>
      </w:r>
    </w:p>
    <w:p w14:paraId="202D06FD">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（三）发包人若违反本《廉洁协议》有关规定的，对违法违纪人员，由发包人主管部门依据有关规定查处。</w:t>
      </w:r>
    </w:p>
    <w:p w14:paraId="46B22C6E">
      <w:pPr>
        <w:spacing w:line="320" w:lineRule="exact"/>
        <w:ind w:firstLine="360" w:firstLineChars="200"/>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第四条：</w:t>
      </w:r>
      <w:r>
        <w:rPr>
          <w:rFonts w:hint="eastAsia" w:ascii="宋体" w:hAnsi="宋体" w:cs="宋体"/>
          <w:color w:val="auto"/>
          <w:kern w:val="0"/>
          <w:sz w:val="18"/>
          <w:szCs w:val="18"/>
          <w:highlight w:val="none"/>
        </w:rPr>
        <w:t>本协议有效期同经济合同期限。</w:t>
      </w:r>
    </w:p>
    <w:p w14:paraId="2B905C02">
      <w:pPr>
        <w:widowControl/>
        <w:spacing w:line="320" w:lineRule="exact"/>
        <w:ind w:firstLine="360" w:firstLineChars="200"/>
        <w:jc w:val="left"/>
        <w:rPr>
          <w:rFonts w:ascii="宋体" w:hAnsi="宋体"/>
          <w:color w:val="auto"/>
          <w:sz w:val="18"/>
          <w:szCs w:val="18"/>
          <w:highlight w:val="none"/>
        </w:rPr>
      </w:pPr>
      <w:r>
        <w:rPr>
          <w:rFonts w:hint="eastAsia" w:ascii="宋体" w:hAnsi="宋体" w:cs="宋体"/>
          <w:b/>
          <w:bCs/>
          <w:color w:val="auto"/>
          <w:kern w:val="0"/>
          <w:sz w:val="18"/>
          <w:szCs w:val="18"/>
          <w:highlight w:val="none"/>
        </w:rPr>
        <w:t>第五条：</w:t>
      </w:r>
      <w:r>
        <w:rPr>
          <w:rFonts w:hint="eastAsia" w:ascii="宋体" w:hAnsi="宋体"/>
          <w:color w:val="auto"/>
          <w:sz w:val="18"/>
          <w:szCs w:val="18"/>
          <w:highlight w:val="none"/>
        </w:rPr>
        <w:t>本协议为经济合同附件，与主合同具有同等法律效力，发包人及承包人双方签署后生效。</w:t>
      </w:r>
    </w:p>
    <w:p w14:paraId="35706405">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第六条：</w:t>
      </w:r>
      <w:r>
        <w:rPr>
          <w:rFonts w:ascii="宋体" w:hAnsi="宋体"/>
          <w:color w:val="auto"/>
          <w:sz w:val="18"/>
          <w:szCs w:val="18"/>
          <w:highlight w:val="none"/>
        </w:rPr>
        <w:t>承包人向发包人</w:t>
      </w:r>
      <w:r>
        <w:rPr>
          <w:rFonts w:hint="eastAsia" w:ascii="宋体" w:hAnsi="宋体"/>
          <w:color w:val="auto"/>
          <w:sz w:val="18"/>
          <w:szCs w:val="18"/>
          <w:highlight w:val="none"/>
        </w:rPr>
        <w:t>反映廉洁问题的</w:t>
      </w:r>
      <w:r>
        <w:rPr>
          <w:rFonts w:ascii="宋体" w:hAnsi="宋体"/>
          <w:color w:val="auto"/>
          <w:sz w:val="18"/>
          <w:szCs w:val="18"/>
          <w:highlight w:val="none"/>
        </w:rPr>
        <w:t>联系方式</w:t>
      </w:r>
      <w:r>
        <w:rPr>
          <w:rFonts w:hint="eastAsia" w:ascii="宋体" w:hAnsi="宋体"/>
          <w:color w:val="auto"/>
          <w:sz w:val="18"/>
          <w:szCs w:val="18"/>
          <w:highlight w:val="none"/>
        </w:rPr>
        <w:t>。</w:t>
      </w:r>
      <w:r>
        <w:rPr>
          <w:rFonts w:hint="eastAsia" w:ascii="宋体" w:hAnsi="宋体" w:cs="宋体"/>
          <w:color w:val="auto"/>
          <w:kern w:val="0"/>
          <w:sz w:val="18"/>
          <w:szCs w:val="18"/>
          <w:highlight w:val="none"/>
        </w:rPr>
        <w:t>邮寄地址：</w:t>
      </w:r>
      <w:r>
        <w:rPr>
          <w:rFonts w:ascii="宋体" w:hAnsi="宋体" w:cs="宋体"/>
          <w:color w:val="auto"/>
          <w:kern w:val="0"/>
          <w:sz w:val="18"/>
          <w:szCs w:val="18"/>
          <w:highlight w:val="none"/>
        </w:rPr>
        <w:t>重庆国际复合材料</w:t>
      </w:r>
      <w:r>
        <w:rPr>
          <w:rFonts w:hint="eastAsia" w:ascii="宋体" w:hAnsi="宋体" w:cs="宋体"/>
          <w:color w:val="auto"/>
          <w:kern w:val="0"/>
          <w:sz w:val="18"/>
          <w:szCs w:val="18"/>
          <w:highlight w:val="none"/>
        </w:rPr>
        <w:t>股份</w:t>
      </w:r>
      <w:r>
        <w:rPr>
          <w:rFonts w:ascii="宋体" w:hAnsi="宋体" w:cs="宋体"/>
          <w:color w:val="auto"/>
          <w:kern w:val="0"/>
          <w:sz w:val="18"/>
          <w:szCs w:val="18"/>
          <w:highlight w:val="none"/>
        </w:rPr>
        <w:t>有限公司纪委办</w:t>
      </w:r>
      <w:r>
        <w:rPr>
          <w:rFonts w:hint="eastAsia" w:ascii="宋体" w:hAnsi="宋体" w:cs="宋体"/>
          <w:color w:val="auto"/>
          <w:kern w:val="0"/>
          <w:sz w:val="18"/>
          <w:szCs w:val="18"/>
          <w:highlight w:val="none"/>
        </w:rPr>
        <w:t>，</w:t>
      </w:r>
      <w:r>
        <w:rPr>
          <w:rFonts w:ascii="宋体" w:hAnsi="宋体" w:cs="宋体"/>
          <w:color w:val="auto"/>
          <w:kern w:val="0"/>
          <w:sz w:val="18"/>
          <w:szCs w:val="18"/>
          <w:highlight w:val="none"/>
        </w:rPr>
        <w:t>邮编</w:t>
      </w:r>
      <w:r>
        <w:rPr>
          <w:rFonts w:hint="eastAsia" w:ascii="宋体" w:hAnsi="宋体" w:cs="宋体"/>
          <w:color w:val="auto"/>
          <w:kern w:val="0"/>
          <w:sz w:val="18"/>
          <w:szCs w:val="18"/>
          <w:highlight w:val="none"/>
        </w:rPr>
        <w:t>：4</w:t>
      </w:r>
      <w:r>
        <w:rPr>
          <w:rFonts w:ascii="宋体" w:hAnsi="宋体" w:cs="宋体"/>
          <w:color w:val="auto"/>
          <w:kern w:val="0"/>
          <w:sz w:val="18"/>
          <w:szCs w:val="18"/>
          <w:highlight w:val="none"/>
        </w:rPr>
        <w:t>00082</w:t>
      </w:r>
    </w:p>
    <w:p w14:paraId="1D8B6088">
      <w:pPr>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工作联系</w:t>
      </w:r>
      <w:r>
        <w:rPr>
          <w:rFonts w:ascii="宋体" w:hAnsi="宋体" w:cs="宋体"/>
          <w:color w:val="auto"/>
          <w:kern w:val="0"/>
          <w:sz w:val="18"/>
          <w:szCs w:val="18"/>
          <w:highlight w:val="none"/>
        </w:rPr>
        <w:t>电话</w:t>
      </w:r>
      <w:r>
        <w:rPr>
          <w:rFonts w:hint="eastAsia" w:ascii="宋体" w:hAnsi="宋体" w:cs="宋体"/>
          <w:color w:val="auto"/>
          <w:kern w:val="0"/>
          <w:sz w:val="18"/>
          <w:szCs w:val="18"/>
          <w:highlight w:val="none"/>
        </w:rPr>
        <w:t>：023-68157555。</w:t>
      </w:r>
    </w:p>
    <w:p w14:paraId="38CC6889">
      <w:pPr>
        <w:widowControl/>
        <w:spacing w:line="320" w:lineRule="exact"/>
        <w:ind w:firstLine="360" w:firstLineChars="200"/>
        <w:outlineLvl w:val="1"/>
        <w:rPr>
          <w:rFonts w:ascii="宋体" w:hAnsi="宋体" w:cs="宋体"/>
          <w:color w:val="auto"/>
          <w:sz w:val="18"/>
          <w:szCs w:val="18"/>
          <w:highlight w:val="none"/>
        </w:rPr>
      </w:pPr>
      <w:r>
        <w:rPr>
          <w:rFonts w:hint="eastAsia" w:ascii="宋体" w:hAnsi="宋体" w:cs="宋体"/>
          <w:b/>
          <w:bCs/>
          <w:color w:val="auto"/>
          <w:kern w:val="0"/>
          <w:sz w:val="18"/>
          <w:szCs w:val="18"/>
          <w:highlight w:val="none"/>
        </w:rPr>
        <w:t>第七条：</w:t>
      </w:r>
      <w:r>
        <w:rPr>
          <w:rFonts w:hint="eastAsia" w:ascii="宋体" w:hAnsi="宋体" w:cs="宋体"/>
          <w:color w:val="auto"/>
          <w:sz w:val="18"/>
          <w:szCs w:val="18"/>
          <w:highlight w:val="none"/>
        </w:rPr>
        <w:t>未经公司制度特别规定或正式授权，员工在本合同/协议/或其他书面材料签章的行为，不对外产生效力。</w:t>
      </w:r>
    </w:p>
    <w:p w14:paraId="62A4FBFA">
      <w:pPr>
        <w:pStyle w:val="22"/>
        <w:spacing w:line="320" w:lineRule="exact"/>
        <w:rPr>
          <w:color w:val="auto"/>
          <w:highlight w:val="none"/>
        </w:rPr>
      </w:pPr>
    </w:p>
    <w:p w14:paraId="73A2AE1A">
      <w:pPr>
        <w:pStyle w:val="22"/>
        <w:spacing w:line="320" w:lineRule="exact"/>
        <w:rPr>
          <w:color w:val="auto"/>
          <w:highlight w:val="none"/>
        </w:rPr>
      </w:pPr>
    </w:p>
    <w:p w14:paraId="1F688CE1">
      <w:pPr>
        <w:spacing w:line="320" w:lineRule="exact"/>
        <w:ind w:left="210" w:leftChars="100" w:firstLine="180" w:firstLineChars="100"/>
        <w:rPr>
          <w:color w:val="auto"/>
          <w:sz w:val="18"/>
          <w:highlight w:val="none"/>
        </w:rPr>
      </w:pPr>
      <w:r>
        <w:rPr>
          <w:rFonts w:hint="eastAsia"/>
          <w:b/>
          <w:color w:val="auto"/>
          <w:sz w:val="18"/>
          <w:highlight w:val="none"/>
        </w:rPr>
        <w:t>发包人（买方）</w:t>
      </w:r>
      <w:r>
        <w:rPr>
          <w:b/>
          <w:color w:val="auto"/>
          <w:sz w:val="18"/>
          <w:highlight w:val="none"/>
        </w:rPr>
        <w:t>名称：重庆国际复合材料股份有限公司</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承包人（卖方）</w:t>
      </w:r>
      <w:r>
        <w:rPr>
          <w:b/>
          <w:color w:val="auto"/>
          <w:sz w:val="18"/>
          <w:highlight w:val="none"/>
        </w:rPr>
        <w:t>名称：</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 xml:space="preserve">                  </w:t>
      </w:r>
    </w:p>
    <w:p w14:paraId="4F77206A">
      <w:pPr>
        <w:spacing w:line="320" w:lineRule="exact"/>
        <w:rPr>
          <w:color w:val="auto"/>
          <w:sz w:val="18"/>
          <w:highlight w:val="none"/>
        </w:rPr>
      </w:pPr>
    </w:p>
    <w:p w14:paraId="3EBE4522">
      <w:pPr>
        <w:spacing w:line="320" w:lineRule="exact"/>
        <w:ind w:firstLine="360" w:firstLineChars="200"/>
        <w:rPr>
          <w:b/>
          <w:color w:val="auto"/>
          <w:sz w:val="18"/>
          <w:highlight w:val="none"/>
        </w:rPr>
      </w:pPr>
      <w:r>
        <w:rPr>
          <w:b/>
          <w:color w:val="auto"/>
          <w:sz w:val="18"/>
          <w:highlight w:val="none"/>
        </w:rPr>
        <w:t xml:space="preserve">代表签字（盖章）：    </w:t>
      </w:r>
      <w:r>
        <w:rPr>
          <w:rFonts w:hint="eastAsia"/>
          <w:b/>
          <w:color w:val="auto"/>
          <w:sz w:val="18"/>
          <w:highlight w:val="none"/>
        </w:rPr>
        <w:t xml:space="preserve">                                        </w:t>
      </w:r>
      <w:r>
        <w:rPr>
          <w:b/>
          <w:color w:val="auto"/>
          <w:sz w:val="18"/>
          <w:highlight w:val="none"/>
        </w:rPr>
        <w:t>代表签字（盖章）：</w:t>
      </w:r>
    </w:p>
    <w:p w14:paraId="67CB5F48">
      <w:pPr>
        <w:spacing w:line="320" w:lineRule="exact"/>
        <w:rPr>
          <w:b/>
          <w:color w:val="auto"/>
          <w:sz w:val="18"/>
          <w:highlight w:val="none"/>
        </w:rPr>
      </w:pPr>
    </w:p>
    <w:p w14:paraId="5EB4588A">
      <w:pPr>
        <w:spacing w:line="320" w:lineRule="exact"/>
        <w:ind w:firstLine="360" w:firstLineChars="200"/>
        <w:rPr>
          <w:color w:val="auto"/>
          <w:highlight w:val="none"/>
        </w:rPr>
      </w:pPr>
      <w:r>
        <w:rPr>
          <w:b/>
          <w:color w:val="auto"/>
          <w:sz w:val="18"/>
          <w:highlight w:val="none"/>
        </w:rPr>
        <w:t xml:space="preserve">日期：                        </w:t>
      </w:r>
      <w:r>
        <w:rPr>
          <w:rFonts w:hint="eastAsia"/>
          <w:b/>
          <w:color w:val="auto"/>
          <w:sz w:val="18"/>
          <w:highlight w:val="none"/>
        </w:rPr>
        <w:t xml:space="preserve">                               </w:t>
      </w:r>
      <w:r>
        <w:rPr>
          <w:b/>
          <w:color w:val="auto"/>
          <w:sz w:val="18"/>
          <w:highlight w:val="none"/>
        </w:rPr>
        <w:t xml:space="preserve">日期： </w:t>
      </w:r>
    </w:p>
    <w:p w14:paraId="15396AB2">
      <w:pPr>
        <w:wordWrap w:val="0"/>
        <w:topLinePunct/>
        <w:autoSpaceDE w:val="0"/>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w:t>
      </w:r>
    </w:p>
    <w:p w14:paraId="32522A5C">
      <w:pPr>
        <w:rPr>
          <w:rFonts w:eastAsia="仿宋_GB2312"/>
          <w:color w:val="auto"/>
          <w:sz w:val="30"/>
          <w:szCs w:val="30"/>
          <w:highlight w:val="none"/>
        </w:rPr>
      </w:pPr>
      <w:r>
        <w:rPr>
          <w:rFonts w:eastAsia="仿宋_GB2312"/>
          <w:color w:val="auto"/>
          <w:sz w:val="30"/>
          <w:szCs w:val="30"/>
          <w:highlight w:val="none"/>
        </w:rPr>
        <w:br w:type="page"/>
      </w:r>
    </w:p>
    <w:p w14:paraId="56E3084B">
      <w:pPr>
        <w:spacing w:line="440" w:lineRule="exact"/>
        <w:rPr>
          <w:rFonts w:eastAsia="仿宋_GB2312"/>
          <w:color w:val="auto"/>
          <w:sz w:val="30"/>
          <w:szCs w:val="30"/>
          <w:highlight w:val="none"/>
        </w:rPr>
      </w:pPr>
      <w:r>
        <w:rPr>
          <w:rFonts w:eastAsia="仿宋_GB2312"/>
          <w:color w:val="auto"/>
          <w:sz w:val="30"/>
          <w:szCs w:val="30"/>
          <w:highlight w:val="none"/>
        </w:rPr>
        <w:t>附件3：</w:t>
      </w:r>
    </w:p>
    <w:p w14:paraId="4A1BC652">
      <w:pPr>
        <w:pStyle w:val="2"/>
        <w:keepNext w:val="0"/>
        <w:keepLines w:val="0"/>
        <w:widowControl/>
        <w:autoSpaceDE w:val="0"/>
        <w:spacing w:before="140"/>
        <w:jc w:val="center"/>
        <w:rPr>
          <w:rFonts w:ascii="宋体" w:hAnsi="宋体" w:cs="宋体"/>
          <w:color w:val="auto"/>
          <w:sz w:val="32"/>
          <w:szCs w:val="32"/>
          <w:highlight w:val="none"/>
        </w:rPr>
      </w:pPr>
      <w:r>
        <w:rPr>
          <w:rFonts w:hint="eastAsia" w:ascii="宋体" w:hAnsi="宋体" w:cs="宋体"/>
          <w:color w:val="auto"/>
          <w:sz w:val="32"/>
          <w:szCs w:val="32"/>
          <w:highlight w:val="none"/>
        </w:rPr>
        <w:t>安全环保管理协议</w:t>
      </w:r>
    </w:p>
    <w:p w14:paraId="5E72C08E">
      <w:pPr>
        <w:rPr>
          <w:rFonts w:ascii="Calibri" w:hAnsi="Calibri"/>
          <w:color w:val="auto"/>
          <w:szCs w:val="21"/>
          <w:highlight w:val="none"/>
        </w:rPr>
      </w:pPr>
      <w:r>
        <w:rPr>
          <w:rFonts w:hint="eastAsia" w:ascii="Calibri" w:hAnsi="Calibri"/>
          <w:color w:val="auto"/>
          <w:kern w:val="0"/>
          <w:szCs w:val="21"/>
          <w:highlight w:val="none"/>
          <w:lang w:bidi="ar"/>
        </w:rPr>
        <w:t xml:space="preserve"> </w:t>
      </w:r>
    </w:p>
    <w:p w14:paraId="783671D1">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发包人（全称）：重庆国际复合材料股份有限公司</w:t>
      </w:r>
    </w:p>
    <w:p w14:paraId="1EFBF4EA">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承包人（全称）：</w:t>
      </w:r>
    </w:p>
    <w:p w14:paraId="47C63F63">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5F095D4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根据《安全生产法》《重庆市安全生产条例》等有关规定，基于已签订的合同文件，为进一步明确双方在承揽的（☑工程项目、£设备设施安装、□检维修施工）时的安全、环保、消防职责和义务，落实 “谁发包、谁负责”“谁用工、谁管理”“属地管理” 和 “全过程、一体化” 管理原则，全面推行 “五个一”（一套标准、一套考核、一体运作、一个团队、一种文化）一体化管理模式，经双方协商同意后签订本协议，以期共同遵守。</w:t>
      </w:r>
    </w:p>
    <w:p w14:paraId="30D20200">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一、核心协议内容</w:t>
      </w:r>
    </w:p>
    <w:p w14:paraId="2872926A">
      <w:pPr>
        <w:pStyle w:val="4"/>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（一）发包企业安全规章制度告知</w:t>
      </w:r>
    </w:p>
    <w:p w14:paraId="3374F71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1、发包人应向承包人全面告知公司安全环保规章制度、应急处理程序、“吹哨人” 及隐患内部报告制度（含奖励标准）、安全生产十大禁令、《云天化集团承包商安全管理指南》等核心要求，提供制度文本供承包人存档查阅，并通过专题培训或书面签收等方式确保承包人及全体从业人员知晓、理解并承诺遵守。</w:t>
      </w:r>
    </w:p>
    <w:p w14:paraId="2E2BDCE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2、承包人应组织内部全员传达学习发包人安全规章制度，留存学习记录备查，并将相关要求融入自身安全管理体系，确保落地执行。</w:t>
      </w:r>
    </w:p>
    <w:p w14:paraId="25CCF3B9">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（二）双方工作范围</w:t>
      </w:r>
    </w:p>
    <w:p w14:paraId="263E69B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1、发包人工作范围：</w:t>
      </w:r>
    </w:p>
    <w:p w14:paraId="3D696B6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提供符合安全要求的施工、维保场地，明确业务发包部门、使用部门及属地部门的具体职责分工，杜绝管理责任悬空。</w:t>
      </w:r>
    </w:p>
    <w:p w14:paraId="7F5A236F">
      <w:pPr>
        <w:autoSpaceDE w:val="0"/>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lang w:bidi="ar"/>
        </w:rPr>
        <w:t>发包人对应部门：</w:t>
      </w:r>
    </w:p>
    <w:p w14:paraId="7ACC5406">
      <w:pPr>
        <w:autoSpaceDE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kern w:val="0"/>
          <w:sz w:val="24"/>
          <w:highlight w:val="none"/>
          <w:lang w:bidi="ar"/>
        </w:rPr>
        <w:t>发包部门：</w:t>
      </w:r>
      <w:r>
        <w:rPr>
          <w:rFonts w:hint="eastAsia" w:ascii="宋体" w:hAnsi="宋体" w:cs="宋体"/>
          <w:color w:val="auto"/>
          <w:kern w:val="0"/>
          <w:sz w:val="24"/>
          <w:highlight w:val="none"/>
          <w:u w:val="single"/>
          <w:lang w:bidi="ar"/>
        </w:rPr>
        <w:t xml:space="preserve">工装工程中心  </w:t>
      </w:r>
    </w:p>
    <w:p w14:paraId="3F8BCD60">
      <w:pPr>
        <w:autoSpaceDE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kern w:val="0"/>
          <w:sz w:val="24"/>
          <w:highlight w:val="none"/>
          <w:lang w:bidi="ar"/>
        </w:rPr>
        <w:t>使用部门：</w:t>
      </w:r>
      <w:r>
        <w:rPr>
          <w:rFonts w:hint="eastAsia" w:ascii="宋体" w:hAnsi="宋体" w:cs="宋体"/>
          <w:color w:val="auto"/>
          <w:kern w:val="0"/>
          <w:sz w:val="24"/>
          <w:highlight w:val="none"/>
          <w:u w:val="single"/>
          <w:lang w:bidi="ar"/>
        </w:rPr>
        <w:t xml:space="preserve">工装工程中心  </w:t>
      </w:r>
      <w:r>
        <w:rPr>
          <w:rFonts w:hint="eastAsia" w:ascii="宋体" w:hAnsi="宋体" w:cs="宋体"/>
          <w:color w:val="auto"/>
          <w:kern w:val="0"/>
          <w:sz w:val="24"/>
          <w:highlight w:val="none"/>
          <w:u w:val="thick"/>
          <w:lang w:bidi="ar"/>
        </w:rPr>
        <w:t xml:space="preserve">   </w:t>
      </w:r>
      <w:r>
        <w:rPr>
          <w:rFonts w:hint="eastAsia" w:ascii="宋体" w:hAnsi="宋体" w:cs="宋体"/>
          <w:color w:val="auto"/>
          <w:kern w:val="0"/>
          <w:sz w:val="24"/>
          <w:highlight w:val="none"/>
          <w:lang w:bidi="ar"/>
        </w:rPr>
        <w:t xml:space="preserve"> </w:t>
      </w:r>
      <w:r>
        <w:rPr>
          <w:rFonts w:hint="eastAsia" w:ascii="宋体" w:hAnsi="宋体" w:cs="宋体"/>
          <w:color w:val="auto"/>
          <w:kern w:val="0"/>
          <w:sz w:val="24"/>
          <w:highlight w:val="none"/>
          <w:u w:val="single"/>
          <w:lang w:bidi="ar"/>
        </w:rPr>
        <w:t xml:space="preserve">         </w:t>
      </w:r>
    </w:p>
    <w:p w14:paraId="65DD2ECC">
      <w:pPr>
        <w:autoSpaceDE w:val="0"/>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lang w:bidi="ar"/>
        </w:rPr>
        <w:t>属地部门：</w:t>
      </w:r>
      <w:r>
        <w:rPr>
          <w:rFonts w:hint="eastAsia" w:ascii="宋体" w:hAnsi="宋体" w:cs="宋体"/>
          <w:color w:val="auto"/>
          <w:kern w:val="0"/>
          <w:sz w:val="24"/>
          <w:highlight w:val="none"/>
          <w:u w:val="single"/>
          <w:lang w:bidi="ar"/>
        </w:rPr>
        <w:t xml:space="preserve">XXXXXX                        </w:t>
      </w:r>
    </w:p>
    <w:p w14:paraId="2B5A453E">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对承包人开展准入审查、安全培训考核、作业过程监督检查，统筹协调同一作业区域多承包商的安全管理；建立承包人管理档案，实施安全绩效评价、合格承包商名录及黑名单动态管理。</w:t>
      </w:r>
    </w:p>
    <w:p w14:paraId="2563C51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组织开展安全赋能与文化融合活动，监督承包人 “吹哨人” 及隐患内部报告制度的建立与执行，保障奖励资金落实。</w:t>
      </w:r>
    </w:p>
    <w:p w14:paraId="6619B98C">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2、承包人工作范围：</w:t>
      </w:r>
    </w:p>
    <w:p w14:paraId="5F2D578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按照合同约定完成承揽业务，履行安全生产主体责任，接受发包人及相关单位的监督管理。</w:t>
      </w:r>
    </w:p>
    <w:p w14:paraId="72E5585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建立健全安全管理体系，配备相应安全管理人员，保障安全生产资金投入，落实各项安全环保措施；开展从业人员安全培训、职业健康监护、保险投保等工作。</w:t>
      </w:r>
    </w:p>
    <w:p w14:paraId="60C97092">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建立并执行 “吹哨人” 及隐患内部报告制度，及时排查治理安全隐患，妥善处置事故事件。</w:t>
      </w:r>
    </w:p>
    <w:p w14:paraId="01F26307">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（三）安全责任划分</w:t>
      </w:r>
    </w:p>
    <w:p w14:paraId="1D5D733C">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1、发包人责任：</w:t>
      </w:r>
    </w:p>
    <w:p w14:paraId="52DCF8F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履行安全规章制度告知、安全培训考核、作业现场监督检查等职责，对发现的隐患有权采取停工整改、扣除违约金、责令更换人员设备等措施。</w:t>
      </w:r>
    </w:p>
    <w:p w14:paraId="518ADB0C">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统筹协调承包商安全管理工作，每季度组织召开承包商安全管理会议，通报管理情况及问题；将承包商安全管理纳入本单位年度安全环保绩效考核体系。</w:t>
      </w:r>
    </w:p>
    <w:p w14:paraId="3FF1143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同一作业区域有两个或两个以上承包商作业时，组织签订安全生产管理协议，明确各自安全职责；指导与监督承包人 “吹哨人” 制度执行，将其纳入安全文化建设和考核范畴。</w:t>
      </w:r>
    </w:p>
    <w:p w14:paraId="5AB051D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2、承包人责任：</w:t>
      </w:r>
    </w:p>
    <w:p w14:paraId="0F8E59D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承担施工安全主体责任，建立安全生产管理机构，配备专（兼）职安全生产管理人员，健全安全生产责任制和管理制度；保障安全生产资金投入。</w:t>
      </w:r>
    </w:p>
    <w:p w14:paraId="5E50FA4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负责从业人员的培训、管理、健康监护及保险投保，确保特种作业人员、特种设备作业人员 100% 持有效操作资格证上岗。</w:t>
      </w:r>
    </w:p>
    <w:p w14:paraId="18A36A0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发生事故事件后，现场负责人 30 分钟内报至发包人对口管理人员（特殊情况可越级上报），严禁迟报、漏报、谎报或瞒报；配合发包人在 1 小时内上报属地应急管理部门及主管部门，按 “四不放过” 原则调查处理并承担相应责任。</w:t>
      </w:r>
    </w:p>
    <w:p w14:paraId="5F204E9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严格执行 “吹哨人” 及隐患内部报告制度，设立专项奖励，及时兑现奖励并建立台账，接受发包人监督。</w:t>
      </w:r>
    </w:p>
    <w:p w14:paraId="7DD5C407">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（四）安全管理规定</w:t>
      </w:r>
    </w:p>
    <w:p w14:paraId="56671173">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1、人员管理：</w:t>
      </w:r>
    </w:p>
    <w:p w14:paraId="2AF17F47">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承包人主要负责人、项目（现场）负责人、安全管理人员等关键岗位人员，需在入场前经发包人审核备案；任职期间确需调整的，应提前报请发包人批准，未经批准不得擅自变更。</w:t>
      </w:r>
    </w:p>
    <w:p w14:paraId="40E63E1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控制人员流动率（月流动率 = 当月非因项目正常结束而离场的人员数量 ÷ 月初作业人员总数量 ×100%；月均作业人数超 50 人时≤15%，50 人及以下时≤20% 且绝对人数≤5 人），确保关键岗位及作业人员相对稳定。</w:t>
      </w:r>
    </w:p>
    <w:p w14:paraId="2D1E41FF">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从业人员应与承包人依法签订劳动合同，无职业禁忌，按规定参加职业健康体检；进入重大危险源区域的人员需提供无犯罪记录证明。</w:t>
      </w:r>
    </w:p>
    <w:p w14:paraId="60E47AF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2、作业管理：</w:t>
      </w:r>
    </w:p>
    <w:p w14:paraId="283622A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特殊作业及风险较高作业需配备具备监护能力的现场监护人员；高风险作业（特级、一级动火作业，涉及有毒有害、易燃易爆介质的受限空间作业，Ⅲ、Ⅳ 级高处作业，一级吊装作业等）执行 “双监护” 制度（发包企业和承包人各指派 1 名专人共同监护，必要时安排专职消防队监护），双方承担连带责任。</w:t>
      </w:r>
    </w:p>
    <w:p w14:paraId="73F1B2A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特殊作业严格执行发包人特殊作业安全管理规定，办理作业许可审批及安全技术交底，全程监护；作业现场控制人数，特殊作业风险区域原则上不超过 6 人。</w:t>
      </w:r>
    </w:p>
    <w:p w14:paraId="63C9B203">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交叉作业需办理书面告知手续，签订安全生产管理协议；作业变更遵循 “风险分级、管控前置” 原则，重大变更需修订协议及方案并经发包人批准。</w:t>
      </w:r>
    </w:p>
    <w:p w14:paraId="091EB987">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3、现场管理：</w:t>
      </w:r>
    </w:p>
    <w:p w14:paraId="753E5914">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按发包人核定的施工平面布置图设置临时设施，堆放材料、机具设备，不得侵占场内道路及安全防护设施；保持施工现场道路畅通、场容整洁，做到工完、料尽、场地清。</w:t>
      </w:r>
    </w:p>
    <w:p w14:paraId="01797A18">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建立施工现场消防安全责任制度，设置消防通道、水源及灭火器材，在现场入口处及危险部位设置明显安全警示标志；严格遵守厂区禁烟、治安保卫规定，按指定路线行走。</w:t>
      </w:r>
    </w:p>
    <w:p w14:paraId="4C86B6A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落实作业现场安全保卫及环保措施，控制粉尘、废气、废水、噪声等污染；按要求分类处置废弃物，危险废弃物需按指定方式存放处置。</w:t>
      </w:r>
    </w:p>
    <w:p w14:paraId="0088669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4、设备与防护用品管理：</w:t>
      </w:r>
    </w:p>
    <w:p w14:paraId="1B61D9B4">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承包人拟进场的工机具及劳动防护用品需经发包人使用部门检验标识，提供检维修记录、检定证明等材料，不满足标准要求的不得进场。</w:t>
      </w:r>
    </w:p>
    <w:p w14:paraId="02C4913F">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承包人为从业人员提供符合国家标准或行业标准的劳动防护用品，确保规范使用；定期对工机具进行维护保养，特种设备需具备合格检验标识且在检验周期内。</w:t>
      </w:r>
    </w:p>
    <w:p w14:paraId="4C4BF865">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（五）安全风险及安全措施要求</w:t>
      </w:r>
    </w:p>
    <w:p w14:paraId="4C3F609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1、发包人应向承包人明确作业区域的危险有害因素、重大危险源分布及防控要求；承包人需如实告知从业人员作业场所的危险有害因素、防范措施及事故应急措施。</w:t>
      </w:r>
    </w:p>
    <w:p w14:paraId="443A17F8">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2、承包人需编制安全技术方案及专项安全施工方案（危险性较大项目需组织专家论证），报发包人或监理单位审批后实施；作业前组织风险辨识，工艺条件、作业环境变化时重新进行风险分析。</w:t>
      </w:r>
    </w:p>
    <w:p w14:paraId="7C3FF17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3、针对高风险作业、特殊作业及重大危险源相关作业，制定专项安全措施，落实能量隔离、通风、检测、防护等要求；特级动火、受限空间作业实现视频监控全过程覆盖。</w:t>
      </w:r>
    </w:p>
    <w:p w14:paraId="6EE604C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4、发包人应对作业现场及作业环境的安全条件进行检查，确认风险管控措施全部落实到位后，方可允许承包人开工。</w:t>
      </w:r>
    </w:p>
    <w:p w14:paraId="6C63CB19">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（六）安全教育培训</w:t>
      </w:r>
    </w:p>
    <w:p w14:paraId="634CEE4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1、发包人培训：</w:t>
      </w:r>
    </w:p>
    <w:p w14:paraId="3C214C3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对承包人人员进场前进行分级安全教育培训（长期合作人员实施三级培训，短期专项作业人员实施二级培训），由安全环保部门、使用部门及属地管理部门逐级实施（二级培训由安全环保部门及属地管理部门实施），培训内容包括企业安全规章制度、“吹哨人” 制度、作业风险及应急处置等。</w:t>
      </w:r>
    </w:p>
    <w:p w14:paraId="03111667">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培训后组织考核，考核合格后方允许入场；建立培训档案，记录培训、考核情况，实行全程追溯管理。</w:t>
      </w:r>
    </w:p>
    <w:p w14:paraId="782A118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2、承包人培训：</w:t>
      </w:r>
    </w:p>
    <w:p w14:paraId="40A709CC">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入场前自主开展安全培训，向发包人提供作业人员培训及考核合格的书面材料；发生人员、工艺、设备、方案或环境变更时，需对作业人员进行专项培训，考核合格后上岗并报发包人备案。</w:t>
      </w:r>
    </w:p>
    <w:p w14:paraId="469140B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主要负责人和安全生产管理人员（高危行业）必须 100% 取得安全生产知识和管理能力考核合格证；定期组织从业人员进行安全生产再培训及能力评价。</w:t>
      </w:r>
    </w:p>
    <w:p w14:paraId="7949C972">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（七）应急处置</w:t>
      </w:r>
    </w:p>
    <w:p w14:paraId="0F716FB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1、承包人应编制应急预案并定期组织应急演练，储备必要的应急物资，确保从业人员清楚应急处置流程和紧急联系方式。</w:t>
      </w:r>
    </w:p>
    <w:p w14:paraId="3F6DB7E2">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2、发生事故事件后，立即组织力量抢救伤员，防止事态扩大，保护事故现场并做好记录、拍照取证；人员伤亡事故立即送医救治或拨打 120 急救电话，情况紧急时可就近抢救，伤情平稳后转至工伤定点医院。</w:t>
      </w:r>
    </w:p>
    <w:p w14:paraId="1F57A6F2">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3、发包人相关部门接到报告后立即赶赴现场协助处理，按规定开展事故调查；调查组包含双方安全管理人员、专业技术人员及工会代表（重伤以上）。</w:t>
      </w:r>
    </w:p>
    <w:p w14:paraId="7725B5E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4、事故调查处理权限：微伤事故由事故所在单位或发包人调查处理；轻微伤及以上事故由发包人组织调查处理；重伤 3 人以上及死亡事故按规定由政府部门或其授权单位调查处理。</w:t>
      </w:r>
    </w:p>
    <w:p w14:paraId="509766FF">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（八）终止施工特殊条款</w:t>
      </w:r>
    </w:p>
    <w:p w14:paraId="333DD32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1、承包人存在下列情形之一的，发包人有权将承包人列为</w:t>
      </w:r>
      <w:r>
        <w:rPr>
          <w:rFonts w:hint="eastAsia" w:ascii="宋体" w:hAnsi="宋体" w:cs="宋体"/>
          <w:b/>
          <w:bCs/>
          <w:color w:val="auto"/>
          <w:highlight w:val="none"/>
          <w:lang w:bidi="ar"/>
        </w:rPr>
        <w:t>黑名单</w:t>
      </w:r>
      <w:r>
        <w:rPr>
          <w:rFonts w:hint="eastAsia" w:ascii="宋体" w:hAnsi="宋体" w:cs="宋体"/>
          <w:color w:val="auto"/>
          <w:highlight w:val="none"/>
          <w:lang w:bidi="ar"/>
        </w:rPr>
        <w:t>且有权立即终止施工并解除合同：</w:t>
      </w:r>
      <w:r>
        <w:rPr>
          <w:rFonts w:hint="eastAsia" w:ascii="宋体" w:hAnsi="宋体" w:cs="宋体"/>
          <w:b/>
          <w:bCs/>
          <w:color w:val="auto"/>
          <w:highlight w:val="none"/>
          <w:lang w:bidi="ar"/>
        </w:rPr>
        <w:t>（承包商被列入黑名单的管理期限原则上为三年，自云天化集团HSE 数字化系统终审公示之日起计算。）</w:t>
      </w:r>
    </w:p>
    <w:p w14:paraId="4D9D095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存在严重安全违规行为，如拒不执行安全监管指令、伪造资质证书、瞒报事故、或执行“三次提醒”机制（二次提醒：由责任部门与承包人管理层召开警示会议，约谈承包人管理层，限期一个月内完成加整改；三次提醒：列入黑名单，立即终止合同）。</w:t>
      </w:r>
    </w:p>
    <w:p w14:paraId="4C82D4C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（2）安全绩效评价结果连续两次为C级，或一次C级且整改不力，安全能力不达标。</w:t>
      </w:r>
    </w:p>
    <w:p w14:paraId="21207B97">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（3）发生较大及以上生产安全责任事故，或一年内发生两起及以上一般生产安全责任事故。</w:t>
      </w:r>
    </w:p>
    <w:p w14:paraId="78B86C0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（4）承包商单位或相关人员在考核周期内，安全记分累计达到规定上限值。</w:t>
      </w:r>
    </w:p>
    <w:p w14:paraId="23EAEE5F">
      <w:pPr>
        <w:pStyle w:val="12"/>
        <w:numPr>
          <w:ilvl w:val="0"/>
          <w:numId w:val="8"/>
        </w:numPr>
        <w:autoSpaceDE w:val="0"/>
        <w:spacing w:beforeAutospacing="0" w:afterAutospacing="0"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违反安全生产法律法规、集团规章制度或合同约定，情节严重，对安全生产造成重大隐患或不良影响的其他情形。</w:t>
      </w:r>
    </w:p>
    <w:p w14:paraId="66E86FCB">
      <w:pPr>
        <w:pStyle w:val="12"/>
        <w:autoSpaceDE w:val="0"/>
        <w:spacing w:line="360" w:lineRule="auto"/>
        <w:ind w:left="420" w:leftChars="200"/>
        <w:rPr>
          <w:rFonts w:ascii="宋体" w:hAnsi="宋体" w:cs="宋体"/>
          <w:color w:val="auto"/>
          <w:highlight w:val="none"/>
        </w:rPr>
      </w:pPr>
      <w:r>
        <w:rPr>
          <w:rFonts w:hint="eastAsia" w:ascii="宋体" w:hAnsi="宋体" w:cs="宋体"/>
          <w:color w:val="auto"/>
          <w:highlight w:val="none"/>
          <w:lang w:bidi="ar"/>
        </w:rPr>
        <w:t>2、因终止施工造成的损失由承包人承担，发包人有权追究承包人的违约责任。</w:t>
      </w:r>
    </w:p>
    <w:p w14:paraId="0605FC08">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（九）考核及奖励规定</w:t>
      </w:r>
    </w:p>
    <w:p w14:paraId="2875959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1、发包人对承包人实行日常检查、专项检查、月度检查、季度考核、每半年综合评估与年度综合评价相结合的安全绩效评价机制，评价结果分为 A、B、C 三级（A 级：得分≥90 分；B 级：70 分≤得分＜90 分；C 级：得分＜70 分）。（详见附件3：承包商评价表）</w:t>
      </w:r>
    </w:p>
    <w:p w14:paraId="6739F99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2、评价内容包括资质与合规管理、安全培训与能力、作业过程安全控制、安全绩效与改进、综合管理与文化等，其中 “吹哨人” 制度执行效果为核心评价指标之一。</w:t>
      </w:r>
    </w:p>
    <w:p w14:paraId="0A4F67F4">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3、评价结果应用及分级管理：</w:t>
      </w:r>
    </w:p>
    <w:p w14:paraId="4DF850A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作为续聘、业务范围调整、合同续签的重要依据；</w:t>
      </w:r>
    </w:p>
    <w:p w14:paraId="58A2A61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连续两次 B 级降为 C 级，连续两次 C 级纳入黑名单；</w:t>
      </w:r>
    </w:p>
    <w:p w14:paraId="1E1B3B9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C 级承包人需提交整改申请，经发包人使用部门牵头，联合安全环保管理部门、属地部门共同审核批准后方可作业；</w:t>
      </w:r>
    </w:p>
    <w:p w14:paraId="72460F4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对安全绩效优秀的承包人，给予业务优先、履约激励、声誉宣传等奖励。</w:t>
      </w:r>
    </w:p>
    <w:p w14:paraId="26D3C89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4、承包人从业人员存在下列行为之一，经查实，应立即清除出厂并纳入</w:t>
      </w:r>
      <w:r>
        <w:rPr>
          <w:rFonts w:hint="eastAsia" w:ascii="宋体" w:hAnsi="宋体" w:cs="宋体"/>
          <w:b/>
          <w:bCs/>
          <w:color w:val="auto"/>
          <w:highlight w:val="none"/>
          <w:lang w:bidi="ar"/>
        </w:rPr>
        <w:t>个人黑名单（个人黑名单管理期限原则上为 1 至 3 年）</w:t>
      </w:r>
      <w:r>
        <w:rPr>
          <w:rFonts w:hint="eastAsia" w:ascii="宋体" w:hAnsi="宋体" w:cs="宋体"/>
          <w:color w:val="auto"/>
          <w:highlight w:val="none"/>
          <w:lang w:bidi="ar"/>
        </w:rPr>
        <w:t>：</w:t>
      </w:r>
    </w:p>
    <w:p w14:paraId="071E821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（1）发生生产安全责任事故的直接责任者；</w:t>
      </w:r>
    </w:p>
    <w:p w14:paraId="276F972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（2）伪造、变造、 冒用、转借相关资质证书、身份证明或入厂证件的；</w:t>
      </w:r>
    </w:p>
    <w:p w14:paraId="7E96836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（3）在厂区内存在饮酒、吸毒、赌博、打架斗殴等严重违反劳动纪律行为；</w:t>
      </w:r>
    </w:p>
    <w:p w14:paraId="2E4837C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（4）无证、 冒名顶替或伪造审批手续从事特种作业、特种设备作业；</w:t>
      </w:r>
    </w:p>
    <w:p w14:paraId="28C5F522">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（5）恶意隐瞒作业风险、破坏安全设施或拒不执行重大安全隐患停工指令；</w:t>
      </w:r>
    </w:p>
    <w:p w14:paraId="05091EF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（6）一年内因同类 “ 三违”行为被处罚达到 3 次，或连续两个季度安全绩效评价为不合格；</w:t>
      </w:r>
    </w:p>
    <w:p w14:paraId="551E6FC7">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（7）因盗窃、故意破坏等行为被查实并造成企业财产损失；</w:t>
      </w:r>
    </w:p>
    <w:p w14:paraId="01A0DAE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（8）其他被认定为严重违反安全生产规章制度或可能对企业安全生产造成极端恶劣影响的行为；（含违反 “安全生产十大禁令”（1、严禁谎报、瞒报事故。2、严禁携带火种进入易燃易爆区域。3、严禁高处作业不系安全带。4、严禁电气、焊接与热切割作业无证操作或未经许可作业。5、严禁在起重吊物上站人、吊物下行走或停留。6、严禁未经许可进入有限空间内作业。7、严禁无证驾驶机动车辆。8、严禁叉车门架下站人、用货叉或托盘带人作业。9、严禁未经批准解除安全联锁。10、严禁违章指挥，强令他人违章作业。））</w:t>
      </w:r>
    </w:p>
    <w:p w14:paraId="253D6AB8">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5、承包人违反本协议及发包人安全环保规章制度的，发包人可酌情给予暂停作业整改、更换管理人员或</w:t>
      </w:r>
      <w:r>
        <w:rPr>
          <w:rFonts w:hint="eastAsia" w:ascii="宋体" w:hAnsi="宋体" w:cs="宋体"/>
          <w:b/>
          <w:bCs/>
          <w:color w:val="auto"/>
          <w:highlight w:val="none"/>
          <w:lang w:bidi="ar"/>
        </w:rPr>
        <w:t>经济扣罚</w:t>
      </w:r>
      <w:r>
        <w:rPr>
          <w:rFonts w:hint="eastAsia" w:ascii="宋体" w:hAnsi="宋体" w:cs="宋体"/>
          <w:color w:val="auto"/>
          <w:highlight w:val="none"/>
          <w:lang w:bidi="ar"/>
        </w:rPr>
        <w:t>。</w:t>
      </w:r>
      <w:r>
        <w:rPr>
          <w:rFonts w:hint="eastAsia" w:ascii="宋体" w:hAnsi="宋体" w:cs="宋体"/>
          <w:color w:val="auto"/>
          <w:highlight w:val="none"/>
          <w:lang w:bidi="ar"/>
        </w:rPr>
        <w:t>见附件1安全违约考核标准</w:t>
      </w:r>
    </w:p>
    <w:p w14:paraId="50D7A414">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6、发包人处罚通报以电子文档形式发送至承包人指定邮箱即生效，因处罚影响工期的后果由承包人承担，工期不予延长。</w:t>
      </w:r>
    </w:p>
    <w:p w14:paraId="3760EC56">
      <w:pPr>
        <w:pStyle w:val="4"/>
        <w:keepNext w:val="0"/>
        <w:keepLines w:val="0"/>
        <w:widowControl/>
        <w:autoSpaceDE w:val="0"/>
        <w:spacing w:before="120"/>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7、安全奖励（具体奖励金额见附件 2）</w:t>
      </w:r>
    </w:p>
    <w:p w14:paraId="28974EB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（十）安全管理机构设置及人员配置要求</w:t>
      </w:r>
    </w:p>
    <w:p w14:paraId="7B764B28">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1、承包人应建立安全生产管理机构：高危行业或从业人数超过 100 人的，设置专门安全管理机构并配置专职安全管理人员；检维修、工程项目类承包人不论人员多少，必须配置专职安全管理人员（配置比例不低于从业人员的 2%）；其他承包人宜配置专职或兼职安全管理人员。</w:t>
      </w:r>
    </w:p>
    <w:p w14:paraId="3F820228">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2、承包人项目（现场）负责人应具备与所承揽业务相匹配的专业技术能力与安全管理经验，作业期间必须坚守现场履行职责，确需离开须指定符合资质要求的接替人员，并报发包人批准。</w:t>
      </w:r>
    </w:p>
    <w:p w14:paraId="578A6DD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3、关键岗位人员需定期参加培训与履职能力评估，确保持续胜任岗位要求。</w:t>
      </w:r>
    </w:p>
    <w:p w14:paraId="0041BF0C">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（十一）从业人员及工机具管理要求</w:t>
      </w:r>
    </w:p>
    <w:p w14:paraId="3665A35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1、从业人员管理：</w:t>
      </w:r>
    </w:p>
    <w:p w14:paraId="381871CC">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承包人确保从业人员满足国家及发包人规定的学历、技能与岗位能力要求，无从事作业所涉及的职业禁忌，行为能力满足安全作业和应急处置要求。</w:t>
      </w:r>
    </w:p>
    <w:p w14:paraId="5D9A4E44">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依法与从业人员签订劳动合同，明确隶属与权责；定期组织职业健康体检（岗前、岗中、离岗），建立职业健康监护档案，并如实向发包人业务管理部门报告检查结果。</w:t>
      </w:r>
    </w:p>
    <w:p w14:paraId="6EC691E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特种作业人员、特种设备作业人员必须 100% 持有效操作资格证上岗，严禁无证、冒名顶替或伪造审批手续从事相关作业。</w:t>
      </w:r>
    </w:p>
    <w:p w14:paraId="32E811E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2、工机具管理：</w:t>
      </w:r>
    </w:p>
    <w:p w14:paraId="607DFCE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承包人拟进场的工机具需经发包人使用部门检验、检查并标识，提供检维修记录、检定证明等材料，不满足相关标准要求的不得进场使用。</w:t>
      </w:r>
    </w:p>
    <w:p w14:paraId="42E55D32">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工机具的使用、维护、保养需符合安全要求，严禁使用不合格或存在安全隐患的工机具；临时用电线路敷设规范，符合安全要求。</w:t>
      </w:r>
    </w:p>
    <w:p w14:paraId="112364A2">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（十二）安全管理的权利与义务</w:t>
      </w:r>
    </w:p>
    <w:p w14:paraId="3A2E153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1、发包人权利：</w:t>
      </w:r>
    </w:p>
    <w:p w14:paraId="2302176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对承包人作业现场及人员、车辆进行安全环保检查，发现隐患、违章作业或事故时，有权采取停工整改、扣除违约金、责令更换人员设备等措施；</w:t>
      </w:r>
    </w:p>
    <w:p w14:paraId="6681ADB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对承包人安全绩效进行评价，依据评价结果调整业务合作范围，建立合格承包商名录及黑名单。</w:t>
      </w:r>
    </w:p>
    <w:p w14:paraId="3783EF9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对承包人报告的隐患进行核实，按规定落实奖励；对承包人拒不执行 “吹哨人” 制度等违规行为，依据合同条款及相关管理制度进行处罚。</w:t>
      </w:r>
    </w:p>
    <w:p w14:paraId="53730023">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要求承包人提供人员名单、组织机构文件、管理制度、主要管理人员资质证书、近 3 年安全业绩证明、保险缴纳凭证等材料，进行审核备案。</w:t>
      </w:r>
    </w:p>
    <w:p w14:paraId="7EA183B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2、发包人义务：</w:t>
      </w:r>
    </w:p>
    <w:p w14:paraId="3F91C16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向承包人告知安全环保规章制度、应急处理程序及 “吹哨人” 制度等核心要求；提供施工、维保所需场地及必要的安全管理标准和工具。</w:t>
      </w:r>
    </w:p>
    <w:p w14:paraId="746C296C">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组织分级安全教育培训及考核，统筹协调承包商安全管理工作，及时处理承包人反馈的合理诉求，组织开展安全赋能与经验交流活动。</w:t>
      </w:r>
    </w:p>
    <w:p w14:paraId="6816C2C8">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保障 “吹哨人” 奖励资金专项落实。</w:t>
      </w:r>
    </w:p>
    <w:p w14:paraId="7779CB3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3、承包人权利：</w:t>
      </w:r>
    </w:p>
    <w:p w14:paraId="59373DB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要求发包人提供必要的作业条件和安全保障信息；对发包人提出的不合理整改要求可提出异议并协商解决。</w:t>
      </w:r>
    </w:p>
    <w:p w14:paraId="174B059F">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按规定获得发包人提供的安全培训资源和技术支持；申请 “吹哨人” 专项奖励资金，对符合条件的隐患报告人予以奖励。</w:t>
      </w:r>
    </w:p>
    <w:p w14:paraId="730DC03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4、承包人义务：</w:t>
      </w:r>
    </w:p>
    <w:p w14:paraId="6E52916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严格遵守发包人安全环保规章制度及本协议约定，接受发包人及相关单位监督管理；及时整改安全隐患，如实上报事故事件，承担相应的安全责任。</w:t>
      </w:r>
    </w:p>
    <w:p w14:paraId="7F3D6D5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建立并执行 “吹哨人” 及隐患内部报告制度，设立专项奖励，保障从业人员合法权益；积极参与发包人组织的安全文化活动、应急演练及经验交流，推动安全文化融合。</w:t>
      </w:r>
    </w:p>
    <w:p w14:paraId="7DA225DA">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二、“吹哨人” 及隐患内部报告制度专项约定</w:t>
      </w:r>
    </w:p>
    <w:p w14:paraId="3F9D5E9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1、承包人必须建立并有效执行安全生产 “吹哨人” 及隐患内部报告制度，明确报告流程、受理部门、反馈时限及奖励标准，形成书面制度文件报发包人备案。</w:t>
      </w:r>
    </w:p>
    <w:p w14:paraId="489DD1C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2、承包人应设立 “吹哨人” 专项奖励额度，奖励标准不低于发包人规定的相关标准，奖励资金从安全生产费用或专项奖励基金中列支。</w:t>
      </w:r>
    </w:p>
    <w:p w14:paraId="123CA7E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3、承包人需依据发包人核实的隐患情况和评估意见，在收到发包人通知后 15 个工作日内对 “吹哨人”（隐患报告人）予以奖励，并将奖励发放情况（含报告人信息、隐患内容、核实结果、奖励金额及发放时间）报发包人安全环保管理部门备案。</w:t>
      </w:r>
    </w:p>
    <w:p w14:paraId="29F1DEB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4、承包人应建立 “吹哨人” 奖励台账，详细记录相关信息，接受发包人定期检查；发包人安全环保管理部门负责收集、审核《承包商安全生产 “吹哨人” 和隐患内部报告奖励统计表》并归档。见附件4</w:t>
      </w:r>
    </w:p>
    <w:p w14:paraId="03249043">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5、如承包人拒不建立 “吹哨人” 及隐患内部报告制度、未按规定设立专项奖励或未及时兑现奖励的，发包人有权依据合同条款及相关管理制度对承包人进行经济处罚，情节严重的纳入黑名单，直至终止合同。</w:t>
      </w:r>
    </w:p>
    <w:p w14:paraId="21267F3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6、发包人工会对 “吹哨人” 制度的执行情况实施监督与指导，每年会同安全环保管理部门组织对 “吹哨人” 报告事项进行评选与奖励，营造全员参与、主动排查隐患的安全文化氛围。</w:t>
      </w:r>
    </w:p>
    <w:p w14:paraId="4F72DA71">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三、“五个一” 一体化管理专项约定</w:t>
      </w:r>
    </w:p>
    <w:p w14:paraId="04B9391F">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1、一套标准：承包人必须严格遵守发包人统一的安全管理标准、技术标准与操作标准，将发包人安全规章制度融入自身管理体系，实现安全管理同质化。</w:t>
      </w:r>
    </w:p>
    <w:p w14:paraId="200233B3">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2、一套考核：承包人接受发包人统一的安全绩效评价体系，评价结果与其业务承揽范围、合同续签、评优评先直接挂钩，形成 “安全表现决定市场机会” 的导向。</w:t>
      </w:r>
    </w:p>
    <w:p w14:paraId="6342B363">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3、一体运作：承包人关键岗位人员需参加发包人的安全生产例会、班前会和安全活动，遵循发包人管理流程；双方建立安全信息双向通报机制，实现风险共知、信息互通。</w:t>
      </w:r>
    </w:p>
    <w:p w14:paraId="4A2C7E5E">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4、一个团队：承包人现场负责人深度参与发包人安全例会、联合检查等活动，被纳入发包人现场管理团队，形成目标一致、行动协同的管理合力。</w:t>
      </w:r>
    </w:p>
    <w:p w14:paraId="4263459F">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5、一种文化：承包人积极参与发包人组织的安全月、应急演练、安全知识竞赛等活动，认同并践行发包人 “生命至上、安全第一” 的核心安全价值观，共同营造 “彼此尊重、相互监督、责任共担、安全共赢” 的安全文化氛围。</w:t>
      </w:r>
    </w:p>
    <w:p w14:paraId="178151FC">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四、其他约定</w:t>
      </w:r>
    </w:p>
    <w:p w14:paraId="63BCE7C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1、本协议未尽事宜由双方协商补充解决，协商不成的按所签合同争议条款处理。</w:t>
      </w:r>
    </w:p>
    <w:p w14:paraId="35DFAF7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2、本协议内容与国家有关规定相抵触的，按国家规定执行。</w:t>
      </w:r>
    </w:p>
    <w:p w14:paraId="4C878C0E">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3、本协议一式两份，甲乙双方各执一份，签字盖章后生效，有效期与合同有效期一致。</w:t>
      </w:r>
    </w:p>
    <w:p w14:paraId="4BE54B97">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653B967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 xml:space="preserve"> </w:t>
      </w:r>
    </w:p>
    <w:p w14:paraId="1285F4BC">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发包人：重庆国际复合材料股份有限公司</w:t>
      </w:r>
    </w:p>
    <w:p w14:paraId="35F88AD1">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7854F58C">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法定代表人 </w:t>
      </w:r>
    </w:p>
    <w:p w14:paraId="6843DB4D">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或其授权的代理人：</w:t>
      </w:r>
    </w:p>
    <w:p w14:paraId="2AB30ACE">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4D29178A">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承包人：</w:t>
      </w:r>
    </w:p>
    <w:p w14:paraId="5FC601B3">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0D9FB204">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法定代表人 </w:t>
      </w:r>
    </w:p>
    <w:p w14:paraId="598A4F71">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或其授权的代理人：</w:t>
      </w:r>
    </w:p>
    <w:p w14:paraId="6C0194CE">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7A99DC35">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5FE1F07B">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00369E06">
      <w:pPr>
        <w:pStyle w:val="12"/>
        <w:autoSpaceDE w:val="0"/>
        <w:spacing w:line="360" w:lineRule="auto"/>
        <w:rPr>
          <w:rFonts w:ascii="宋体" w:hAnsi="宋体" w:cs="宋体"/>
          <w:color w:val="auto"/>
          <w:highlight w:val="none"/>
          <w:lang w:bidi="ar"/>
        </w:rPr>
      </w:pPr>
      <w:r>
        <w:rPr>
          <w:rFonts w:hint="eastAsia" w:ascii="宋体" w:hAnsi="宋体" w:cs="宋体"/>
          <w:color w:val="auto"/>
          <w:highlight w:val="none"/>
          <w:lang w:bidi="ar"/>
        </w:rPr>
        <w:t xml:space="preserve"> </w:t>
      </w:r>
    </w:p>
    <w:p w14:paraId="1E86124A">
      <w:pPr>
        <w:widowControl/>
        <w:jc w:val="left"/>
        <w:rPr>
          <w:rFonts w:ascii="宋体" w:hAnsi="宋体" w:cs="宋体"/>
          <w:color w:val="auto"/>
          <w:kern w:val="0"/>
          <w:sz w:val="24"/>
          <w:highlight w:val="none"/>
          <w:lang w:bidi="ar"/>
        </w:rPr>
      </w:pPr>
      <w:r>
        <w:rPr>
          <w:rFonts w:ascii="宋体" w:hAnsi="宋体" w:cs="宋体"/>
          <w:color w:val="auto"/>
          <w:kern w:val="0"/>
          <w:highlight w:val="none"/>
          <w:lang w:bidi="ar"/>
        </w:rPr>
        <w:br w:type="page"/>
      </w:r>
    </w:p>
    <w:p w14:paraId="799723E1">
      <w:pPr>
        <w:pStyle w:val="12"/>
        <w:autoSpaceDE w:val="0"/>
        <w:spacing w:line="360" w:lineRule="auto"/>
        <w:rPr>
          <w:rFonts w:ascii="宋体" w:hAnsi="宋体" w:cs="宋体"/>
          <w:color w:val="auto"/>
          <w:highlight w:val="none"/>
        </w:rPr>
      </w:pPr>
    </w:p>
    <w:p w14:paraId="1336308C">
      <w:pPr>
        <w:pStyle w:val="12"/>
        <w:autoSpaceDE w:val="0"/>
        <w:spacing w:line="360" w:lineRule="auto"/>
        <w:jc w:val="center"/>
        <w:rPr>
          <w:rFonts w:ascii="宋体" w:hAnsi="宋体" w:cs="宋体"/>
          <w:b/>
          <w:bCs/>
          <w:color w:val="auto"/>
          <w:highlight w:val="none"/>
          <w:lang w:bidi="ar"/>
        </w:rPr>
      </w:pPr>
      <w:r>
        <w:rPr>
          <w:rFonts w:hint="eastAsia" w:ascii="宋体" w:hAnsi="宋体" w:cs="宋体"/>
          <w:b/>
          <w:bCs/>
          <w:color w:val="auto"/>
          <w:highlight w:val="none"/>
          <w:lang w:bidi="ar"/>
        </w:rPr>
        <w:t>附件 1、安全违约考核标准</w:t>
      </w:r>
    </w:p>
    <w:p w14:paraId="675D19A9">
      <w:pPr>
        <w:pStyle w:val="12"/>
        <w:autoSpaceDE w:val="0"/>
        <w:spacing w:line="360" w:lineRule="auto"/>
        <w:jc w:val="center"/>
        <w:rPr>
          <w:rFonts w:ascii="宋体" w:hAnsi="宋体" w:cs="宋体"/>
          <w:b/>
          <w:bCs/>
          <w:color w:val="auto"/>
          <w:highlight w:val="none"/>
        </w:rPr>
      </w:pPr>
    </w:p>
    <w:tbl>
      <w:tblPr>
        <w:tblStyle w:val="13"/>
        <w:tblpPr w:leftFromText="180" w:rightFromText="180" w:vertAnchor="text" w:horzAnchor="page" w:tblpY="497"/>
        <w:tblOverlap w:val="never"/>
        <w:tblW w:w="10188" w:type="dxa"/>
        <w:tblInd w:w="0" w:type="dxa"/>
        <w:tblLayout w:type="fixed"/>
        <w:tblCellMar>
          <w:top w:w="0" w:type="dxa"/>
          <w:left w:w="108" w:type="dxa"/>
          <w:bottom w:w="0" w:type="dxa"/>
          <w:right w:w="108" w:type="dxa"/>
        </w:tblCellMar>
      </w:tblPr>
      <w:tblGrid>
        <w:gridCol w:w="724"/>
        <w:gridCol w:w="11"/>
        <w:gridCol w:w="8030"/>
        <w:gridCol w:w="36"/>
        <w:gridCol w:w="1387"/>
      </w:tblGrid>
      <w:tr w14:paraId="2F038663">
        <w:tblPrEx>
          <w:tblCellMar>
            <w:top w:w="0" w:type="dxa"/>
            <w:left w:w="108" w:type="dxa"/>
            <w:bottom w:w="0" w:type="dxa"/>
            <w:right w:w="108" w:type="dxa"/>
          </w:tblCellMar>
        </w:tblPrEx>
        <w:trPr>
          <w:trHeight w:val="465" w:hRule="atLeast"/>
        </w:trPr>
        <w:tc>
          <w:tcPr>
            <w:tcW w:w="876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AD95F0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违规事项</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963566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扣罚金额</w:t>
            </w:r>
          </w:p>
        </w:tc>
      </w:tr>
      <w:tr w14:paraId="33BEE7AB">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C2C06A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说明：扣罚和奖励金额为事件每发生1次或1人.次的金额，金额单位：元，币种为人民币。同一事务，未及时完成整改，重复发生的，加倍扣罚，连续多次发生，3倍扣罚。</w:t>
            </w:r>
          </w:p>
        </w:tc>
      </w:tr>
      <w:tr w14:paraId="19C60953">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2E6FF02">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一、保证措施</w:t>
            </w:r>
          </w:p>
        </w:tc>
      </w:tr>
      <w:tr w14:paraId="4587BC81">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5FC20C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6854C4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施工期间，同承发包项目相关的企业、人员资质发生变更应报批的隐瞒不报，未经建设单位同意私自分包，聘用的分包商无有效资质，与分包单位无安全协议。</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CBB163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3BA79910">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000219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242980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未获开工令私自开工，不执行建设（监理）单位发出的停工指令。</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E21259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454098D1">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C916FE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601774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安全制度不健全，缺乏符合本企业需要的《安全环保责任制》《隐患排查整改》《事故应急管理》等安全管理制度。</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8E0B0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76575D2B">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CFEDE7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B67968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三级安全教育、日常安全教育不符合国家规定、公司制度要求。</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9B7069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65D703E">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46AFFC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F08913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项目经理、技术负责人、安全管理人员、特种作业人员无证上岗。</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B2595F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B26CD07">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8DE1D3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6</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1F0343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安全风险辨识不全，安全措施不齐全。施工组织设计（方案）应编制但未编制、未经审批完成就施工，未履行书面的安全技术交底就施工。</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2A11C1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2F5C6CD">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E2AC73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7</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2670B9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不服从工程会议决议、业主（监理）方工程指令。</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35A2C4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6E80C2D">
        <w:tblPrEx>
          <w:tblCellMar>
            <w:top w:w="0" w:type="dxa"/>
            <w:left w:w="108" w:type="dxa"/>
            <w:bottom w:w="0" w:type="dxa"/>
            <w:right w:w="108" w:type="dxa"/>
          </w:tblCellMar>
        </w:tblPrEx>
        <w:trPr>
          <w:trHeight w:val="414"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EB8A06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8</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6F2D6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未定期进行安全检查，安全隐患纠正措施不力，隐患排查、整改记录缺失。</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79E394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709A224">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047A9A9">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9</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256BB4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施工作业无安全操作规程以及违反操作规程作业。</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EBE7CD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769D585">
        <w:tblPrEx>
          <w:tblCellMar>
            <w:top w:w="0" w:type="dxa"/>
            <w:left w:w="108" w:type="dxa"/>
            <w:bottom w:w="0" w:type="dxa"/>
            <w:right w:w="108" w:type="dxa"/>
          </w:tblCellMar>
        </w:tblPrEx>
        <w:trPr>
          <w:trHeight w:val="548"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82CE74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FBF348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工机具、车辆、设备入场前，大型登高、吊装设备、脚手架架设后应进行备案、报批、验收的，未经同意就使用。</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AFECA6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86E2D96">
        <w:tblPrEx>
          <w:tblCellMar>
            <w:top w:w="0" w:type="dxa"/>
            <w:left w:w="108" w:type="dxa"/>
            <w:bottom w:w="0" w:type="dxa"/>
            <w:right w:w="108" w:type="dxa"/>
          </w:tblCellMar>
        </w:tblPrEx>
        <w:trPr>
          <w:trHeight w:val="392"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8CFD354">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11</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70FC8BA">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违章指挥，强令他人违章作业</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AE6457C">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3000~10000</w:t>
            </w:r>
          </w:p>
        </w:tc>
      </w:tr>
      <w:tr w14:paraId="56263BF3">
        <w:tblPrEx>
          <w:tblCellMar>
            <w:top w:w="0" w:type="dxa"/>
            <w:left w:w="108" w:type="dxa"/>
            <w:bottom w:w="0" w:type="dxa"/>
            <w:right w:w="108" w:type="dxa"/>
          </w:tblCellMar>
        </w:tblPrEx>
        <w:trPr>
          <w:trHeight w:val="392"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0D005B4">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12</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4089C2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拒不执行安全生产 “吹哨人” 及隐患内部报告制度或未按规定给予 “吹哨人” 奖励</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6C2143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44F4C5F3">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31B6A7">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二、个人违章</w:t>
            </w:r>
          </w:p>
        </w:tc>
      </w:tr>
      <w:tr w14:paraId="6FE36E80">
        <w:tblPrEx>
          <w:tblCellMar>
            <w:top w:w="0" w:type="dxa"/>
            <w:left w:w="108" w:type="dxa"/>
            <w:bottom w:w="0" w:type="dxa"/>
            <w:right w:w="108" w:type="dxa"/>
          </w:tblCellMar>
        </w:tblPrEx>
        <w:trPr>
          <w:trHeight w:val="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EF0931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13</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E05CA2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未参加施工单位培训及建设单位三级安全教育培训和考试就入场，借用、冒用他人入场许可证的。</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07899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249D59A2">
        <w:tblPrEx>
          <w:tblCellMar>
            <w:top w:w="0" w:type="dxa"/>
            <w:left w:w="108" w:type="dxa"/>
            <w:bottom w:w="0" w:type="dxa"/>
            <w:right w:w="108" w:type="dxa"/>
          </w:tblCellMar>
        </w:tblPrEx>
        <w:trPr>
          <w:trHeight w:val="366"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0AFDBC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14</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C9F890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安全帽、护目镜、劳保鞋、工作服、反光背心等劳动防护用品未按规定穿佩戴。使用的劳动防护用品受损或质量达不到规范要求。</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17DB83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71DF42A3">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4F66A7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15</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F6C57F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班前或班中饮酒后，仍然进入施工现场工作。</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85CD05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3EC32C84">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1D09DD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16</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1751F2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超过2米有可能跌落的场所施工作业未系或未按规范系双钩安全带。</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AEEFBA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3318EE21">
        <w:tblPrEx>
          <w:tblCellMar>
            <w:top w:w="0" w:type="dxa"/>
            <w:left w:w="108" w:type="dxa"/>
            <w:bottom w:w="0" w:type="dxa"/>
            <w:right w:w="108" w:type="dxa"/>
          </w:tblCellMar>
        </w:tblPrEx>
        <w:trPr>
          <w:trHeight w:val="26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7CB1F5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17</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DCAFD3">
            <w:pPr>
              <w:widowControl/>
              <w:jc w:val="left"/>
              <w:textAlignment w:val="center"/>
              <w:rPr>
                <w:rFonts w:ascii="等线" w:hAnsi="等线" w:eastAsia="等线" w:cs="宋体"/>
                <w:color w:val="auto"/>
                <w:szCs w:val="21"/>
                <w:highlight w:val="none"/>
              </w:rPr>
            </w:pPr>
            <w:r>
              <w:rPr>
                <w:rFonts w:hint="eastAsia" w:ascii="等线" w:hAnsi="等线" w:eastAsia="等线" w:cs="宋体"/>
                <w:color w:val="auto"/>
                <w:kern w:val="0"/>
                <w:szCs w:val="21"/>
                <w:highlight w:val="none"/>
                <w:lang w:bidi="ar"/>
              </w:rPr>
              <w:t>在施工区内禁止吸烟处吸烟（非一级禁烟区），乱丢垃圾，污损破坏环境设施等行为。</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E524B6A">
            <w:pPr>
              <w:widowControl/>
              <w:jc w:val="left"/>
              <w:textAlignment w:val="center"/>
              <w:rPr>
                <w:rFonts w:ascii="等线" w:hAnsi="等线" w:eastAsia="等线"/>
                <w:color w:val="auto"/>
                <w:szCs w:val="21"/>
                <w:highlight w:val="none"/>
              </w:rPr>
            </w:pPr>
            <w:r>
              <w:rPr>
                <w:rFonts w:ascii="等线" w:hAnsi="等线" w:eastAsia="等线"/>
                <w:color w:val="auto"/>
                <w:kern w:val="0"/>
                <w:szCs w:val="21"/>
                <w:highlight w:val="none"/>
                <w:lang w:bidi="ar"/>
              </w:rPr>
              <w:t>100~500</w:t>
            </w:r>
          </w:p>
        </w:tc>
      </w:tr>
      <w:tr w14:paraId="2C707B36">
        <w:tblPrEx>
          <w:tblCellMar>
            <w:top w:w="0" w:type="dxa"/>
            <w:left w:w="108" w:type="dxa"/>
            <w:bottom w:w="0" w:type="dxa"/>
            <w:right w:w="108" w:type="dxa"/>
          </w:tblCellMar>
        </w:tblPrEx>
        <w:trPr>
          <w:trHeight w:val="26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B76F501">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18</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35B8C9E">
            <w:pPr>
              <w:widowControl/>
              <w:jc w:val="left"/>
              <w:textAlignment w:val="center"/>
              <w:rPr>
                <w:rFonts w:ascii="等线" w:hAnsi="等线" w:eastAsia="等线" w:cs="宋体"/>
                <w:color w:val="auto"/>
                <w:kern w:val="0"/>
                <w:szCs w:val="21"/>
                <w:highlight w:val="none"/>
                <w:lang w:bidi="ar"/>
              </w:rPr>
            </w:pPr>
            <w:r>
              <w:rPr>
                <w:rFonts w:hint="eastAsia" w:ascii="等线" w:hAnsi="等线" w:eastAsia="等线" w:cs="等线"/>
                <w:color w:val="auto"/>
                <w:kern w:val="0"/>
                <w:sz w:val="22"/>
                <w:highlight w:val="none"/>
                <w:lang w:bidi="ar"/>
              </w:rPr>
              <w:t>在施工区内随地大小便</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AD8E3E9">
            <w:pPr>
              <w:widowControl/>
              <w:jc w:val="left"/>
              <w:textAlignment w:val="center"/>
              <w:rPr>
                <w:rFonts w:ascii="等线" w:hAnsi="等线" w:eastAsia="等线"/>
                <w:color w:val="auto"/>
                <w:kern w:val="0"/>
                <w:szCs w:val="21"/>
                <w:highlight w:val="none"/>
                <w:lang w:bidi="ar"/>
              </w:rPr>
            </w:pPr>
            <w:r>
              <w:rPr>
                <w:rFonts w:hint="eastAsia" w:ascii="等线" w:hAnsi="等线" w:eastAsia="等线"/>
                <w:color w:val="auto"/>
                <w:kern w:val="0"/>
                <w:szCs w:val="21"/>
                <w:highlight w:val="none"/>
                <w:lang w:bidi="ar"/>
              </w:rPr>
              <w:t>2000</w:t>
            </w:r>
          </w:p>
        </w:tc>
      </w:tr>
      <w:tr w14:paraId="2238BDA8">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C29F7F">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三、现场及施工作业违章</w:t>
            </w:r>
          </w:p>
        </w:tc>
      </w:tr>
      <w:tr w14:paraId="6374F158">
        <w:tblPrEx>
          <w:tblCellMar>
            <w:top w:w="0" w:type="dxa"/>
            <w:left w:w="108" w:type="dxa"/>
            <w:bottom w:w="0" w:type="dxa"/>
            <w:right w:w="108" w:type="dxa"/>
          </w:tblCellMar>
        </w:tblPrEx>
        <w:trPr>
          <w:trHeight w:val="1292"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05B86B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19</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5493E6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施工平面布置图不符合规定，现场状况与图不相符；施工现场搭设临时建筑，未经业主方同意后就实施。 班组工具房的布设未经过业主方统一规划或认可，布置不整齐，施工常用工器具、材料应规划区域、堆放整齐、标识清楚，不影响外观形象，未做到上述措施的。</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9139B7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50F8AE8E">
        <w:tblPrEx>
          <w:tblCellMar>
            <w:top w:w="0" w:type="dxa"/>
            <w:left w:w="108" w:type="dxa"/>
            <w:bottom w:w="0" w:type="dxa"/>
            <w:right w:w="108" w:type="dxa"/>
          </w:tblCellMar>
        </w:tblPrEx>
        <w:trPr>
          <w:trHeight w:val="648"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0CA638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5F792B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施工场所的井、坑、孔、洞、地沟、临边等，未及时设置有效的孔洞、临边防护设施及安全警告标志，安全网搭设不健全。未经许可，私自拆除安全防护设施。</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7C659F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284ED74">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C80FBC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21</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FCDD3F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不严格执行工作票、证制度，监护人玩忽职守、无票作业。</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F1E624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A6735EE">
        <w:tblPrEx>
          <w:tblCellMar>
            <w:top w:w="0" w:type="dxa"/>
            <w:left w:w="108" w:type="dxa"/>
            <w:bottom w:w="0" w:type="dxa"/>
            <w:right w:w="108" w:type="dxa"/>
          </w:tblCellMar>
        </w:tblPrEx>
        <w:trPr>
          <w:trHeight w:val="549"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BD288D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22</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1CF3AF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现场临时用电、吊装、有限空间、动火、盲板抽堵、高空作业不符合规范要求，安全设施带病作业、措施不健全，违章作业。</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A87292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4841AC29">
        <w:tblPrEx>
          <w:tblCellMar>
            <w:top w:w="0" w:type="dxa"/>
            <w:left w:w="108" w:type="dxa"/>
            <w:bottom w:w="0" w:type="dxa"/>
            <w:right w:w="108" w:type="dxa"/>
          </w:tblCellMar>
        </w:tblPrEx>
        <w:trPr>
          <w:trHeight w:val="502"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D81339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23</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5DFEBE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登高作业工具、设备、脚手架、跳板、安全网、栏杆等等安全设施、附件不健全，带病作业，未按安全规程、技术要求使用操作。</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696DAB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54322AB">
        <w:tblPrEx>
          <w:tblCellMar>
            <w:top w:w="0" w:type="dxa"/>
            <w:left w:w="108" w:type="dxa"/>
            <w:bottom w:w="0" w:type="dxa"/>
            <w:right w:w="108" w:type="dxa"/>
          </w:tblCellMar>
        </w:tblPrEx>
        <w:trPr>
          <w:trHeight w:val="531"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B563C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24</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06624E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入场工、器具安全附件不健全，临时搭设的平台不符合安全标准，使用淘汰落后的设备、设施，设备设施配置不符合国家规范标准要求。</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ABFF1B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7239331">
        <w:tblPrEx>
          <w:tblCellMar>
            <w:top w:w="0" w:type="dxa"/>
            <w:left w:w="108" w:type="dxa"/>
            <w:bottom w:w="0" w:type="dxa"/>
            <w:right w:w="108" w:type="dxa"/>
          </w:tblCellMar>
        </w:tblPrEx>
        <w:trPr>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67E691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25</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6A0321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文明施工措施不健全，责任区清洁、扬尘、污泥控制不到位，工人操作未做到“工完料尽场地清”；剩余物料、废旧物料、危险废弃物未分类处置，未按要求在指定区域按指定方式处理。</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A31BE7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FB63677">
        <w:tblPrEx>
          <w:tblCellMar>
            <w:top w:w="0" w:type="dxa"/>
            <w:left w:w="108" w:type="dxa"/>
            <w:bottom w:w="0" w:type="dxa"/>
            <w:right w:w="108" w:type="dxa"/>
          </w:tblCellMar>
        </w:tblPrEx>
        <w:trPr>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177A03B">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26</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995D2D3">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场地内部道路未硬化、进出场车辆冲洗设施、“五牌一图”、大门、围挡、宿舍、厕所、淋浴间、开水间、绿化、办公室等临时设施设置不符规范或缺失。</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1E09925">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3000~5000</w:t>
            </w:r>
          </w:p>
        </w:tc>
      </w:tr>
      <w:tr w14:paraId="10F0861A">
        <w:tblPrEx>
          <w:tblCellMar>
            <w:top w:w="0" w:type="dxa"/>
            <w:left w:w="108" w:type="dxa"/>
            <w:bottom w:w="0" w:type="dxa"/>
            <w:right w:w="108" w:type="dxa"/>
          </w:tblCellMar>
        </w:tblPrEx>
        <w:trPr>
          <w:trHeight w:val="621"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C5A895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27</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FFB6F5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堵塞消防通道、易燃、易爆品、易腐蚀品未按规范存放和使用，消防设施配备不符合要求，未按消防规范作业。</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0FF8B2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F553F72">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220C689">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28</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D422DE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未履行成品保护制度，对设施、路面保护不力，成品保护措施不健全。 </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0AEA41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5D628DB">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1C290F0">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四、厂区规范管理</w:t>
            </w:r>
          </w:p>
        </w:tc>
      </w:tr>
      <w:tr w14:paraId="61F45231">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6B6C5B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29</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8D96BC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入场车辆未按规定入场、行驶、停放的，行人在限定区域以外行走的。</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25798C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465680E3">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6136F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30</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27F079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打架斗殴、威胁甲方管理人员的。</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E915BB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321DF389">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EB14C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31</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154E38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违反业主方生产场所相关安全、环保、消防、文明管理规定的。</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546283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5A5F3CA9">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348D61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32</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877D3D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违反业主方制定的门岗、治安、保卫管理规章制度的行为。</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996E95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4EAE81CE">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B92934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33</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C4A176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私自操作甲方生产设施、设备，故意损坏设施设备，造成事故的，照价赔偿。</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F6D952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0377117">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1FFB265">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34</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898D01D">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进入易燃易爆区域抽烟、未经许可私自携带火种、违规动火。</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405E29">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3000~10000</w:t>
            </w:r>
          </w:p>
        </w:tc>
      </w:tr>
      <w:tr w14:paraId="31F30D56">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EDC3807">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35</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B314AC">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未经批准解除安全联锁。</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7604ACC">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3000~10000</w:t>
            </w:r>
          </w:p>
        </w:tc>
      </w:tr>
      <w:tr w14:paraId="7AF6606C">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7F84D6">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五、环保管理</w:t>
            </w:r>
          </w:p>
        </w:tc>
      </w:tr>
      <w:tr w14:paraId="398A884A">
        <w:tblPrEx>
          <w:tblCellMar>
            <w:top w:w="0" w:type="dxa"/>
            <w:left w:w="108" w:type="dxa"/>
            <w:bottom w:w="0" w:type="dxa"/>
            <w:right w:w="108" w:type="dxa"/>
          </w:tblCellMar>
        </w:tblPrEx>
        <w:trPr>
          <w:trHeight w:val="37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1221CD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36</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0EED11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污水、废气、噪音、粉尘等未按要求排放或排放超过标准的，控制措施不力的。</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3F960A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870FFB2">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536075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37</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2BBAD1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油漆、清洗剂等危险化学品未按规定进行存储、废弃处理，工地违规燃烧垃圾废物</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1295CB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8E37DD6">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9FBED05">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六、事故管理</w:t>
            </w:r>
          </w:p>
        </w:tc>
      </w:tr>
      <w:tr w14:paraId="4B3F512B">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62C0949">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38</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350A39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发生事故后故意瞒报，影响救援的；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7FC339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依据CPIC制度执行</w:t>
            </w:r>
          </w:p>
        </w:tc>
      </w:tr>
      <w:tr w14:paraId="28968556">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2A0C93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39</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DCEFE5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发生事故后，不在规定时间向发包方报告的，故意不按真实情况报告的，应由施工方组织调查而不组织调查的，不按照"四不放过"进行调查处理的，承包方故意不配合调查的；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E66899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5233EB25">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15F495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40</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26DB34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未遂事故、微伤事故、直接经济损失1万元以下的事故、发生火情等</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6D8C0B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6F4762E4">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F931FA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41</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8A3C8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轻微伤以上事故；或造成 1 万元以下直接经济损失的火灾事故；或造成 1 万元以上 5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1A9261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3000~1万</w:t>
            </w:r>
          </w:p>
        </w:tc>
      </w:tr>
      <w:tr w14:paraId="75191035">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A71810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42</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F825F2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轻伤二级事故；或造成 1万元以上10 万元以下直接经济损失的火灾事故；或造成 1 万元以上 5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716846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5000~2万</w:t>
            </w:r>
          </w:p>
        </w:tc>
      </w:tr>
      <w:tr w14:paraId="52D63010">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86AA34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43</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DFEC86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轻伤一级事故；或造成 10 万元以上 </w:t>
            </w:r>
            <w:r>
              <w:rPr>
                <w:rFonts w:ascii="等线" w:hAnsi="等线" w:eastAsia="等线" w:cs="等线"/>
                <w:color w:val="auto"/>
                <w:kern w:val="0"/>
                <w:sz w:val="22"/>
                <w:highlight w:val="none"/>
                <w:lang w:bidi="ar"/>
              </w:rPr>
              <w:t>10</w:t>
            </w:r>
            <w:r>
              <w:rPr>
                <w:rFonts w:hint="eastAsia" w:ascii="等线" w:hAnsi="等线" w:eastAsia="等线" w:cs="等线"/>
                <w:color w:val="auto"/>
                <w:kern w:val="0"/>
                <w:sz w:val="22"/>
                <w:highlight w:val="none"/>
                <w:lang w:bidi="ar"/>
              </w:rPr>
              <w:t>0 万元以下直接经济损失的火灾事故；或造成 5 万元以上 10</w:t>
            </w:r>
            <w:r>
              <w:rPr>
                <w:rFonts w:ascii="等线" w:hAnsi="等线" w:eastAsia="等线" w:cs="等线"/>
                <w:color w:val="auto"/>
                <w:kern w:val="0"/>
                <w:sz w:val="22"/>
                <w:highlight w:val="none"/>
                <w:lang w:bidi="ar"/>
              </w:rPr>
              <w:t>0</w:t>
            </w:r>
            <w:r>
              <w:rPr>
                <w:rFonts w:hint="eastAsia" w:ascii="等线" w:hAnsi="等线" w:eastAsia="等线" w:cs="等线"/>
                <w:color w:val="auto"/>
                <w:kern w:val="0"/>
                <w:sz w:val="22"/>
                <w:highlight w:val="none"/>
                <w:lang w:bidi="ar"/>
              </w:rPr>
              <w:t xml:space="preserve">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F42AFA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2万~5万，赔偿额另计</w:t>
            </w:r>
          </w:p>
        </w:tc>
      </w:tr>
      <w:tr w14:paraId="121B26C4">
        <w:tblPrEx>
          <w:tblCellMar>
            <w:top w:w="0" w:type="dxa"/>
            <w:left w:w="108" w:type="dxa"/>
            <w:bottom w:w="0" w:type="dxa"/>
            <w:right w:w="108" w:type="dxa"/>
          </w:tblCellMar>
        </w:tblPrEx>
        <w:trPr>
          <w:trHeight w:val="43"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9AE68B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44</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DD4137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重伤及以上事故，直接经济损失超过100万元以上根据公司相关制度进行考核。</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7DB66B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依据CPIC制度执行</w:t>
            </w:r>
          </w:p>
        </w:tc>
      </w:tr>
      <w:tr w14:paraId="0769DF56">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F2AB28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45</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5E7AE3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一般环境污染事故</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EFFFE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234A3A7">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1C204E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46</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5A6DE0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较大环境污染事故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5D1D92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3000~6000</w:t>
            </w:r>
          </w:p>
        </w:tc>
      </w:tr>
      <w:tr w14:paraId="2E4D9875">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413A14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47</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4E509F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重大及以上环境污染事故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83C4AE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依据CPIC制度执行</w:t>
            </w:r>
          </w:p>
        </w:tc>
      </w:tr>
      <w:tr w14:paraId="276CC040">
        <w:tblPrEx>
          <w:tblCellMar>
            <w:top w:w="0" w:type="dxa"/>
            <w:left w:w="108" w:type="dxa"/>
            <w:bottom w:w="0" w:type="dxa"/>
            <w:right w:w="108" w:type="dxa"/>
          </w:tblCellMar>
        </w:tblPrEx>
        <w:trPr>
          <w:trHeight w:val="700"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F1C8FB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    说明：事故级别依据《人体损伤程度鉴定标准》、CPIC《事故管理办法》的规定进行判定。事故给建设单位或第三方人员、财产造成损失的，直接经济损失应另计赔偿额。以上CPIC制度如有更新以最新制度标准为准。</w:t>
            </w:r>
          </w:p>
        </w:tc>
      </w:tr>
      <w:tr w14:paraId="18D705CB">
        <w:tblPrEx>
          <w:tblCellMar>
            <w:top w:w="0" w:type="dxa"/>
            <w:left w:w="108" w:type="dxa"/>
            <w:bottom w:w="0" w:type="dxa"/>
            <w:right w:w="108" w:type="dxa"/>
          </w:tblCellMar>
        </w:tblPrEx>
        <w:trPr>
          <w:trHeight w:val="401"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3B236B4">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序号</w:t>
            </w:r>
          </w:p>
        </w:tc>
        <w:tc>
          <w:tcPr>
            <w:tcW w:w="8077" w:type="dxa"/>
            <w:gridSpan w:val="3"/>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6D60B78">
            <w:pPr>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奖励条款</w:t>
            </w:r>
          </w:p>
        </w:tc>
        <w:tc>
          <w:tcPr>
            <w:tcW w:w="1387"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B9989B8">
            <w:pPr>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奖励金额</w:t>
            </w:r>
          </w:p>
        </w:tc>
      </w:tr>
      <w:tr w14:paraId="283E5776">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BA2F0E8">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48</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3203D693">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项目配备注册安全工程师（中级及以上）并保证入场执业时间</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3D881B7">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≦2000</w:t>
            </w:r>
          </w:p>
        </w:tc>
      </w:tr>
      <w:tr w14:paraId="700195A0">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DD81B77">
            <w:pPr>
              <w:widowControl/>
              <w:jc w:val="center"/>
              <w:textAlignment w:val="center"/>
              <w:rPr>
                <w:rFonts w:ascii="等线" w:hAnsi="等线" w:eastAsia="等线" w:cs="等线"/>
                <w:color w:val="auto"/>
                <w:kern w:val="0"/>
                <w:sz w:val="22"/>
                <w:highlight w:val="none"/>
                <w:lang w:bidi="ar"/>
              </w:rPr>
            </w:pPr>
            <w:r>
              <w:rPr>
                <w:rFonts w:ascii="等线" w:hAnsi="等线" w:eastAsia="等线" w:cs="等线"/>
                <w:color w:val="auto"/>
                <w:kern w:val="0"/>
                <w:sz w:val="22"/>
                <w:highlight w:val="none"/>
                <w:lang w:bidi="ar"/>
              </w:rPr>
              <w:t>4</w:t>
            </w:r>
            <w:r>
              <w:rPr>
                <w:rFonts w:hint="eastAsia" w:ascii="等线" w:hAnsi="等线" w:eastAsia="等线" w:cs="等线"/>
                <w:color w:val="auto"/>
                <w:kern w:val="0"/>
                <w:sz w:val="22"/>
                <w:highlight w:val="none"/>
                <w:lang w:bidi="ar"/>
              </w:rPr>
              <w:t>9</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74A2F72F">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政府、建设单位组织的承包商考评中获得优秀</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A39A3F0">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≦5000</w:t>
            </w:r>
          </w:p>
        </w:tc>
      </w:tr>
      <w:tr w14:paraId="50DFC23C">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522A8A9">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50</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1186120A">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加大投入力度，采用较行业更安全防护措施。</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4B130EF">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w:t>
            </w:r>
          </w:p>
        </w:tc>
      </w:tr>
      <w:tr w14:paraId="26B16C18">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6220D7B">
            <w:pPr>
              <w:widowControl/>
              <w:jc w:val="center"/>
              <w:textAlignment w:val="center"/>
              <w:rPr>
                <w:rFonts w:ascii="等线" w:hAnsi="等线" w:eastAsia="等线" w:cs="等线"/>
                <w:color w:val="auto"/>
                <w:kern w:val="0"/>
                <w:sz w:val="22"/>
                <w:highlight w:val="none"/>
                <w:lang w:bidi="ar"/>
              </w:rPr>
            </w:pPr>
            <w:r>
              <w:rPr>
                <w:rFonts w:ascii="等线" w:hAnsi="等线" w:eastAsia="等线" w:cs="等线"/>
                <w:color w:val="auto"/>
                <w:kern w:val="0"/>
                <w:sz w:val="22"/>
                <w:highlight w:val="none"/>
                <w:lang w:bidi="ar"/>
              </w:rPr>
              <w:t>5</w:t>
            </w:r>
            <w:r>
              <w:rPr>
                <w:rFonts w:hint="eastAsia" w:ascii="等线" w:hAnsi="等线" w:eastAsia="等线" w:cs="等线"/>
                <w:color w:val="auto"/>
                <w:kern w:val="0"/>
                <w:sz w:val="22"/>
                <w:highlight w:val="none"/>
                <w:lang w:bidi="ar"/>
              </w:rPr>
              <w:t>1</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6DB82034">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率先创新实施有代表性并可广泛推广的安全措施</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7EE0012">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w:t>
            </w:r>
          </w:p>
        </w:tc>
      </w:tr>
      <w:tr w14:paraId="7C32A51D">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9A66F29">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52</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76475BE8">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积极发现他方安全隐患、安全违章。</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B5E6A8B">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≦1000</w:t>
            </w:r>
          </w:p>
        </w:tc>
      </w:tr>
      <w:tr w14:paraId="61EC2631">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BF161B4">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53</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1936A127">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为业主方提供安全合理化管理建议并被采纳，组织开展安全规范化创建活动并取得良好效果。</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FE4BAC9">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w:t>
            </w:r>
          </w:p>
        </w:tc>
      </w:tr>
      <w:tr w14:paraId="02E44484">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CB5AD75">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54</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16D88004">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施工现场安全文明受到政府主管部门、建设单位高层领导表彰</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5DFD59C">
            <w:pPr>
              <w:widowControl/>
              <w:jc w:val="left"/>
              <w:textAlignment w:val="center"/>
              <w:rPr>
                <w:rFonts w:ascii="等线" w:hAnsi="等线" w:eastAsia="等线" w:cs="等线"/>
                <w:b/>
                <w:color w:val="auto"/>
                <w:kern w:val="0"/>
                <w:sz w:val="22"/>
                <w:highlight w:val="none"/>
                <w:lang w:bidi="ar"/>
              </w:rPr>
            </w:pPr>
            <w:r>
              <w:rPr>
                <w:rFonts w:hint="eastAsia" w:ascii="等线" w:hAnsi="等线" w:eastAsia="等线" w:cs="等线"/>
                <w:color w:val="auto"/>
                <w:kern w:val="0"/>
                <w:sz w:val="22"/>
                <w:highlight w:val="none"/>
                <w:lang w:bidi="ar"/>
              </w:rPr>
              <w:t>≦3000</w:t>
            </w:r>
          </w:p>
        </w:tc>
      </w:tr>
      <w:tr w14:paraId="2C814443">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83EF32C">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55</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25629C76">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积极保护建设单位资产，减少损失，采取措施，为建设单位节约投资。</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C404A18">
            <w:pPr>
              <w:widowControl/>
              <w:jc w:val="left"/>
              <w:textAlignment w:val="center"/>
              <w:rPr>
                <w:rFonts w:ascii="等线" w:hAnsi="等线" w:eastAsia="等线" w:cs="等线"/>
                <w:b/>
                <w:color w:val="auto"/>
                <w:kern w:val="0"/>
                <w:sz w:val="22"/>
                <w:highlight w:val="none"/>
                <w:lang w:bidi="ar"/>
              </w:rPr>
            </w:pPr>
            <w:r>
              <w:rPr>
                <w:rFonts w:hint="eastAsia" w:ascii="等线" w:hAnsi="等线" w:eastAsia="等线" w:cs="等线"/>
                <w:color w:val="auto"/>
                <w:kern w:val="0"/>
                <w:sz w:val="22"/>
                <w:highlight w:val="none"/>
                <w:lang w:bidi="ar"/>
              </w:rPr>
              <w:t>≦3000</w:t>
            </w:r>
          </w:p>
        </w:tc>
      </w:tr>
      <w:tr w14:paraId="65D9AEFF">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0BD5587E">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56</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0F759848">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积极配合处理建设单位生产、建设过程中的突发事件。</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A72057C">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≦10000</w:t>
            </w:r>
          </w:p>
        </w:tc>
      </w:tr>
      <w:tr w14:paraId="0030E62F">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8AEDE47">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57</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7AE482C5">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积极清理非自身产生的垃圾，为项目非本单位人员提供场所安全防护、照明、指示、厕所、会议室、饮用水等生活、工作基础设施。</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2CBD1E4">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w:t>
            </w:r>
          </w:p>
        </w:tc>
      </w:tr>
      <w:tr w14:paraId="4FC86268">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15F6A72">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58</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1BD0116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安全生产 “吹哨人” 及时、准确报告内部安全隐患</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FE5E48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按安全环保部审核金额的10%计算且不超过5000元</w:t>
            </w:r>
          </w:p>
        </w:tc>
      </w:tr>
    </w:tbl>
    <w:p w14:paraId="337BBAFE">
      <w:pPr>
        <w:pStyle w:val="12"/>
        <w:autoSpaceDE w:val="0"/>
        <w:spacing w:line="360" w:lineRule="auto"/>
        <w:rPr>
          <w:rFonts w:ascii="宋体" w:hAnsi="宋体" w:cs="宋体"/>
          <w:b/>
          <w:bCs/>
          <w:color w:val="auto"/>
          <w:highlight w:val="none"/>
          <w:lang w:bidi="ar"/>
        </w:rPr>
      </w:pPr>
    </w:p>
    <w:p w14:paraId="7794D0B2">
      <w:pPr>
        <w:widowControl/>
        <w:jc w:val="left"/>
        <w:rPr>
          <w:rFonts w:ascii="宋体" w:hAnsi="宋体" w:cs="宋体"/>
          <w:b/>
          <w:bCs/>
          <w:color w:val="auto"/>
          <w:kern w:val="0"/>
          <w:highlight w:val="none"/>
          <w:lang w:bidi="ar"/>
        </w:rPr>
      </w:pPr>
      <w:r>
        <w:rPr>
          <w:rFonts w:ascii="宋体" w:hAnsi="宋体" w:cs="宋体"/>
          <w:b/>
          <w:bCs/>
          <w:color w:val="auto"/>
          <w:kern w:val="0"/>
          <w:highlight w:val="none"/>
          <w:lang w:bidi="ar"/>
        </w:rPr>
        <w:br w:type="page"/>
      </w:r>
    </w:p>
    <w:p w14:paraId="3ECD9709">
      <w:pPr>
        <w:widowControl/>
        <w:jc w:val="left"/>
        <w:rPr>
          <w:rFonts w:ascii="宋体" w:hAnsi="宋体" w:cs="宋体"/>
          <w:b/>
          <w:bCs/>
          <w:color w:val="auto"/>
          <w:kern w:val="0"/>
          <w:sz w:val="24"/>
          <w:highlight w:val="none"/>
          <w:lang w:bidi="ar"/>
        </w:rPr>
      </w:pPr>
    </w:p>
    <w:p w14:paraId="5D89F624">
      <w:pPr>
        <w:pStyle w:val="12"/>
        <w:autoSpaceDE w:val="0"/>
        <w:spacing w:line="360" w:lineRule="auto"/>
        <w:jc w:val="center"/>
        <w:rPr>
          <w:rFonts w:ascii="宋体" w:hAnsi="宋体" w:cs="宋体"/>
          <w:color w:val="auto"/>
          <w:highlight w:val="none"/>
        </w:rPr>
      </w:pPr>
      <w:r>
        <w:rPr>
          <w:rFonts w:hint="eastAsia" w:ascii="宋体" w:hAnsi="宋体" w:cs="宋体"/>
          <w:b/>
          <w:bCs/>
          <w:color w:val="auto"/>
          <w:highlight w:val="none"/>
          <w:lang w:bidi="ar"/>
        </w:rPr>
        <w:t>附件 2、零事故奖励</w:t>
      </w:r>
    </w:p>
    <w:tbl>
      <w:tblPr>
        <w:tblStyle w:val="13"/>
        <w:tblW w:w="103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58"/>
        <w:gridCol w:w="2694"/>
        <w:gridCol w:w="3969"/>
        <w:gridCol w:w="1648"/>
        <w:gridCol w:w="17"/>
      </w:tblGrid>
      <w:tr w14:paraId="5B725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noWrap w:val="0"/>
            <w:vAlign w:val="top"/>
          </w:tcPr>
          <w:p w14:paraId="115E6D78">
            <w:pPr>
              <w:pStyle w:val="22"/>
              <w:ind w:firstLine="0" w:firstLineChars="0"/>
              <w:jc w:val="center"/>
              <w:rPr>
                <w:color w:val="auto"/>
                <w:szCs w:val="18"/>
                <w:highlight w:val="none"/>
              </w:rPr>
            </w:pPr>
            <w:r>
              <w:rPr>
                <w:rFonts w:hint="eastAsia"/>
                <w:color w:val="auto"/>
                <w:szCs w:val="18"/>
                <w:highlight w:val="none"/>
              </w:rPr>
              <w:t>类别</w:t>
            </w:r>
          </w:p>
        </w:tc>
        <w:tc>
          <w:tcPr>
            <w:tcW w:w="2694" w:type="dxa"/>
            <w:noWrap w:val="0"/>
            <w:vAlign w:val="top"/>
          </w:tcPr>
          <w:p w14:paraId="581A9644">
            <w:pPr>
              <w:pStyle w:val="22"/>
              <w:ind w:firstLine="0" w:firstLineChars="0"/>
              <w:jc w:val="center"/>
              <w:rPr>
                <w:color w:val="auto"/>
                <w:szCs w:val="18"/>
                <w:highlight w:val="none"/>
              </w:rPr>
            </w:pPr>
            <w:r>
              <w:rPr>
                <w:rFonts w:hint="eastAsia"/>
                <w:color w:val="auto"/>
                <w:szCs w:val="18"/>
                <w:highlight w:val="none"/>
              </w:rPr>
              <w:t>条件</w:t>
            </w:r>
          </w:p>
        </w:tc>
        <w:tc>
          <w:tcPr>
            <w:tcW w:w="3969" w:type="dxa"/>
            <w:noWrap w:val="0"/>
            <w:vAlign w:val="top"/>
          </w:tcPr>
          <w:p w14:paraId="639531BF">
            <w:pPr>
              <w:pStyle w:val="22"/>
              <w:ind w:firstLine="0" w:firstLineChars="0"/>
              <w:jc w:val="center"/>
              <w:rPr>
                <w:color w:val="auto"/>
                <w:szCs w:val="18"/>
                <w:highlight w:val="none"/>
              </w:rPr>
            </w:pPr>
            <w:r>
              <w:rPr>
                <w:rFonts w:hint="eastAsia"/>
                <w:color w:val="auto"/>
                <w:szCs w:val="18"/>
                <w:highlight w:val="none"/>
              </w:rPr>
              <w:t>内容</w:t>
            </w:r>
          </w:p>
        </w:tc>
        <w:tc>
          <w:tcPr>
            <w:tcW w:w="1648" w:type="dxa"/>
            <w:noWrap w:val="0"/>
            <w:vAlign w:val="top"/>
          </w:tcPr>
          <w:p w14:paraId="79EED982">
            <w:pPr>
              <w:pStyle w:val="22"/>
              <w:ind w:firstLine="0" w:firstLineChars="0"/>
              <w:jc w:val="center"/>
              <w:rPr>
                <w:color w:val="auto"/>
                <w:szCs w:val="18"/>
                <w:highlight w:val="none"/>
              </w:rPr>
            </w:pPr>
            <w:r>
              <w:rPr>
                <w:rFonts w:hint="eastAsia"/>
                <w:color w:val="auto"/>
                <w:szCs w:val="18"/>
                <w:highlight w:val="none"/>
              </w:rPr>
              <w:t>奖励</w:t>
            </w:r>
          </w:p>
        </w:tc>
      </w:tr>
      <w:tr w14:paraId="29540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noWrap w:val="0"/>
            <w:vAlign w:val="center"/>
          </w:tcPr>
          <w:p w14:paraId="72FE9968">
            <w:pPr>
              <w:pStyle w:val="22"/>
              <w:ind w:firstLine="0" w:firstLineChars="0"/>
              <w:jc w:val="center"/>
              <w:rPr>
                <w:color w:val="auto"/>
                <w:szCs w:val="18"/>
                <w:highlight w:val="none"/>
              </w:rPr>
            </w:pPr>
            <w:r>
              <w:rPr>
                <w:rFonts w:hint="eastAsia"/>
                <w:color w:val="auto"/>
                <w:szCs w:val="18"/>
                <w:highlight w:val="none"/>
              </w:rPr>
              <w:t>运行维护单位</w:t>
            </w:r>
          </w:p>
        </w:tc>
        <w:tc>
          <w:tcPr>
            <w:tcW w:w="2694" w:type="dxa"/>
            <w:noWrap w:val="0"/>
            <w:vAlign w:val="top"/>
          </w:tcPr>
          <w:p w14:paraId="7FFAB426">
            <w:pPr>
              <w:pStyle w:val="22"/>
              <w:ind w:firstLine="0" w:firstLineChars="0"/>
              <w:rPr>
                <w:color w:val="auto"/>
                <w:szCs w:val="18"/>
                <w:highlight w:val="none"/>
              </w:rPr>
            </w:pPr>
            <w:r>
              <w:rPr>
                <w:rFonts w:hint="eastAsia"/>
                <w:color w:val="auto"/>
                <w:szCs w:val="18"/>
                <w:highlight w:val="none"/>
              </w:rPr>
              <w:t>累计无事故工时≧10万小时</w:t>
            </w:r>
          </w:p>
        </w:tc>
        <w:tc>
          <w:tcPr>
            <w:tcW w:w="3969" w:type="dxa"/>
            <w:noWrap w:val="0"/>
            <w:vAlign w:val="top"/>
          </w:tcPr>
          <w:p w14:paraId="7F7443D8">
            <w:pPr>
              <w:pStyle w:val="22"/>
              <w:ind w:firstLine="0" w:firstLineChars="0"/>
              <w:rPr>
                <w:color w:val="auto"/>
                <w:szCs w:val="18"/>
                <w:highlight w:val="none"/>
              </w:rPr>
            </w:pPr>
            <w:r>
              <w:rPr>
                <w:rFonts w:hint="eastAsia"/>
                <w:color w:val="auto"/>
                <w:szCs w:val="18"/>
                <w:highlight w:val="none"/>
              </w:rPr>
              <w:t>火灾、环保、微伤事故为零</w:t>
            </w:r>
          </w:p>
        </w:tc>
        <w:tc>
          <w:tcPr>
            <w:tcW w:w="1648" w:type="dxa"/>
            <w:noWrap w:val="0"/>
            <w:vAlign w:val="center"/>
          </w:tcPr>
          <w:p w14:paraId="2D1594A5">
            <w:pPr>
              <w:pStyle w:val="22"/>
              <w:ind w:firstLine="0" w:firstLineChars="0"/>
              <w:rPr>
                <w:color w:val="auto"/>
                <w:szCs w:val="18"/>
                <w:highlight w:val="none"/>
              </w:rPr>
            </w:pPr>
            <w:r>
              <w:rPr>
                <w:rFonts w:hint="eastAsia"/>
                <w:color w:val="auto"/>
                <w:szCs w:val="18"/>
                <w:highlight w:val="none"/>
              </w:rPr>
              <w:t>5000元</w:t>
            </w:r>
          </w:p>
        </w:tc>
      </w:tr>
      <w:tr w14:paraId="2D2A6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noWrap w:val="0"/>
            <w:vAlign w:val="center"/>
          </w:tcPr>
          <w:p w14:paraId="425AA411">
            <w:pPr>
              <w:pStyle w:val="22"/>
              <w:ind w:firstLine="0" w:firstLineChars="0"/>
              <w:jc w:val="center"/>
              <w:rPr>
                <w:color w:val="auto"/>
                <w:szCs w:val="18"/>
                <w:highlight w:val="none"/>
              </w:rPr>
            </w:pPr>
            <w:r>
              <w:rPr>
                <w:rFonts w:hint="eastAsia"/>
                <w:color w:val="auto"/>
                <w:szCs w:val="18"/>
                <w:highlight w:val="none"/>
              </w:rPr>
              <w:t>检维修单位</w:t>
            </w:r>
          </w:p>
        </w:tc>
        <w:tc>
          <w:tcPr>
            <w:tcW w:w="2694" w:type="dxa"/>
            <w:noWrap w:val="0"/>
            <w:vAlign w:val="top"/>
          </w:tcPr>
          <w:p w14:paraId="749889B1">
            <w:pPr>
              <w:pStyle w:val="22"/>
              <w:ind w:firstLine="0" w:firstLineChars="0"/>
              <w:rPr>
                <w:color w:val="auto"/>
                <w:szCs w:val="18"/>
                <w:highlight w:val="none"/>
              </w:rPr>
            </w:pPr>
            <w:r>
              <w:rPr>
                <w:rFonts w:hint="eastAsia"/>
                <w:color w:val="auto"/>
                <w:szCs w:val="18"/>
                <w:highlight w:val="none"/>
              </w:rPr>
              <w:t>累计建安费≧1000万元</w:t>
            </w:r>
          </w:p>
        </w:tc>
        <w:tc>
          <w:tcPr>
            <w:tcW w:w="3969" w:type="dxa"/>
            <w:noWrap w:val="0"/>
            <w:vAlign w:val="top"/>
          </w:tcPr>
          <w:p w14:paraId="36553231">
            <w:pPr>
              <w:pStyle w:val="22"/>
              <w:ind w:firstLine="0" w:firstLineChars="0"/>
              <w:rPr>
                <w:color w:val="auto"/>
                <w:szCs w:val="18"/>
                <w:highlight w:val="none"/>
              </w:rPr>
            </w:pPr>
            <w:r>
              <w:rPr>
                <w:rFonts w:hint="eastAsia"/>
                <w:color w:val="auto"/>
                <w:szCs w:val="18"/>
                <w:highlight w:val="none"/>
              </w:rPr>
              <w:t>火灾、环保、微伤事故为零</w:t>
            </w:r>
          </w:p>
        </w:tc>
        <w:tc>
          <w:tcPr>
            <w:tcW w:w="1648" w:type="dxa"/>
            <w:noWrap w:val="0"/>
            <w:vAlign w:val="center"/>
          </w:tcPr>
          <w:p w14:paraId="28C2DEE3">
            <w:pPr>
              <w:pStyle w:val="22"/>
              <w:ind w:firstLine="0" w:firstLineChars="0"/>
              <w:rPr>
                <w:color w:val="auto"/>
                <w:szCs w:val="18"/>
                <w:highlight w:val="none"/>
              </w:rPr>
            </w:pPr>
            <w:r>
              <w:rPr>
                <w:color w:val="auto"/>
                <w:szCs w:val="18"/>
                <w:highlight w:val="none"/>
              </w:rPr>
              <w:t>2</w:t>
            </w:r>
            <w:r>
              <w:rPr>
                <w:rFonts w:hint="eastAsia"/>
                <w:color w:val="auto"/>
                <w:szCs w:val="18"/>
                <w:highlight w:val="none"/>
              </w:rPr>
              <w:t>万元</w:t>
            </w:r>
          </w:p>
        </w:tc>
      </w:tr>
      <w:tr w14:paraId="5038B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vMerge w:val="restart"/>
            <w:noWrap w:val="0"/>
            <w:vAlign w:val="center"/>
          </w:tcPr>
          <w:p w14:paraId="05DF6525">
            <w:pPr>
              <w:pStyle w:val="22"/>
              <w:ind w:firstLine="0" w:firstLineChars="0"/>
              <w:jc w:val="center"/>
              <w:rPr>
                <w:color w:val="auto"/>
                <w:szCs w:val="18"/>
                <w:highlight w:val="none"/>
              </w:rPr>
            </w:pPr>
            <w:r>
              <w:rPr>
                <w:rFonts w:hint="eastAsia"/>
                <w:color w:val="auto"/>
                <w:szCs w:val="18"/>
                <w:highlight w:val="none"/>
              </w:rPr>
              <w:t>工程项目土建、安装单位</w:t>
            </w:r>
          </w:p>
        </w:tc>
        <w:tc>
          <w:tcPr>
            <w:tcW w:w="2694" w:type="dxa"/>
            <w:noWrap w:val="0"/>
            <w:vAlign w:val="center"/>
          </w:tcPr>
          <w:p w14:paraId="26E425AA">
            <w:pPr>
              <w:pStyle w:val="22"/>
              <w:ind w:firstLine="0" w:firstLineChars="0"/>
              <w:rPr>
                <w:color w:val="auto"/>
                <w:szCs w:val="18"/>
                <w:highlight w:val="none"/>
              </w:rPr>
            </w:pPr>
            <w:r>
              <w:rPr>
                <w:rFonts w:hint="eastAsia"/>
                <w:color w:val="auto"/>
                <w:szCs w:val="18"/>
                <w:highlight w:val="none"/>
              </w:rPr>
              <w:t>200万元≦建安费用Y≦</w:t>
            </w:r>
            <w:r>
              <w:rPr>
                <w:color w:val="auto"/>
                <w:szCs w:val="18"/>
                <w:highlight w:val="none"/>
              </w:rPr>
              <w:t>1</w:t>
            </w:r>
            <w:r>
              <w:rPr>
                <w:rFonts w:hint="eastAsia"/>
                <w:color w:val="auto"/>
                <w:szCs w:val="18"/>
                <w:highlight w:val="none"/>
              </w:rPr>
              <w:t xml:space="preserve">000万元， </w:t>
            </w:r>
          </w:p>
        </w:tc>
        <w:tc>
          <w:tcPr>
            <w:tcW w:w="3969" w:type="dxa"/>
            <w:noWrap w:val="0"/>
            <w:vAlign w:val="top"/>
          </w:tcPr>
          <w:p w14:paraId="62D52367">
            <w:pPr>
              <w:pStyle w:val="22"/>
              <w:ind w:firstLine="0" w:firstLineChars="0"/>
              <w:rPr>
                <w:color w:val="auto"/>
                <w:szCs w:val="18"/>
                <w:highlight w:val="none"/>
              </w:rPr>
            </w:pPr>
            <w:r>
              <w:rPr>
                <w:rFonts w:hint="eastAsia"/>
                <w:color w:val="auto"/>
                <w:szCs w:val="18"/>
                <w:highlight w:val="none"/>
              </w:rPr>
              <w:t>火灾、环保、微伤事故为零</w:t>
            </w:r>
          </w:p>
          <w:p w14:paraId="7A2C06FF">
            <w:pPr>
              <w:pStyle w:val="22"/>
              <w:ind w:firstLine="0" w:firstLineChars="0"/>
              <w:rPr>
                <w:color w:val="auto"/>
                <w:szCs w:val="18"/>
                <w:highlight w:val="none"/>
              </w:rPr>
            </w:pPr>
            <w:r>
              <w:rPr>
                <w:rFonts w:hint="eastAsia"/>
                <w:color w:val="auto"/>
                <w:szCs w:val="18"/>
                <w:highlight w:val="none"/>
              </w:rPr>
              <w:t>承包商安全评价得分在8</w:t>
            </w:r>
            <w:r>
              <w:rPr>
                <w:color w:val="auto"/>
                <w:szCs w:val="18"/>
                <w:highlight w:val="none"/>
              </w:rPr>
              <w:t>0</w:t>
            </w:r>
            <w:r>
              <w:rPr>
                <w:rFonts w:hint="eastAsia"/>
                <w:color w:val="auto"/>
                <w:szCs w:val="18"/>
                <w:highlight w:val="none"/>
              </w:rPr>
              <w:t>分及以上</w:t>
            </w:r>
          </w:p>
        </w:tc>
        <w:tc>
          <w:tcPr>
            <w:tcW w:w="1648" w:type="dxa"/>
            <w:noWrap w:val="0"/>
            <w:vAlign w:val="center"/>
          </w:tcPr>
          <w:p w14:paraId="30A70C63">
            <w:pPr>
              <w:pStyle w:val="22"/>
              <w:ind w:firstLine="0" w:firstLineChars="0"/>
              <w:rPr>
                <w:color w:val="auto"/>
                <w:szCs w:val="18"/>
                <w:highlight w:val="none"/>
              </w:rPr>
            </w:pPr>
            <w:r>
              <w:rPr>
                <w:color w:val="auto"/>
                <w:szCs w:val="18"/>
                <w:highlight w:val="none"/>
              </w:rPr>
              <w:t>2</w:t>
            </w:r>
            <w:r>
              <w:rPr>
                <w:rFonts w:hint="eastAsia"/>
                <w:color w:val="auto"/>
                <w:szCs w:val="18"/>
                <w:highlight w:val="none"/>
              </w:rPr>
              <w:t>万元</w:t>
            </w:r>
          </w:p>
        </w:tc>
      </w:tr>
      <w:tr w14:paraId="687DA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vMerge w:val="continue"/>
            <w:noWrap w:val="0"/>
            <w:vAlign w:val="center"/>
          </w:tcPr>
          <w:p w14:paraId="27E848D7">
            <w:pPr>
              <w:pStyle w:val="22"/>
              <w:ind w:firstLine="0" w:firstLineChars="0"/>
              <w:rPr>
                <w:color w:val="auto"/>
                <w:szCs w:val="18"/>
                <w:highlight w:val="none"/>
              </w:rPr>
            </w:pPr>
          </w:p>
        </w:tc>
        <w:tc>
          <w:tcPr>
            <w:tcW w:w="2694" w:type="dxa"/>
            <w:noWrap w:val="0"/>
            <w:vAlign w:val="center"/>
          </w:tcPr>
          <w:p w14:paraId="265778D7">
            <w:pPr>
              <w:pStyle w:val="22"/>
              <w:ind w:firstLine="0" w:firstLineChars="0"/>
              <w:rPr>
                <w:color w:val="auto"/>
                <w:szCs w:val="18"/>
                <w:highlight w:val="none"/>
              </w:rPr>
            </w:pPr>
            <w:r>
              <w:rPr>
                <w:color w:val="auto"/>
                <w:szCs w:val="18"/>
                <w:highlight w:val="none"/>
              </w:rPr>
              <w:t>1</w:t>
            </w:r>
            <w:r>
              <w:rPr>
                <w:rFonts w:hint="eastAsia"/>
                <w:color w:val="auto"/>
                <w:szCs w:val="18"/>
                <w:highlight w:val="none"/>
              </w:rPr>
              <w:t>0</w:t>
            </w:r>
            <w:r>
              <w:rPr>
                <w:color w:val="auto"/>
                <w:szCs w:val="18"/>
                <w:highlight w:val="none"/>
              </w:rPr>
              <w:t>0</w:t>
            </w:r>
            <w:r>
              <w:rPr>
                <w:rFonts w:hint="eastAsia"/>
                <w:color w:val="auto"/>
                <w:szCs w:val="18"/>
                <w:highlight w:val="none"/>
              </w:rPr>
              <w:t xml:space="preserve">0万元≦建安费用Y≦3000万元； </w:t>
            </w:r>
          </w:p>
        </w:tc>
        <w:tc>
          <w:tcPr>
            <w:tcW w:w="3969" w:type="dxa"/>
            <w:noWrap w:val="0"/>
            <w:vAlign w:val="top"/>
          </w:tcPr>
          <w:p w14:paraId="255C36A3">
            <w:pPr>
              <w:pStyle w:val="22"/>
              <w:ind w:firstLine="0" w:firstLineChars="0"/>
              <w:rPr>
                <w:color w:val="auto"/>
                <w:szCs w:val="18"/>
                <w:highlight w:val="none"/>
              </w:rPr>
            </w:pPr>
            <w:r>
              <w:rPr>
                <w:rFonts w:hint="eastAsia"/>
                <w:color w:val="auto"/>
                <w:szCs w:val="18"/>
                <w:highlight w:val="none"/>
              </w:rPr>
              <w:t>火灾、环保、微伤事故为零</w:t>
            </w:r>
          </w:p>
          <w:p w14:paraId="391B0E47">
            <w:pPr>
              <w:pStyle w:val="22"/>
              <w:ind w:firstLine="0" w:firstLineChars="0"/>
              <w:rPr>
                <w:color w:val="auto"/>
                <w:szCs w:val="18"/>
                <w:highlight w:val="none"/>
              </w:rPr>
            </w:pPr>
            <w:r>
              <w:rPr>
                <w:rFonts w:hint="eastAsia"/>
                <w:color w:val="auto"/>
                <w:szCs w:val="18"/>
                <w:highlight w:val="none"/>
              </w:rPr>
              <w:t>承包商安全评价得分在8</w:t>
            </w:r>
            <w:r>
              <w:rPr>
                <w:color w:val="auto"/>
                <w:szCs w:val="18"/>
                <w:highlight w:val="none"/>
              </w:rPr>
              <w:t>0</w:t>
            </w:r>
            <w:r>
              <w:rPr>
                <w:rFonts w:hint="eastAsia"/>
                <w:color w:val="auto"/>
                <w:szCs w:val="18"/>
                <w:highlight w:val="none"/>
              </w:rPr>
              <w:t>分及以上</w:t>
            </w:r>
          </w:p>
        </w:tc>
        <w:tc>
          <w:tcPr>
            <w:tcW w:w="1648" w:type="dxa"/>
            <w:noWrap w:val="0"/>
            <w:vAlign w:val="center"/>
          </w:tcPr>
          <w:p w14:paraId="1D5C086F">
            <w:pPr>
              <w:pStyle w:val="22"/>
              <w:ind w:firstLine="0" w:firstLineChars="0"/>
              <w:rPr>
                <w:color w:val="auto"/>
                <w:szCs w:val="18"/>
                <w:highlight w:val="none"/>
              </w:rPr>
            </w:pPr>
            <w:r>
              <w:rPr>
                <w:rFonts w:hint="eastAsia"/>
                <w:color w:val="auto"/>
                <w:szCs w:val="18"/>
                <w:highlight w:val="none"/>
              </w:rPr>
              <w:t>5万元</w:t>
            </w:r>
          </w:p>
        </w:tc>
      </w:tr>
      <w:tr w14:paraId="2AE9E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vMerge w:val="continue"/>
            <w:noWrap w:val="0"/>
            <w:vAlign w:val="top"/>
          </w:tcPr>
          <w:p w14:paraId="0B5B8720">
            <w:pPr>
              <w:pStyle w:val="22"/>
              <w:ind w:firstLine="0" w:firstLineChars="0"/>
              <w:rPr>
                <w:color w:val="auto"/>
                <w:szCs w:val="18"/>
                <w:highlight w:val="none"/>
              </w:rPr>
            </w:pPr>
          </w:p>
        </w:tc>
        <w:tc>
          <w:tcPr>
            <w:tcW w:w="2694" w:type="dxa"/>
            <w:noWrap w:val="0"/>
            <w:vAlign w:val="center"/>
          </w:tcPr>
          <w:p w14:paraId="6F927D15">
            <w:pPr>
              <w:pStyle w:val="22"/>
              <w:ind w:firstLine="0" w:firstLineChars="0"/>
              <w:rPr>
                <w:color w:val="auto"/>
                <w:szCs w:val="18"/>
                <w:highlight w:val="none"/>
              </w:rPr>
            </w:pPr>
            <w:r>
              <w:rPr>
                <w:rFonts w:hint="eastAsia"/>
                <w:color w:val="auto"/>
                <w:szCs w:val="18"/>
                <w:highlight w:val="none"/>
              </w:rPr>
              <w:t>3000万元≦建安费用Y≦1亿元</w:t>
            </w:r>
          </w:p>
        </w:tc>
        <w:tc>
          <w:tcPr>
            <w:tcW w:w="3969" w:type="dxa"/>
            <w:noWrap w:val="0"/>
            <w:vAlign w:val="top"/>
          </w:tcPr>
          <w:p w14:paraId="632D115D">
            <w:pPr>
              <w:pStyle w:val="22"/>
              <w:ind w:firstLine="0" w:firstLineChars="0"/>
              <w:rPr>
                <w:color w:val="auto"/>
                <w:szCs w:val="18"/>
                <w:highlight w:val="none"/>
              </w:rPr>
            </w:pPr>
            <w:r>
              <w:rPr>
                <w:rFonts w:hint="eastAsia"/>
                <w:color w:val="auto"/>
                <w:szCs w:val="18"/>
                <w:highlight w:val="none"/>
              </w:rPr>
              <w:t>微伤送医事故≦1起，火灾、环保、轻微伤及以上事故为零</w:t>
            </w:r>
          </w:p>
          <w:p w14:paraId="2C14BA84">
            <w:pPr>
              <w:pStyle w:val="22"/>
              <w:ind w:firstLine="0" w:firstLineChars="0"/>
              <w:rPr>
                <w:color w:val="auto"/>
                <w:szCs w:val="18"/>
                <w:highlight w:val="none"/>
              </w:rPr>
            </w:pPr>
            <w:r>
              <w:rPr>
                <w:rFonts w:hint="eastAsia"/>
                <w:color w:val="auto"/>
                <w:szCs w:val="18"/>
                <w:highlight w:val="none"/>
              </w:rPr>
              <w:t>承包商安全评价得分在8</w:t>
            </w:r>
            <w:r>
              <w:rPr>
                <w:color w:val="auto"/>
                <w:szCs w:val="18"/>
                <w:highlight w:val="none"/>
              </w:rPr>
              <w:t>0</w:t>
            </w:r>
            <w:r>
              <w:rPr>
                <w:rFonts w:hint="eastAsia"/>
                <w:color w:val="auto"/>
                <w:szCs w:val="18"/>
                <w:highlight w:val="none"/>
              </w:rPr>
              <w:t>分及以上</w:t>
            </w:r>
          </w:p>
        </w:tc>
        <w:tc>
          <w:tcPr>
            <w:tcW w:w="1648" w:type="dxa"/>
            <w:noWrap w:val="0"/>
            <w:vAlign w:val="center"/>
          </w:tcPr>
          <w:p w14:paraId="5127A463">
            <w:pPr>
              <w:pStyle w:val="22"/>
              <w:ind w:firstLine="0" w:firstLineChars="0"/>
              <w:rPr>
                <w:color w:val="auto"/>
                <w:szCs w:val="18"/>
                <w:highlight w:val="none"/>
              </w:rPr>
            </w:pPr>
            <w:r>
              <w:rPr>
                <w:rFonts w:hint="eastAsia"/>
                <w:color w:val="auto"/>
                <w:szCs w:val="18"/>
                <w:highlight w:val="none"/>
              </w:rPr>
              <w:t>10万元</w:t>
            </w:r>
          </w:p>
        </w:tc>
      </w:tr>
      <w:tr w14:paraId="43599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8" w:type="dxa"/>
            <w:vMerge w:val="continue"/>
            <w:noWrap w:val="0"/>
            <w:vAlign w:val="top"/>
          </w:tcPr>
          <w:p w14:paraId="7C399DA2">
            <w:pPr>
              <w:pStyle w:val="22"/>
              <w:ind w:firstLine="0" w:firstLineChars="0"/>
              <w:rPr>
                <w:color w:val="auto"/>
                <w:szCs w:val="18"/>
                <w:highlight w:val="none"/>
              </w:rPr>
            </w:pPr>
          </w:p>
        </w:tc>
        <w:tc>
          <w:tcPr>
            <w:tcW w:w="2694" w:type="dxa"/>
            <w:noWrap w:val="0"/>
            <w:vAlign w:val="center"/>
          </w:tcPr>
          <w:p w14:paraId="1F123F89">
            <w:pPr>
              <w:pStyle w:val="22"/>
              <w:ind w:firstLine="0" w:firstLineChars="0"/>
              <w:rPr>
                <w:color w:val="auto"/>
                <w:szCs w:val="18"/>
                <w:highlight w:val="none"/>
              </w:rPr>
            </w:pPr>
            <w:r>
              <w:rPr>
                <w:color w:val="auto"/>
                <w:szCs w:val="18"/>
                <w:highlight w:val="none"/>
              </w:rPr>
              <w:t>1</w:t>
            </w:r>
            <w:r>
              <w:rPr>
                <w:rFonts w:hint="eastAsia"/>
                <w:color w:val="auto"/>
                <w:szCs w:val="18"/>
                <w:highlight w:val="none"/>
              </w:rPr>
              <w:t>亿元≦建安费用Y</w:t>
            </w:r>
          </w:p>
        </w:tc>
        <w:tc>
          <w:tcPr>
            <w:tcW w:w="3969" w:type="dxa"/>
            <w:noWrap w:val="0"/>
            <w:vAlign w:val="top"/>
          </w:tcPr>
          <w:p w14:paraId="345AE41B">
            <w:pPr>
              <w:pStyle w:val="22"/>
              <w:ind w:firstLine="0" w:firstLineChars="0"/>
              <w:rPr>
                <w:color w:val="auto"/>
                <w:szCs w:val="18"/>
                <w:highlight w:val="none"/>
              </w:rPr>
            </w:pPr>
            <w:r>
              <w:rPr>
                <w:rFonts w:hint="eastAsia"/>
                <w:color w:val="auto"/>
                <w:szCs w:val="18"/>
                <w:highlight w:val="none"/>
              </w:rPr>
              <w:t>微伤送医事故≦</w:t>
            </w:r>
            <w:r>
              <w:rPr>
                <w:color w:val="auto"/>
                <w:szCs w:val="18"/>
                <w:highlight w:val="none"/>
              </w:rPr>
              <w:t>3</w:t>
            </w:r>
            <w:r>
              <w:rPr>
                <w:rFonts w:hint="eastAsia"/>
                <w:color w:val="auto"/>
                <w:szCs w:val="18"/>
                <w:highlight w:val="none"/>
              </w:rPr>
              <w:t>起，火灾、环保、轻微伤及以上事故为零</w:t>
            </w:r>
          </w:p>
          <w:p w14:paraId="1279541B">
            <w:pPr>
              <w:pStyle w:val="22"/>
              <w:ind w:firstLine="0" w:firstLineChars="0"/>
              <w:rPr>
                <w:color w:val="auto"/>
                <w:szCs w:val="18"/>
                <w:highlight w:val="none"/>
              </w:rPr>
            </w:pPr>
            <w:r>
              <w:rPr>
                <w:rFonts w:hint="eastAsia"/>
                <w:color w:val="auto"/>
                <w:szCs w:val="18"/>
                <w:highlight w:val="none"/>
              </w:rPr>
              <w:t>承包商安全评价得分在8</w:t>
            </w:r>
            <w:r>
              <w:rPr>
                <w:color w:val="auto"/>
                <w:szCs w:val="18"/>
                <w:highlight w:val="none"/>
              </w:rPr>
              <w:t>0</w:t>
            </w:r>
            <w:r>
              <w:rPr>
                <w:rFonts w:hint="eastAsia"/>
                <w:color w:val="auto"/>
                <w:szCs w:val="18"/>
                <w:highlight w:val="none"/>
              </w:rPr>
              <w:t>分及以上</w:t>
            </w:r>
          </w:p>
        </w:tc>
        <w:tc>
          <w:tcPr>
            <w:tcW w:w="1665" w:type="dxa"/>
            <w:gridSpan w:val="2"/>
            <w:noWrap w:val="0"/>
            <w:vAlign w:val="center"/>
          </w:tcPr>
          <w:p w14:paraId="3B1DCD72">
            <w:pPr>
              <w:pStyle w:val="22"/>
              <w:ind w:firstLine="0" w:firstLineChars="0"/>
              <w:rPr>
                <w:color w:val="auto"/>
                <w:szCs w:val="18"/>
                <w:highlight w:val="none"/>
              </w:rPr>
            </w:pPr>
            <w:r>
              <w:rPr>
                <w:color w:val="auto"/>
                <w:szCs w:val="18"/>
                <w:highlight w:val="none"/>
              </w:rPr>
              <w:t>3</w:t>
            </w:r>
            <w:r>
              <w:rPr>
                <w:rFonts w:hint="eastAsia"/>
                <w:color w:val="auto"/>
                <w:szCs w:val="18"/>
                <w:highlight w:val="none"/>
              </w:rPr>
              <w:t>0万元</w:t>
            </w:r>
          </w:p>
        </w:tc>
      </w:tr>
    </w:tbl>
    <w:p w14:paraId="43B8948C">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5F374696">
      <w:pPr>
        <w:pStyle w:val="12"/>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highlight w:val="none"/>
          <w:lang w:bidi="ar"/>
        </w:rPr>
        <w:t>附件3：承包商评价表</w:t>
      </w:r>
    </w:p>
    <w:p w14:paraId="0203D85F">
      <w:pPr>
        <w:spacing w:before="178" w:line="351" w:lineRule="exact"/>
        <w:jc w:val="center"/>
        <w:outlineLvl w:val="1"/>
        <w:rPr>
          <w:rFonts w:ascii="Arial" w:hAnsi="Calibri"/>
          <w:color w:val="auto"/>
          <w:szCs w:val="21"/>
          <w:highlight w:val="none"/>
        </w:rPr>
      </w:pPr>
      <w:r>
        <w:rPr>
          <w:rFonts w:hint="eastAsia" w:ascii="微软雅黑" w:hAnsi="微软雅黑" w:eastAsia="微软雅黑" w:cs="微软雅黑"/>
          <w:color w:val="auto"/>
          <w:spacing w:val="25"/>
          <w:kern w:val="0"/>
          <w:position w:val="-1"/>
          <w:sz w:val="35"/>
          <w:szCs w:val="35"/>
          <w:highlight w:val="none"/>
          <w:lang w:bidi="ar"/>
        </w:rPr>
        <w:t>承包商评价表</w:t>
      </w:r>
    </w:p>
    <w:p w14:paraId="7320DDEE">
      <w:pPr>
        <w:pStyle w:val="12"/>
        <w:spacing w:before="91"/>
        <w:ind w:left="694"/>
        <w:rPr>
          <w:rFonts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bidi="ar"/>
        </w:rPr>
        <w:t>承包商名称：</w:t>
      </w:r>
    </w:p>
    <w:p w14:paraId="533BD765">
      <w:pPr>
        <w:spacing w:line="22"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23"/>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731"/>
        <w:gridCol w:w="1778"/>
      </w:tblGrid>
      <w:tr w14:paraId="4FBB4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tcBorders>
              <w:top w:val="single" w:color="000000" w:sz="2" w:space="0"/>
              <w:left w:val="single" w:color="000000" w:sz="2" w:space="0"/>
              <w:bottom w:val="single" w:color="000000" w:sz="2" w:space="0"/>
              <w:right w:val="single" w:color="000000" w:sz="2" w:space="0"/>
            </w:tcBorders>
            <w:noWrap w:val="0"/>
            <w:vAlign w:val="top"/>
          </w:tcPr>
          <w:p w14:paraId="69F83294">
            <w:pPr>
              <w:pStyle w:val="12"/>
              <w:spacing w:before="253"/>
              <w:ind w:left="162" w:right="147" w:hanging="7"/>
              <w:rPr>
                <w:rFonts w:ascii="仿宋" w:hAnsi="仿宋" w:eastAsia="仿宋" w:cs="仿宋"/>
                <w:color w:val="auto"/>
                <w:highlight w:val="none"/>
              </w:rPr>
            </w:pPr>
            <w:r>
              <w:rPr>
                <w:rFonts w:hint="eastAsia" w:ascii="仿宋" w:hAnsi="仿宋" w:eastAsia="仿宋" w:cs="仿宋"/>
                <w:color w:val="auto"/>
                <w:spacing w:val="-5"/>
                <w:highlight w:val="none"/>
                <w:lang w:bidi="ar"/>
              </w:rPr>
              <w:t>评价</w:t>
            </w:r>
            <w:r>
              <w:rPr>
                <w:rFonts w:hint="eastAsia" w:ascii="仿宋" w:hAnsi="仿宋" w:eastAsia="仿宋" w:cs="仿宋"/>
                <w:color w:val="auto"/>
                <w:spacing w:val="-9"/>
                <w:highlight w:val="none"/>
                <w:lang w:bidi="ar"/>
              </w:rPr>
              <w:t>维度</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29CAACFA">
            <w:pPr>
              <w:pStyle w:val="12"/>
              <w:spacing w:before="254"/>
              <w:ind w:left="401" w:right="155" w:hanging="238"/>
              <w:rPr>
                <w:rFonts w:ascii="仿宋" w:hAnsi="仿宋" w:eastAsia="仿宋" w:cs="仿宋"/>
                <w:color w:val="auto"/>
                <w:highlight w:val="none"/>
              </w:rPr>
            </w:pPr>
            <w:r>
              <w:rPr>
                <w:rFonts w:hint="eastAsia" w:ascii="仿宋" w:hAnsi="仿宋" w:eastAsia="仿宋" w:cs="仿宋"/>
                <w:color w:val="auto"/>
                <w:spacing w:val="-4"/>
                <w:highlight w:val="none"/>
                <w:lang w:bidi="ar"/>
              </w:rPr>
              <w:t>评价指</w:t>
            </w:r>
            <w:r>
              <w:rPr>
                <w:rFonts w:hint="eastAsia" w:ascii="仿宋" w:hAnsi="仿宋" w:eastAsia="仿宋" w:cs="仿宋"/>
                <w:color w:val="auto"/>
                <w:highlight w:val="none"/>
                <w:lang w:bidi="ar"/>
              </w:rPr>
              <w:t>标</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3174DF74">
            <w:pPr>
              <w:spacing w:line="328" w:lineRule="auto"/>
              <w:rPr>
                <w:rFonts w:ascii="Arial" w:hAnsi="Calibri"/>
                <w:color w:val="auto"/>
                <w:szCs w:val="21"/>
                <w:highlight w:val="none"/>
              </w:rPr>
            </w:pPr>
          </w:p>
          <w:p w14:paraId="5BEA4C81">
            <w:pPr>
              <w:pStyle w:val="12"/>
              <w:spacing w:before="78"/>
              <w:ind w:left="1007"/>
              <w:rPr>
                <w:rFonts w:ascii="仿宋" w:hAnsi="仿宋" w:eastAsia="仿宋" w:cs="仿宋"/>
                <w:color w:val="auto"/>
                <w:highlight w:val="none"/>
              </w:rPr>
            </w:pPr>
            <w:r>
              <w:rPr>
                <w:rFonts w:hint="eastAsia" w:ascii="仿宋" w:hAnsi="仿宋" w:eastAsia="仿宋" w:cs="仿宋"/>
                <w:color w:val="auto"/>
                <w:spacing w:val="-2"/>
                <w:highlight w:val="none"/>
                <w:lang w:bidi="ar"/>
              </w:rPr>
              <w:t>评价内容与评分标准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5B013207">
            <w:pPr>
              <w:pStyle w:val="12"/>
              <w:spacing w:before="210"/>
              <w:ind w:left="97"/>
              <w:rPr>
                <w:rFonts w:ascii="仿宋" w:hAnsi="仿宋" w:eastAsia="仿宋" w:cs="仿宋"/>
                <w:color w:val="auto"/>
                <w:highlight w:val="none"/>
              </w:rPr>
            </w:pPr>
            <w:r>
              <w:rPr>
                <w:rFonts w:hint="eastAsia" w:ascii="仿宋" w:hAnsi="仿宋" w:eastAsia="仿宋" w:cs="仿宋"/>
                <w:color w:val="auto"/>
                <w:spacing w:val="47"/>
                <w:highlight w:val="none"/>
                <w:lang w:bidi="ar"/>
              </w:rPr>
              <w:t>标准分</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03A776F0">
            <w:pPr>
              <w:pStyle w:val="12"/>
              <w:spacing w:before="121"/>
              <w:ind w:left="253"/>
              <w:rPr>
                <w:rFonts w:ascii="仿宋" w:hAnsi="仿宋" w:eastAsia="仿宋" w:cs="仿宋"/>
                <w:color w:val="auto"/>
                <w:highlight w:val="none"/>
              </w:rPr>
            </w:pPr>
            <w:r>
              <w:rPr>
                <w:rFonts w:hint="eastAsia" w:ascii="仿宋" w:hAnsi="仿宋" w:eastAsia="仿宋" w:cs="仿宋"/>
                <w:color w:val="auto"/>
                <w:spacing w:val="-1"/>
                <w:highlight w:val="none"/>
                <w:lang w:bidi="ar"/>
              </w:rPr>
              <w:t>得</w:t>
            </w:r>
            <w:r>
              <w:rPr>
                <w:rFonts w:hint="eastAsia" w:ascii="仿宋" w:hAnsi="仿宋" w:eastAsia="仿宋" w:cs="仿宋"/>
                <w:color w:val="auto"/>
                <w:spacing w:val="-47"/>
                <w:highlight w:val="none"/>
                <w:lang w:bidi="ar"/>
              </w:rPr>
              <w:t xml:space="preserve"> </w:t>
            </w:r>
            <w:r>
              <w:rPr>
                <w:rFonts w:hint="eastAsia" w:ascii="仿宋" w:hAnsi="仿宋" w:eastAsia="仿宋" w:cs="仿宋"/>
                <w:color w:val="auto"/>
                <w:spacing w:val="-1"/>
                <w:highlight w:val="none"/>
                <w:lang w:bidi="ar"/>
              </w:rPr>
              <w:t>分</w:t>
            </w: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3BBE057B">
            <w:pPr>
              <w:spacing w:line="328" w:lineRule="auto"/>
              <w:rPr>
                <w:rFonts w:ascii="Arial" w:hAnsi="Calibri"/>
                <w:color w:val="auto"/>
                <w:szCs w:val="21"/>
                <w:highlight w:val="none"/>
              </w:rPr>
            </w:pPr>
          </w:p>
          <w:p w14:paraId="2F2C892E">
            <w:pPr>
              <w:pStyle w:val="12"/>
              <w:spacing w:before="78"/>
              <w:ind w:left="535"/>
              <w:rPr>
                <w:rFonts w:ascii="仿宋" w:hAnsi="仿宋" w:eastAsia="仿宋" w:cs="仿宋"/>
                <w:color w:val="auto"/>
                <w:highlight w:val="none"/>
              </w:rPr>
            </w:pPr>
            <w:r>
              <w:rPr>
                <w:rFonts w:hint="eastAsia" w:ascii="仿宋" w:hAnsi="仿宋" w:eastAsia="仿宋" w:cs="仿宋"/>
                <w:color w:val="auto"/>
                <w:spacing w:val="-3"/>
                <w:highlight w:val="none"/>
                <w:lang w:bidi="ar"/>
              </w:rPr>
              <w:t>评分说明</w:t>
            </w:r>
          </w:p>
        </w:tc>
      </w:tr>
      <w:tr w14:paraId="347C3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restart"/>
            <w:tcBorders>
              <w:top w:val="nil"/>
              <w:left w:val="single" w:color="000000" w:sz="2" w:space="0"/>
              <w:bottom w:val="nil"/>
              <w:right w:val="single" w:color="000000" w:sz="2" w:space="0"/>
            </w:tcBorders>
            <w:noWrap w:val="0"/>
            <w:vAlign w:val="top"/>
          </w:tcPr>
          <w:p w14:paraId="3886BD59">
            <w:pPr>
              <w:spacing w:line="259" w:lineRule="auto"/>
              <w:rPr>
                <w:rFonts w:ascii="Arial" w:hAnsi="Calibri"/>
                <w:color w:val="auto"/>
                <w:szCs w:val="21"/>
                <w:highlight w:val="none"/>
              </w:rPr>
            </w:pPr>
          </w:p>
          <w:p w14:paraId="1D4C2E90">
            <w:pPr>
              <w:spacing w:line="259" w:lineRule="auto"/>
              <w:rPr>
                <w:rFonts w:ascii="Arial" w:hAnsi="Calibri"/>
                <w:color w:val="auto"/>
                <w:szCs w:val="21"/>
                <w:highlight w:val="none"/>
              </w:rPr>
            </w:pPr>
          </w:p>
          <w:p w14:paraId="34E86732">
            <w:pPr>
              <w:spacing w:line="259" w:lineRule="auto"/>
              <w:rPr>
                <w:rFonts w:ascii="Arial" w:hAnsi="Calibri"/>
                <w:color w:val="auto"/>
                <w:szCs w:val="21"/>
                <w:highlight w:val="none"/>
              </w:rPr>
            </w:pPr>
          </w:p>
          <w:p w14:paraId="323248CA">
            <w:pPr>
              <w:spacing w:line="259" w:lineRule="auto"/>
              <w:rPr>
                <w:rFonts w:ascii="Arial" w:hAnsi="Calibri"/>
                <w:color w:val="auto"/>
                <w:szCs w:val="21"/>
                <w:highlight w:val="none"/>
              </w:rPr>
            </w:pPr>
          </w:p>
          <w:p w14:paraId="25DD3397">
            <w:pPr>
              <w:pStyle w:val="12"/>
              <w:spacing w:before="78"/>
              <w:ind w:left="156" w:right="147" w:firstLine="14"/>
              <w:rPr>
                <w:rFonts w:ascii="仿宋" w:hAnsi="仿宋" w:eastAsia="仿宋" w:cs="仿宋"/>
                <w:color w:val="auto"/>
                <w:highlight w:val="none"/>
              </w:rPr>
            </w:pPr>
            <w:r>
              <w:rPr>
                <w:rFonts w:hint="eastAsia" w:ascii="仿宋" w:hAnsi="仿宋" w:eastAsia="仿宋" w:cs="仿宋"/>
                <w:color w:val="auto"/>
                <w:spacing w:val="-9"/>
                <w:highlight w:val="none"/>
                <w:lang w:bidi="ar"/>
              </w:rPr>
              <w:t>1.资</w:t>
            </w:r>
            <w:r>
              <w:rPr>
                <w:rFonts w:hint="eastAsia" w:ascii="仿宋" w:hAnsi="仿宋" w:eastAsia="仿宋" w:cs="仿宋"/>
                <w:color w:val="auto"/>
                <w:spacing w:val="-6"/>
                <w:highlight w:val="none"/>
                <w:lang w:bidi="ar"/>
              </w:rPr>
              <w:t>质与合规</w:t>
            </w:r>
            <w:r>
              <w:rPr>
                <w:rFonts w:hint="eastAsia" w:ascii="仿宋" w:hAnsi="仿宋" w:eastAsia="仿宋" w:cs="仿宋"/>
                <w:color w:val="auto"/>
                <w:spacing w:val="16"/>
                <w:highlight w:val="none"/>
                <w:lang w:bidi="ar"/>
              </w:rPr>
              <w:t>(15</w:t>
            </w:r>
            <w:r>
              <w:rPr>
                <w:rFonts w:hint="eastAsia" w:ascii="仿宋" w:hAnsi="仿宋" w:eastAsia="仿宋" w:cs="仿宋"/>
                <w:color w:val="auto"/>
                <w:spacing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687D793A">
            <w:pPr>
              <w:pStyle w:val="12"/>
              <w:spacing w:before="96"/>
              <w:ind w:left="164" w:right="155" w:firstLine="42"/>
              <w:rPr>
                <w:rFonts w:ascii="仿宋" w:hAnsi="仿宋" w:eastAsia="仿宋" w:cs="仿宋"/>
                <w:color w:val="auto"/>
                <w:highlight w:val="none"/>
              </w:rPr>
            </w:pPr>
            <w:r>
              <w:rPr>
                <w:rFonts w:hint="eastAsia" w:ascii="仿宋" w:hAnsi="仿宋" w:eastAsia="仿宋" w:cs="仿宋"/>
                <w:color w:val="auto"/>
                <w:spacing w:val="-12"/>
                <w:highlight w:val="none"/>
                <w:lang w:bidi="ar"/>
              </w:rPr>
              <w:t>1.1</w:t>
            </w:r>
            <w:r>
              <w:rPr>
                <w:rFonts w:hint="eastAsia" w:ascii="仿宋" w:hAnsi="仿宋" w:eastAsia="仿宋" w:cs="仿宋"/>
                <w:color w:val="auto"/>
                <w:spacing w:val="-38"/>
                <w:highlight w:val="none"/>
                <w:lang w:bidi="ar"/>
              </w:rPr>
              <w:t xml:space="preserve"> </w:t>
            </w:r>
            <w:r>
              <w:rPr>
                <w:rFonts w:hint="eastAsia" w:ascii="仿宋" w:hAnsi="仿宋" w:eastAsia="仿宋" w:cs="仿宋"/>
                <w:color w:val="auto"/>
                <w:spacing w:val="-12"/>
                <w:highlight w:val="none"/>
                <w:lang w:bidi="ar"/>
              </w:rPr>
              <w:t>资</w:t>
            </w:r>
            <w:r>
              <w:rPr>
                <w:rFonts w:hint="eastAsia" w:ascii="仿宋" w:hAnsi="仿宋" w:eastAsia="仿宋" w:cs="仿宋"/>
                <w:color w:val="auto"/>
                <w:spacing w:val="-4"/>
                <w:highlight w:val="none"/>
                <w:lang w:bidi="ar"/>
              </w:rPr>
              <w:t>质证照</w:t>
            </w:r>
          </w:p>
          <w:p w14:paraId="7850865A">
            <w:pPr>
              <w:pStyle w:val="12"/>
              <w:spacing w:before="1"/>
              <w:ind w:left="169"/>
              <w:rPr>
                <w:rFonts w:ascii="仿宋" w:hAnsi="仿宋" w:eastAsia="仿宋" w:cs="仿宋"/>
                <w:color w:val="auto"/>
                <w:highlight w:val="none"/>
              </w:rPr>
            </w:pPr>
            <w:r>
              <w:rPr>
                <w:rFonts w:hint="eastAsia" w:ascii="仿宋" w:hAnsi="仿宋" w:eastAsia="仿宋" w:cs="仿宋"/>
                <w:color w:val="auto"/>
                <w:spacing w:val="-6"/>
                <w:highlight w:val="none"/>
                <w:lang w:bidi="ar"/>
              </w:rPr>
              <w:t>有效性</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0B4A0396">
            <w:pPr>
              <w:pStyle w:val="12"/>
              <w:spacing w:before="94"/>
              <w:ind w:left="132" w:right="49" w:firstLine="8"/>
              <w:rPr>
                <w:rFonts w:ascii="仿宋" w:hAnsi="仿宋" w:eastAsia="仿宋" w:cs="仿宋"/>
                <w:color w:val="auto"/>
                <w:highlight w:val="none"/>
              </w:rPr>
            </w:pPr>
            <w:r>
              <w:rPr>
                <w:rFonts w:hint="eastAsia" w:ascii="仿宋" w:hAnsi="仿宋" w:eastAsia="仿宋" w:cs="仿宋"/>
                <w:color w:val="auto"/>
                <w:spacing w:val="-2"/>
                <w:highlight w:val="none"/>
                <w:lang w:bidi="ar"/>
              </w:rPr>
              <w:t>营业执照、资质证书、安全生产许可证等齐全有效，并在许可范围内开展</w:t>
            </w:r>
            <w:r>
              <w:rPr>
                <w:rFonts w:hint="eastAsia" w:ascii="仿宋" w:hAnsi="仿宋" w:eastAsia="仿宋" w:cs="仿宋"/>
                <w:color w:val="auto"/>
                <w:spacing w:val="-8"/>
                <w:highlight w:val="none"/>
                <w:lang w:bidi="ar"/>
              </w:rPr>
              <w:t>业务。一项不符合扣</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8"/>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8"/>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7716FB20">
            <w:pPr>
              <w:spacing w:line="326" w:lineRule="auto"/>
              <w:rPr>
                <w:rFonts w:ascii="Arial" w:hAnsi="Calibri"/>
                <w:color w:val="auto"/>
                <w:szCs w:val="21"/>
                <w:highlight w:val="none"/>
              </w:rPr>
            </w:pPr>
          </w:p>
          <w:p w14:paraId="4BCAA655">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737B88E5">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673ACAFB">
            <w:pPr>
              <w:rPr>
                <w:rFonts w:ascii="Arial" w:hAnsi="Calibri"/>
                <w:color w:val="auto"/>
                <w:szCs w:val="21"/>
                <w:highlight w:val="none"/>
              </w:rPr>
            </w:pPr>
          </w:p>
        </w:tc>
      </w:tr>
      <w:tr w14:paraId="44AF6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noWrap w:val="0"/>
            <w:vAlign w:val="top"/>
          </w:tcPr>
          <w:p w14:paraId="27BCF7EB">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4D3F9BA1">
            <w:pPr>
              <w:pStyle w:val="12"/>
              <w:spacing w:before="252"/>
              <w:ind w:left="207"/>
              <w:rPr>
                <w:rFonts w:ascii="仿宋" w:hAnsi="仿宋" w:eastAsia="仿宋" w:cs="仿宋"/>
                <w:color w:val="auto"/>
                <w:highlight w:val="none"/>
              </w:rPr>
            </w:pPr>
            <w:r>
              <w:rPr>
                <w:rFonts w:hint="eastAsia" w:ascii="仿宋" w:hAnsi="仿宋" w:eastAsia="仿宋" w:cs="仿宋"/>
                <w:color w:val="auto"/>
                <w:spacing w:val="-7"/>
                <w:highlight w:val="none"/>
                <w:lang w:bidi="ar"/>
              </w:rPr>
              <w:t>1.2</w:t>
            </w:r>
            <w:r>
              <w:rPr>
                <w:rFonts w:hint="eastAsia" w:ascii="仿宋" w:hAnsi="仿宋" w:eastAsia="仿宋" w:cs="仿宋"/>
                <w:color w:val="auto"/>
                <w:spacing w:val="-38"/>
                <w:highlight w:val="none"/>
                <w:lang w:bidi="ar"/>
              </w:rPr>
              <w:t xml:space="preserve"> </w:t>
            </w:r>
            <w:r>
              <w:rPr>
                <w:rFonts w:hint="eastAsia" w:ascii="仿宋" w:hAnsi="仿宋" w:eastAsia="仿宋" w:cs="仿宋"/>
                <w:color w:val="auto"/>
                <w:spacing w:val="-7"/>
                <w:highlight w:val="none"/>
                <w:lang w:bidi="ar"/>
              </w:rPr>
              <w:t>关</w:t>
            </w:r>
          </w:p>
          <w:p w14:paraId="48310277">
            <w:pPr>
              <w:pStyle w:val="12"/>
              <w:spacing w:before="27"/>
              <w:ind w:left="158"/>
              <w:rPr>
                <w:rFonts w:ascii="仿宋" w:hAnsi="仿宋" w:eastAsia="仿宋" w:cs="仿宋"/>
                <w:color w:val="auto"/>
                <w:highlight w:val="none"/>
              </w:rPr>
            </w:pPr>
            <w:r>
              <w:rPr>
                <w:rFonts w:hint="eastAsia" w:ascii="仿宋" w:hAnsi="仿宋" w:eastAsia="仿宋" w:cs="仿宋"/>
                <w:color w:val="auto"/>
                <w:spacing w:val="-2"/>
                <w:highlight w:val="none"/>
                <w:lang w:bidi="ar"/>
              </w:rPr>
              <w:t>键岗位</w:t>
            </w:r>
          </w:p>
          <w:p w14:paraId="6F4A266C">
            <w:pPr>
              <w:pStyle w:val="12"/>
              <w:spacing w:before="30"/>
              <w:ind w:left="286"/>
              <w:rPr>
                <w:rFonts w:ascii="仿宋" w:hAnsi="仿宋" w:eastAsia="仿宋" w:cs="仿宋"/>
                <w:color w:val="auto"/>
                <w:highlight w:val="none"/>
              </w:rPr>
            </w:pPr>
            <w:r>
              <w:rPr>
                <w:rFonts w:hint="eastAsia" w:ascii="仿宋" w:hAnsi="仿宋" w:eastAsia="仿宋" w:cs="仿宋"/>
                <w:color w:val="auto"/>
                <w:spacing w:val="-7"/>
                <w:highlight w:val="none"/>
                <w:lang w:bidi="ar"/>
              </w:rPr>
              <w:t>持证</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5AC3EC55">
            <w:pPr>
              <w:pStyle w:val="12"/>
              <w:spacing w:before="94"/>
              <w:ind w:left="127" w:right="49" w:firstLine="7"/>
              <w:rPr>
                <w:rFonts w:ascii="仿宋" w:hAnsi="仿宋" w:eastAsia="仿宋" w:cs="仿宋"/>
                <w:color w:val="auto"/>
                <w:highlight w:val="none"/>
              </w:rPr>
            </w:pPr>
            <w:r>
              <w:rPr>
                <w:rFonts w:hint="eastAsia" w:ascii="仿宋" w:hAnsi="仿宋" w:eastAsia="仿宋" w:cs="仿宋"/>
                <w:color w:val="auto"/>
                <w:spacing w:val="-3"/>
                <w:highlight w:val="none"/>
                <w:lang w:bidi="ar"/>
              </w:rPr>
              <w:t>主要负责人、安全管理人员</w:t>
            </w:r>
            <w:r>
              <w:rPr>
                <w:rFonts w:hint="eastAsia" w:ascii="仿宋" w:hAnsi="仿宋" w:eastAsia="仿宋" w:cs="仿宋"/>
                <w:color w:val="auto"/>
                <w:spacing w:val="-27"/>
                <w:highlight w:val="none"/>
                <w:lang w:bidi="ar"/>
              </w:rPr>
              <w:t xml:space="preserve"> </w:t>
            </w:r>
            <w:r>
              <w:rPr>
                <w:rFonts w:hint="eastAsia" w:ascii="仿宋" w:hAnsi="仿宋" w:eastAsia="仿宋" w:cs="仿宋"/>
                <w:color w:val="auto"/>
                <w:spacing w:val="-3"/>
                <w:highlight w:val="none"/>
                <w:lang w:bidi="ar"/>
              </w:rPr>
              <w:t>100%持有</w:t>
            </w:r>
            <w:r>
              <w:rPr>
                <w:rFonts w:hint="eastAsia" w:ascii="仿宋" w:hAnsi="仿宋" w:eastAsia="仿宋" w:cs="仿宋"/>
                <w:color w:val="auto"/>
                <w:spacing w:val="-1"/>
                <w:highlight w:val="none"/>
                <w:lang w:bidi="ar"/>
              </w:rPr>
              <w:t>有效安全生产考核合格证；特种（设</w:t>
            </w:r>
            <w:r>
              <w:rPr>
                <w:rFonts w:hint="eastAsia" w:ascii="仿宋" w:hAnsi="仿宋" w:eastAsia="仿宋" w:cs="仿宋"/>
                <w:color w:val="auto"/>
                <w:spacing w:val="-10"/>
                <w:highlight w:val="none"/>
                <w:lang w:bidi="ar"/>
              </w:rPr>
              <w:t>备）作业人员</w:t>
            </w:r>
            <w:r>
              <w:rPr>
                <w:rFonts w:hint="eastAsia" w:ascii="仿宋" w:hAnsi="仿宋" w:eastAsia="仿宋" w:cs="仿宋"/>
                <w:color w:val="auto"/>
                <w:spacing w:val="-31"/>
                <w:highlight w:val="none"/>
                <w:lang w:bidi="ar"/>
              </w:rPr>
              <w:t xml:space="preserve"> </w:t>
            </w:r>
            <w:r>
              <w:rPr>
                <w:rFonts w:hint="eastAsia" w:ascii="仿宋" w:hAnsi="仿宋" w:eastAsia="仿宋" w:cs="仿宋"/>
                <w:color w:val="auto"/>
                <w:spacing w:val="-10"/>
                <w:highlight w:val="none"/>
                <w:lang w:bidi="ar"/>
              </w:rPr>
              <w:t>100%持有效操作证上岗。</w:t>
            </w:r>
            <w:r>
              <w:rPr>
                <w:rFonts w:hint="eastAsia" w:ascii="仿宋" w:hAnsi="仿宋" w:eastAsia="仿宋" w:cs="仿宋"/>
                <w:color w:val="auto"/>
                <w:spacing w:val="-4"/>
                <w:highlight w:val="none"/>
                <w:lang w:bidi="ar"/>
              </w:rPr>
              <w:t>一人不符合扣</w:t>
            </w:r>
            <w:r>
              <w:rPr>
                <w:rFonts w:hint="eastAsia" w:ascii="仿宋" w:hAnsi="仿宋" w:eastAsia="仿宋" w:cs="仿宋"/>
                <w:color w:val="auto"/>
                <w:spacing w:val="-29"/>
                <w:highlight w:val="none"/>
                <w:lang w:bidi="ar"/>
              </w:rPr>
              <w:t xml:space="preserve"> </w:t>
            </w:r>
            <w:r>
              <w:rPr>
                <w:rFonts w:hint="eastAsia" w:ascii="仿宋" w:hAnsi="仿宋" w:eastAsia="仿宋" w:cs="仿宋"/>
                <w:color w:val="auto"/>
                <w:spacing w:val="-4"/>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AEA8DAD">
            <w:pPr>
              <w:rPr>
                <w:rFonts w:ascii="Arial" w:hAnsi="Calibri"/>
                <w:color w:val="auto"/>
                <w:szCs w:val="21"/>
                <w:highlight w:val="none"/>
              </w:rPr>
            </w:pPr>
          </w:p>
          <w:p w14:paraId="6BA0C242">
            <w:pPr>
              <w:rPr>
                <w:rFonts w:ascii="Arial" w:hAnsi="Calibri"/>
                <w:color w:val="auto"/>
                <w:szCs w:val="21"/>
                <w:highlight w:val="none"/>
              </w:rPr>
            </w:pPr>
          </w:p>
          <w:p w14:paraId="69BB294F">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738EB154">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02522589">
            <w:pPr>
              <w:rPr>
                <w:rFonts w:ascii="Arial" w:hAnsi="Calibri"/>
                <w:color w:val="auto"/>
                <w:szCs w:val="21"/>
                <w:highlight w:val="none"/>
              </w:rPr>
            </w:pPr>
          </w:p>
        </w:tc>
      </w:tr>
      <w:tr w14:paraId="603A4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noWrap w:val="0"/>
            <w:vAlign w:val="top"/>
          </w:tcPr>
          <w:p w14:paraId="548DECA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522058E6">
            <w:pPr>
              <w:pStyle w:val="12"/>
              <w:spacing w:before="253"/>
              <w:ind w:left="163" w:right="155" w:firstLine="43"/>
              <w:rPr>
                <w:rFonts w:ascii="仿宋" w:hAnsi="仿宋" w:eastAsia="仿宋" w:cs="仿宋"/>
                <w:color w:val="auto"/>
                <w:highlight w:val="none"/>
              </w:rPr>
            </w:pPr>
            <w:r>
              <w:rPr>
                <w:rFonts w:hint="eastAsia" w:ascii="仿宋" w:hAnsi="仿宋" w:eastAsia="仿宋" w:cs="仿宋"/>
                <w:color w:val="auto"/>
                <w:spacing w:val="-10"/>
                <w:highlight w:val="none"/>
                <w:lang w:bidi="ar"/>
              </w:rPr>
              <w:t>1.3</w:t>
            </w:r>
            <w:r>
              <w:rPr>
                <w:rFonts w:hint="eastAsia" w:ascii="仿宋" w:hAnsi="仿宋" w:eastAsia="仿宋" w:cs="仿宋"/>
                <w:color w:val="auto"/>
                <w:spacing w:val="-46"/>
                <w:highlight w:val="none"/>
                <w:lang w:bidi="ar"/>
              </w:rPr>
              <w:t xml:space="preserve"> </w:t>
            </w:r>
            <w:r>
              <w:rPr>
                <w:rFonts w:hint="eastAsia" w:ascii="仿宋" w:hAnsi="仿宋" w:eastAsia="仿宋" w:cs="仿宋"/>
                <w:color w:val="auto"/>
                <w:spacing w:val="-10"/>
                <w:highlight w:val="none"/>
                <w:lang w:bidi="ar"/>
              </w:rPr>
              <w:t>合</w:t>
            </w:r>
            <w:r>
              <w:rPr>
                <w:rFonts w:hint="eastAsia" w:ascii="仿宋" w:hAnsi="仿宋" w:eastAsia="仿宋" w:cs="仿宋"/>
                <w:color w:val="auto"/>
                <w:spacing w:val="-4"/>
                <w:highlight w:val="none"/>
                <w:lang w:bidi="ar"/>
              </w:rPr>
              <w:t>同与协议履约</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2C7A2D1E">
            <w:pPr>
              <w:pStyle w:val="12"/>
              <w:spacing w:before="99"/>
              <w:ind w:left="127" w:right="202" w:hanging="7"/>
              <w:rPr>
                <w:rFonts w:ascii="仿宋" w:hAnsi="仿宋" w:eastAsia="仿宋" w:cs="仿宋"/>
                <w:color w:val="auto"/>
                <w:highlight w:val="none"/>
              </w:rPr>
            </w:pPr>
            <w:r>
              <w:rPr>
                <w:rFonts w:hint="eastAsia" w:ascii="仿宋" w:hAnsi="仿宋" w:eastAsia="仿宋" w:cs="仿宋"/>
                <w:color w:val="auto"/>
                <w:spacing w:val="-1"/>
                <w:highlight w:val="none"/>
                <w:lang w:bidi="ar"/>
              </w:rPr>
              <w:t>严格履行合同及安全环保管理协议中约定的全部安全责任与义务。发现一项重大违约本项不得分，一般违约一</w:t>
            </w:r>
            <w:r>
              <w:rPr>
                <w:rFonts w:hint="eastAsia" w:ascii="仿宋" w:hAnsi="仿宋" w:eastAsia="仿宋" w:cs="仿宋"/>
                <w:color w:val="auto"/>
                <w:spacing w:val="-10"/>
                <w:highlight w:val="none"/>
                <w:lang w:bidi="ar"/>
              </w:rPr>
              <w:t>项扣</w:t>
            </w:r>
            <w:r>
              <w:rPr>
                <w:rFonts w:hint="eastAsia" w:ascii="仿宋" w:hAnsi="仿宋" w:eastAsia="仿宋" w:cs="仿宋"/>
                <w:color w:val="auto"/>
                <w:spacing w:val="-35"/>
                <w:highlight w:val="none"/>
                <w:lang w:bidi="ar"/>
              </w:rPr>
              <w:t xml:space="preserve"> </w:t>
            </w:r>
            <w:r>
              <w:rPr>
                <w:rFonts w:hint="eastAsia" w:ascii="仿宋" w:hAnsi="仿宋" w:eastAsia="仿宋" w:cs="仿宋"/>
                <w:color w:val="auto"/>
                <w:spacing w:val="-10"/>
                <w:highlight w:val="none"/>
                <w:lang w:bidi="ar"/>
              </w:rPr>
              <w:t>1</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10"/>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C79A071">
            <w:pPr>
              <w:rPr>
                <w:rFonts w:ascii="Arial" w:hAnsi="Calibri"/>
                <w:color w:val="auto"/>
                <w:szCs w:val="21"/>
                <w:highlight w:val="none"/>
              </w:rPr>
            </w:pPr>
          </w:p>
          <w:p w14:paraId="07D251CB">
            <w:pPr>
              <w:rPr>
                <w:rFonts w:ascii="Arial" w:hAnsi="Calibri"/>
                <w:color w:val="auto"/>
                <w:szCs w:val="21"/>
                <w:highlight w:val="none"/>
              </w:rPr>
            </w:pPr>
          </w:p>
          <w:p w14:paraId="4E04B035">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62419EE8">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0B6FE115">
            <w:pPr>
              <w:rPr>
                <w:rFonts w:ascii="Arial" w:hAnsi="Calibri"/>
                <w:color w:val="auto"/>
                <w:szCs w:val="21"/>
                <w:highlight w:val="none"/>
              </w:rPr>
            </w:pPr>
          </w:p>
        </w:tc>
      </w:tr>
      <w:tr w14:paraId="01FD1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noWrap w:val="0"/>
            <w:vAlign w:val="top"/>
          </w:tcPr>
          <w:p w14:paraId="0DC7788C">
            <w:pPr>
              <w:spacing w:line="242" w:lineRule="auto"/>
              <w:rPr>
                <w:rFonts w:ascii="Arial" w:hAnsi="Calibri"/>
                <w:color w:val="auto"/>
                <w:szCs w:val="21"/>
                <w:highlight w:val="none"/>
              </w:rPr>
            </w:pPr>
          </w:p>
          <w:p w14:paraId="155177B0">
            <w:pPr>
              <w:spacing w:line="242" w:lineRule="auto"/>
              <w:rPr>
                <w:rFonts w:ascii="Arial" w:hAnsi="Calibri"/>
                <w:color w:val="auto"/>
                <w:szCs w:val="21"/>
                <w:highlight w:val="none"/>
              </w:rPr>
            </w:pPr>
          </w:p>
          <w:p w14:paraId="32B6C2E9">
            <w:pPr>
              <w:spacing w:line="244" w:lineRule="auto"/>
              <w:rPr>
                <w:rFonts w:ascii="Arial" w:hAnsi="Calibri"/>
                <w:color w:val="auto"/>
                <w:szCs w:val="21"/>
                <w:highlight w:val="none"/>
              </w:rPr>
            </w:pPr>
          </w:p>
          <w:p w14:paraId="4BCC727A">
            <w:pPr>
              <w:pStyle w:val="12"/>
              <w:spacing w:before="78"/>
              <w:ind w:left="158" w:right="147" w:firstLine="6"/>
              <w:rPr>
                <w:rFonts w:ascii="仿宋" w:hAnsi="仿宋" w:eastAsia="仿宋" w:cs="仿宋"/>
                <w:color w:val="auto"/>
                <w:highlight w:val="none"/>
              </w:rPr>
            </w:pPr>
            <w:r>
              <w:rPr>
                <w:rFonts w:hint="eastAsia" w:ascii="仿宋" w:hAnsi="仿宋" w:eastAsia="仿宋" w:cs="仿宋"/>
                <w:color w:val="auto"/>
                <w:spacing w:val="-7"/>
                <w:highlight w:val="none"/>
                <w:lang w:bidi="ar"/>
              </w:rPr>
              <w:t>2.人员与培训</w:t>
            </w:r>
            <w:r>
              <w:rPr>
                <w:rFonts w:hint="eastAsia" w:ascii="仿宋" w:hAnsi="仿宋" w:eastAsia="仿宋" w:cs="仿宋"/>
                <w:color w:val="auto"/>
                <w:spacing w:val="15"/>
                <w:highlight w:val="none"/>
                <w:lang w:bidi="ar"/>
              </w:rPr>
              <w:t>(15</w:t>
            </w:r>
            <w:r>
              <w:rPr>
                <w:rFonts w:hint="eastAsia" w:ascii="仿宋" w:hAnsi="仿宋" w:eastAsia="仿宋" w:cs="仿宋"/>
                <w:color w:val="auto"/>
                <w:spacing w:val="23"/>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7F05A4A1">
            <w:pPr>
              <w:pStyle w:val="12"/>
              <w:spacing w:before="99"/>
              <w:ind w:left="181" w:right="155" w:firstLine="20"/>
              <w:rPr>
                <w:rFonts w:ascii="仿宋" w:hAnsi="仿宋" w:eastAsia="仿宋" w:cs="仿宋"/>
                <w:color w:val="auto"/>
                <w:highlight w:val="none"/>
              </w:rPr>
            </w:pPr>
            <w:r>
              <w:rPr>
                <w:rFonts w:hint="eastAsia" w:ascii="仿宋" w:hAnsi="仿宋" w:eastAsia="仿宋" w:cs="仿宋"/>
                <w:color w:val="auto"/>
                <w:spacing w:val="-8"/>
                <w:highlight w:val="none"/>
                <w:lang w:bidi="ar"/>
              </w:rPr>
              <w:t>2.1</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8"/>
                <w:highlight w:val="none"/>
                <w:lang w:bidi="ar"/>
              </w:rPr>
              <w:t>人</w:t>
            </w:r>
            <w:r>
              <w:rPr>
                <w:rFonts w:hint="eastAsia" w:ascii="仿宋" w:hAnsi="仿宋" w:eastAsia="仿宋" w:cs="仿宋"/>
                <w:color w:val="auto"/>
                <w:spacing w:val="-10"/>
                <w:highlight w:val="none"/>
                <w:lang w:bidi="ar"/>
              </w:rPr>
              <w:t>员能力</w:t>
            </w:r>
          </w:p>
          <w:p w14:paraId="2BEBA17D">
            <w:pPr>
              <w:pStyle w:val="12"/>
              <w:ind w:left="176"/>
              <w:rPr>
                <w:rFonts w:ascii="仿宋" w:hAnsi="仿宋" w:eastAsia="仿宋" w:cs="仿宋"/>
                <w:color w:val="auto"/>
                <w:highlight w:val="none"/>
              </w:rPr>
            </w:pPr>
            <w:r>
              <w:rPr>
                <w:rFonts w:hint="eastAsia" w:ascii="仿宋" w:hAnsi="仿宋" w:eastAsia="仿宋" w:cs="仿宋"/>
                <w:color w:val="auto"/>
                <w:spacing w:val="-8"/>
                <w:highlight w:val="none"/>
                <w:lang w:bidi="ar"/>
              </w:rPr>
              <w:t>与资质</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17AE5D34">
            <w:pPr>
              <w:pStyle w:val="12"/>
              <w:spacing w:before="99"/>
              <w:ind w:left="131" w:right="202" w:hanging="1"/>
              <w:rPr>
                <w:rFonts w:ascii="仿宋" w:hAnsi="仿宋" w:eastAsia="仿宋" w:cs="仿宋"/>
                <w:color w:val="auto"/>
                <w:highlight w:val="none"/>
              </w:rPr>
            </w:pPr>
            <w:r>
              <w:rPr>
                <w:rFonts w:hint="eastAsia" w:ascii="仿宋" w:hAnsi="仿宋" w:eastAsia="仿宋" w:cs="仿宋"/>
                <w:color w:val="auto"/>
                <w:spacing w:val="-1"/>
                <w:highlight w:val="none"/>
                <w:lang w:bidi="ar"/>
              </w:rPr>
              <w:t>从业人员学历、技能满足岗位要求，</w:t>
            </w:r>
            <w:r>
              <w:rPr>
                <w:rFonts w:hint="eastAsia" w:ascii="仿宋" w:hAnsi="仿宋" w:eastAsia="仿宋" w:cs="仿宋"/>
                <w:color w:val="auto"/>
                <w:spacing w:val="-2"/>
                <w:highlight w:val="none"/>
                <w:lang w:bidi="ar"/>
              </w:rPr>
              <w:t>无职业禁忌症，体检合格。抽查发现</w:t>
            </w:r>
            <w:r>
              <w:rPr>
                <w:rFonts w:hint="eastAsia" w:ascii="仿宋" w:hAnsi="仿宋" w:eastAsia="仿宋" w:cs="仿宋"/>
                <w:color w:val="auto"/>
                <w:spacing w:val="-4"/>
                <w:highlight w:val="none"/>
                <w:lang w:bidi="ar"/>
              </w:rPr>
              <w:t>一人不符合扣</w:t>
            </w:r>
            <w:r>
              <w:rPr>
                <w:rFonts w:hint="eastAsia" w:ascii="仿宋" w:hAnsi="仿宋" w:eastAsia="仿宋" w:cs="仿宋"/>
                <w:color w:val="auto"/>
                <w:spacing w:val="-34"/>
                <w:highlight w:val="none"/>
                <w:lang w:bidi="ar"/>
              </w:rPr>
              <w:t xml:space="preserve"> </w:t>
            </w:r>
            <w:r>
              <w:rPr>
                <w:rFonts w:hint="eastAsia" w:ascii="仿宋" w:hAnsi="仿宋" w:eastAsia="仿宋" w:cs="仿宋"/>
                <w:color w:val="auto"/>
                <w:spacing w:val="-4"/>
                <w:highlight w:val="none"/>
                <w:lang w:bidi="ar"/>
              </w:rPr>
              <w:t>1</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1F9D3E03">
            <w:pPr>
              <w:spacing w:line="328" w:lineRule="auto"/>
              <w:rPr>
                <w:rFonts w:ascii="Arial" w:hAnsi="Calibri"/>
                <w:color w:val="auto"/>
                <w:szCs w:val="21"/>
                <w:highlight w:val="none"/>
              </w:rPr>
            </w:pPr>
          </w:p>
          <w:p w14:paraId="363AB7B0">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525474C3">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15B20AD6">
            <w:pPr>
              <w:rPr>
                <w:rFonts w:ascii="Arial" w:hAnsi="Calibri"/>
                <w:color w:val="auto"/>
                <w:szCs w:val="21"/>
                <w:highlight w:val="none"/>
              </w:rPr>
            </w:pPr>
          </w:p>
        </w:tc>
      </w:tr>
      <w:tr w14:paraId="69A12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nil"/>
              <w:left w:val="single" w:color="000000" w:sz="2" w:space="0"/>
              <w:bottom w:val="nil"/>
              <w:right w:val="single" w:color="000000" w:sz="2" w:space="0"/>
            </w:tcBorders>
            <w:noWrap w:val="0"/>
            <w:vAlign w:val="top"/>
          </w:tcPr>
          <w:p w14:paraId="61A34CAF">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60C04B7E">
            <w:pPr>
              <w:pStyle w:val="12"/>
              <w:spacing w:before="97"/>
              <w:ind w:left="201"/>
              <w:rPr>
                <w:rFonts w:ascii="仿宋" w:hAnsi="仿宋" w:eastAsia="仿宋" w:cs="仿宋"/>
                <w:color w:val="auto"/>
                <w:highlight w:val="none"/>
              </w:rPr>
            </w:pPr>
            <w:r>
              <w:rPr>
                <w:rFonts w:hint="eastAsia" w:ascii="仿宋" w:hAnsi="仿宋" w:eastAsia="仿宋" w:cs="仿宋"/>
                <w:color w:val="auto"/>
                <w:spacing w:val="-5"/>
                <w:highlight w:val="none"/>
                <w:lang w:bidi="ar"/>
              </w:rPr>
              <w:t>2.2</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5"/>
                <w:highlight w:val="none"/>
                <w:lang w:bidi="ar"/>
              </w:rPr>
              <w:t>培</w:t>
            </w:r>
          </w:p>
          <w:p w14:paraId="31557380">
            <w:pPr>
              <w:pStyle w:val="12"/>
              <w:spacing w:before="28"/>
              <w:ind w:left="169"/>
              <w:rPr>
                <w:rFonts w:ascii="仿宋" w:hAnsi="仿宋" w:eastAsia="仿宋" w:cs="仿宋"/>
                <w:color w:val="auto"/>
                <w:highlight w:val="none"/>
              </w:rPr>
            </w:pPr>
            <w:r>
              <w:rPr>
                <w:rFonts w:hint="eastAsia" w:ascii="仿宋" w:hAnsi="仿宋" w:eastAsia="仿宋" w:cs="仿宋"/>
                <w:color w:val="auto"/>
                <w:spacing w:val="-6"/>
                <w:highlight w:val="none"/>
                <w:lang w:bidi="ar"/>
              </w:rPr>
              <w:t>训与考</w:t>
            </w:r>
          </w:p>
          <w:p w14:paraId="1C71ADDD">
            <w:pPr>
              <w:pStyle w:val="12"/>
              <w:spacing w:before="29"/>
              <w:ind w:left="402"/>
              <w:rPr>
                <w:rFonts w:ascii="仿宋" w:hAnsi="仿宋" w:eastAsia="仿宋" w:cs="仿宋"/>
                <w:color w:val="auto"/>
                <w:highlight w:val="none"/>
              </w:rPr>
            </w:pPr>
            <w:r>
              <w:rPr>
                <w:rFonts w:hint="eastAsia" w:ascii="仿宋" w:hAnsi="仿宋" w:eastAsia="仿宋" w:cs="仿宋"/>
                <w:color w:val="auto"/>
                <w:highlight w:val="none"/>
                <w:lang w:bidi="ar"/>
              </w:rPr>
              <w:t>核</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65F1DCD9">
            <w:pPr>
              <w:pStyle w:val="12"/>
              <w:spacing w:before="98"/>
              <w:ind w:left="128" w:right="202" w:hanging="2"/>
              <w:rPr>
                <w:rFonts w:ascii="仿宋" w:hAnsi="仿宋" w:eastAsia="仿宋" w:cs="仿宋"/>
                <w:color w:val="auto"/>
                <w:highlight w:val="none"/>
              </w:rPr>
            </w:pPr>
            <w:r>
              <w:rPr>
                <w:rFonts w:hint="eastAsia" w:ascii="仿宋" w:hAnsi="仿宋" w:eastAsia="仿宋" w:cs="仿宋"/>
                <w:color w:val="auto"/>
                <w:spacing w:val="-1"/>
                <w:highlight w:val="none"/>
                <w:lang w:bidi="ar"/>
              </w:rPr>
              <w:t>承包商自主培训、发包方安全教育和专项培训记录完整，考核合格。一项</w:t>
            </w:r>
            <w:r>
              <w:rPr>
                <w:rFonts w:hint="eastAsia" w:ascii="仿宋" w:hAnsi="仿宋" w:eastAsia="仿宋" w:cs="仿宋"/>
                <w:color w:val="auto"/>
                <w:spacing w:val="-4"/>
                <w:highlight w:val="none"/>
                <w:lang w:bidi="ar"/>
              </w:rPr>
              <w:t>不符合扣</w:t>
            </w:r>
            <w:r>
              <w:rPr>
                <w:rFonts w:hint="eastAsia" w:ascii="仿宋" w:hAnsi="仿宋" w:eastAsia="仿宋" w:cs="仿宋"/>
                <w:color w:val="auto"/>
                <w:spacing w:val="-39"/>
                <w:highlight w:val="none"/>
                <w:lang w:bidi="ar"/>
              </w:rPr>
              <w:t xml:space="preserve"> </w:t>
            </w:r>
            <w:r>
              <w:rPr>
                <w:rFonts w:hint="eastAsia" w:ascii="仿宋" w:hAnsi="仿宋" w:eastAsia="仿宋" w:cs="仿宋"/>
                <w:color w:val="auto"/>
                <w:spacing w:val="-4"/>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0EAAA85A">
            <w:pPr>
              <w:spacing w:line="328" w:lineRule="auto"/>
              <w:rPr>
                <w:rFonts w:ascii="Arial" w:hAnsi="Calibri"/>
                <w:color w:val="auto"/>
                <w:szCs w:val="21"/>
                <w:highlight w:val="none"/>
              </w:rPr>
            </w:pPr>
          </w:p>
          <w:p w14:paraId="46740458">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29A00F89">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1F92F038">
            <w:pPr>
              <w:rPr>
                <w:rFonts w:ascii="Arial" w:hAnsi="Calibri"/>
                <w:color w:val="auto"/>
                <w:szCs w:val="21"/>
                <w:highlight w:val="none"/>
              </w:rPr>
            </w:pPr>
          </w:p>
        </w:tc>
      </w:tr>
      <w:tr w14:paraId="4946F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noWrap w:val="0"/>
            <w:vAlign w:val="top"/>
          </w:tcPr>
          <w:p w14:paraId="110B44F1">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6F4A22B2">
            <w:pPr>
              <w:pStyle w:val="12"/>
              <w:spacing w:before="101"/>
              <w:ind w:left="201"/>
              <w:rPr>
                <w:rFonts w:ascii="仿宋" w:hAnsi="仿宋" w:eastAsia="仿宋" w:cs="仿宋"/>
                <w:color w:val="auto"/>
                <w:highlight w:val="none"/>
              </w:rPr>
            </w:pPr>
            <w:r>
              <w:rPr>
                <w:rFonts w:hint="eastAsia" w:ascii="仿宋" w:hAnsi="仿宋" w:eastAsia="仿宋" w:cs="仿宋"/>
                <w:color w:val="auto"/>
                <w:spacing w:val="-5"/>
                <w:highlight w:val="none"/>
                <w:lang w:bidi="ar"/>
              </w:rPr>
              <w:t>2.3</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5"/>
                <w:highlight w:val="none"/>
                <w:lang w:bidi="ar"/>
              </w:rPr>
              <w:t>人</w:t>
            </w:r>
          </w:p>
          <w:p w14:paraId="7EBF5778">
            <w:pPr>
              <w:pStyle w:val="12"/>
              <w:spacing w:before="24"/>
              <w:ind w:left="181"/>
              <w:rPr>
                <w:rFonts w:ascii="仿宋" w:hAnsi="仿宋" w:eastAsia="仿宋" w:cs="仿宋"/>
                <w:color w:val="auto"/>
                <w:highlight w:val="none"/>
              </w:rPr>
            </w:pPr>
            <w:r>
              <w:rPr>
                <w:rFonts w:hint="eastAsia" w:ascii="仿宋" w:hAnsi="仿宋" w:eastAsia="仿宋" w:cs="仿宋"/>
                <w:color w:val="auto"/>
                <w:spacing w:val="-10"/>
                <w:highlight w:val="none"/>
                <w:lang w:bidi="ar"/>
              </w:rPr>
              <w:t>员稳定</w:t>
            </w:r>
          </w:p>
          <w:p w14:paraId="14F02FFF">
            <w:pPr>
              <w:pStyle w:val="12"/>
              <w:spacing w:before="33"/>
              <w:ind w:left="408"/>
              <w:rPr>
                <w:rFonts w:ascii="仿宋" w:hAnsi="仿宋" w:eastAsia="仿宋" w:cs="仿宋"/>
                <w:color w:val="auto"/>
                <w:highlight w:val="none"/>
              </w:rPr>
            </w:pPr>
            <w:r>
              <w:rPr>
                <w:rFonts w:hint="eastAsia" w:ascii="仿宋" w:hAnsi="仿宋" w:eastAsia="仿宋" w:cs="仿宋"/>
                <w:color w:val="auto"/>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00A7F86C">
            <w:pPr>
              <w:pStyle w:val="12"/>
              <w:spacing w:before="99"/>
              <w:ind w:left="131" w:right="64" w:hanging="5"/>
              <w:rPr>
                <w:rFonts w:ascii="仿宋" w:hAnsi="仿宋" w:eastAsia="仿宋" w:cs="仿宋"/>
                <w:color w:val="auto"/>
                <w:highlight w:val="none"/>
              </w:rPr>
            </w:pPr>
            <w:r>
              <w:rPr>
                <w:rFonts w:hint="eastAsia" w:ascii="仿宋" w:hAnsi="仿宋" w:eastAsia="仿宋" w:cs="仿宋"/>
                <w:color w:val="auto"/>
                <w:spacing w:val="-1"/>
                <w:highlight w:val="none"/>
                <w:lang w:bidi="ar"/>
              </w:rPr>
              <w:t>承包商关键岗位及作业人员月流动比</w:t>
            </w:r>
            <w:r>
              <w:rPr>
                <w:rFonts w:hint="eastAsia" w:ascii="仿宋" w:hAnsi="仿宋" w:eastAsia="仿宋" w:cs="仿宋"/>
                <w:color w:val="auto"/>
                <w:spacing w:val="-18"/>
                <w:highlight w:val="none"/>
                <w:lang w:bidi="ar"/>
              </w:rPr>
              <w:t>率≤10%。每超标</w:t>
            </w:r>
            <w:r>
              <w:rPr>
                <w:rFonts w:hint="eastAsia" w:ascii="仿宋" w:hAnsi="仿宋" w:eastAsia="仿宋" w:cs="仿宋"/>
                <w:color w:val="auto"/>
                <w:spacing w:val="-36"/>
                <w:highlight w:val="none"/>
                <w:lang w:bidi="ar"/>
              </w:rPr>
              <w:t xml:space="preserve"> </w:t>
            </w:r>
            <w:r>
              <w:rPr>
                <w:rFonts w:hint="eastAsia" w:ascii="仿宋" w:hAnsi="仿宋" w:eastAsia="仿宋" w:cs="仿宋"/>
                <w:color w:val="auto"/>
                <w:spacing w:val="-18"/>
                <w:highlight w:val="none"/>
                <w:lang w:bidi="ar"/>
              </w:rPr>
              <w:t>1%扣</w:t>
            </w:r>
            <w:r>
              <w:rPr>
                <w:rFonts w:hint="eastAsia" w:ascii="仿宋" w:hAnsi="仿宋" w:eastAsia="仿宋" w:cs="仿宋"/>
                <w:color w:val="auto"/>
                <w:spacing w:val="-35"/>
                <w:highlight w:val="none"/>
                <w:lang w:bidi="ar"/>
              </w:rPr>
              <w:t xml:space="preserve"> </w:t>
            </w:r>
            <w:r>
              <w:rPr>
                <w:rFonts w:hint="eastAsia" w:ascii="仿宋" w:hAnsi="仿宋" w:eastAsia="仿宋" w:cs="仿宋"/>
                <w:color w:val="auto"/>
                <w:spacing w:val="-18"/>
                <w:highlight w:val="none"/>
                <w:lang w:bidi="ar"/>
              </w:rPr>
              <w:t>1</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18"/>
                <w:highlight w:val="none"/>
                <w:lang w:bidi="ar"/>
              </w:rPr>
              <w:t>分，扣完为止；</w:t>
            </w:r>
            <w:r>
              <w:rPr>
                <w:rFonts w:hint="eastAsia" w:ascii="仿宋" w:hAnsi="仿宋" w:eastAsia="仿宋" w:cs="仿宋"/>
                <w:color w:val="auto"/>
                <w:spacing w:val="-4"/>
                <w:highlight w:val="none"/>
                <w:lang w:bidi="ar"/>
              </w:rPr>
              <w:t>关键岗位擅自换岗一人扣</w:t>
            </w:r>
            <w:r>
              <w:rPr>
                <w:rFonts w:hint="eastAsia" w:ascii="仿宋" w:hAnsi="仿宋" w:eastAsia="仿宋" w:cs="仿宋"/>
                <w:color w:val="auto"/>
                <w:spacing w:val="-34"/>
                <w:highlight w:val="none"/>
                <w:lang w:bidi="ar"/>
              </w:rPr>
              <w:t xml:space="preserve"> </w:t>
            </w:r>
            <w:r>
              <w:rPr>
                <w:rFonts w:hint="eastAsia" w:ascii="仿宋" w:hAnsi="仿宋" w:eastAsia="仿宋" w:cs="仿宋"/>
                <w:color w:val="auto"/>
                <w:spacing w:val="-4"/>
                <w:highlight w:val="none"/>
                <w:lang w:bidi="ar"/>
              </w:rPr>
              <w:t>2</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270C7E5F">
            <w:pPr>
              <w:spacing w:line="331" w:lineRule="auto"/>
              <w:rPr>
                <w:rFonts w:ascii="Arial" w:hAnsi="Calibri"/>
                <w:color w:val="auto"/>
                <w:szCs w:val="21"/>
                <w:highlight w:val="none"/>
              </w:rPr>
            </w:pPr>
          </w:p>
          <w:p w14:paraId="2BD8BEE3">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27D17436">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37731B4D">
            <w:pPr>
              <w:rPr>
                <w:rFonts w:ascii="Arial" w:hAnsi="Calibri"/>
                <w:color w:val="auto"/>
                <w:szCs w:val="21"/>
                <w:highlight w:val="none"/>
              </w:rPr>
            </w:pPr>
          </w:p>
        </w:tc>
      </w:tr>
      <w:tr w14:paraId="267B7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noWrap w:val="0"/>
            <w:vAlign w:val="top"/>
          </w:tcPr>
          <w:p w14:paraId="4B8DA56C">
            <w:pPr>
              <w:spacing w:line="271" w:lineRule="auto"/>
              <w:rPr>
                <w:rFonts w:ascii="Arial" w:hAnsi="Calibri"/>
                <w:color w:val="auto"/>
                <w:szCs w:val="21"/>
                <w:highlight w:val="none"/>
              </w:rPr>
            </w:pPr>
          </w:p>
          <w:p w14:paraId="0879A664">
            <w:pPr>
              <w:spacing w:line="271" w:lineRule="auto"/>
              <w:rPr>
                <w:rFonts w:ascii="Arial" w:hAnsi="Calibri"/>
                <w:color w:val="auto"/>
                <w:szCs w:val="21"/>
                <w:highlight w:val="none"/>
              </w:rPr>
            </w:pPr>
          </w:p>
          <w:p w14:paraId="7311D016">
            <w:pPr>
              <w:spacing w:line="271" w:lineRule="auto"/>
              <w:rPr>
                <w:rFonts w:ascii="Arial" w:hAnsi="Calibri"/>
                <w:color w:val="auto"/>
                <w:szCs w:val="21"/>
                <w:highlight w:val="none"/>
              </w:rPr>
            </w:pPr>
          </w:p>
          <w:p w14:paraId="4ED25309">
            <w:pPr>
              <w:spacing w:line="271" w:lineRule="auto"/>
              <w:rPr>
                <w:rFonts w:ascii="Arial" w:hAnsi="Calibri"/>
                <w:color w:val="auto"/>
                <w:szCs w:val="21"/>
                <w:highlight w:val="none"/>
              </w:rPr>
            </w:pPr>
          </w:p>
          <w:p w14:paraId="37BCCC16">
            <w:pPr>
              <w:pStyle w:val="12"/>
              <w:spacing w:before="78"/>
              <w:ind w:left="174"/>
              <w:rPr>
                <w:rFonts w:ascii="仿宋" w:hAnsi="仿宋" w:eastAsia="仿宋" w:cs="仿宋"/>
                <w:color w:val="auto"/>
                <w:highlight w:val="none"/>
              </w:rPr>
            </w:pPr>
            <w:r>
              <w:rPr>
                <w:rFonts w:hint="eastAsia" w:ascii="仿宋" w:hAnsi="仿宋" w:eastAsia="仿宋" w:cs="仿宋"/>
                <w:color w:val="auto"/>
                <w:spacing w:val="-6"/>
                <w:highlight w:val="none"/>
                <w:lang w:bidi="ar"/>
              </w:rPr>
              <w:t>3.作</w:t>
            </w:r>
          </w:p>
          <w:p w14:paraId="6EAB66A5">
            <w:pPr>
              <w:pStyle w:val="12"/>
              <w:spacing w:before="31"/>
              <w:ind w:left="165"/>
              <w:rPr>
                <w:rFonts w:ascii="仿宋" w:hAnsi="仿宋" w:eastAsia="仿宋" w:cs="仿宋"/>
                <w:color w:val="auto"/>
                <w:highlight w:val="none"/>
              </w:rPr>
            </w:pPr>
            <w:r>
              <w:rPr>
                <w:rFonts w:hint="eastAsia" w:ascii="仿宋" w:hAnsi="仿宋" w:eastAsia="仿宋" w:cs="仿宋"/>
                <w:color w:val="auto"/>
                <w:spacing w:val="-10"/>
                <w:highlight w:val="none"/>
                <w:lang w:bidi="ar"/>
              </w:rPr>
              <w:t>业安</w:t>
            </w:r>
          </w:p>
          <w:p w14:paraId="2030DA89">
            <w:pPr>
              <w:pStyle w:val="12"/>
              <w:spacing w:before="27"/>
              <w:ind w:left="154"/>
              <w:rPr>
                <w:rFonts w:ascii="仿宋" w:hAnsi="仿宋" w:eastAsia="仿宋" w:cs="仿宋"/>
                <w:color w:val="auto"/>
                <w:highlight w:val="none"/>
              </w:rPr>
            </w:pPr>
            <w:r>
              <w:rPr>
                <w:rFonts w:hint="eastAsia" w:ascii="仿宋" w:hAnsi="仿宋" w:eastAsia="仿宋" w:cs="仿宋"/>
                <w:color w:val="auto"/>
                <w:spacing w:val="-5"/>
                <w:highlight w:val="none"/>
                <w:lang w:bidi="ar"/>
              </w:rPr>
              <w:t>全控</w:t>
            </w:r>
          </w:p>
          <w:p w14:paraId="35895E61">
            <w:pPr>
              <w:pStyle w:val="12"/>
              <w:spacing w:before="29"/>
              <w:ind w:left="283"/>
              <w:rPr>
                <w:rFonts w:ascii="仿宋" w:hAnsi="仿宋" w:eastAsia="仿宋" w:cs="仿宋"/>
                <w:color w:val="auto"/>
                <w:highlight w:val="none"/>
              </w:rPr>
            </w:pPr>
            <w:r>
              <w:rPr>
                <w:rFonts w:hint="eastAsia" w:ascii="仿宋" w:hAnsi="仿宋" w:eastAsia="仿宋" w:cs="仿宋"/>
                <w:color w:val="auto"/>
                <w:highlight w:val="none"/>
                <w:lang w:bidi="ar"/>
              </w:rPr>
              <w:t>制</w:t>
            </w:r>
          </w:p>
          <w:p w14:paraId="58B60BCC">
            <w:pPr>
              <w:pStyle w:val="12"/>
              <w:spacing w:before="30"/>
              <w:ind w:left="266"/>
              <w:rPr>
                <w:rFonts w:ascii="仿宋" w:hAnsi="仿宋" w:eastAsia="仿宋" w:cs="仿宋"/>
                <w:color w:val="auto"/>
                <w:highlight w:val="none"/>
              </w:rPr>
            </w:pPr>
            <w:r>
              <w:rPr>
                <w:rFonts w:hint="eastAsia" w:ascii="仿宋" w:hAnsi="仿宋" w:eastAsia="仿宋" w:cs="仿宋"/>
                <w:color w:val="auto"/>
                <w:spacing w:val="-20"/>
                <w:highlight w:val="none"/>
                <w:lang w:bidi="ar"/>
              </w:rPr>
              <w:t>(25</w:t>
            </w:r>
          </w:p>
          <w:p w14:paraId="775DB64F">
            <w:pPr>
              <w:pStyle w:val="12"/>
              <w:spacing w:before="28"/>
              <w:ind w:left="217"/>
              <w:rPr>
                <w:rFonts w:ascii="仿宋" w:hAnsi="仿宋" w:eastAsia="仿宋" w:cs="仿宋"/>
                <w:color w:val="auto"/>
                <w:highlight w:val="none"/>
              </w:rPr>
            </w:pPr>
            <w:r>
              <w:rPr>
                <w:rFonts w:hint="eastAsia" w:ascii="仿宋" w:hAnsi="仿宋" w:eastAsia="仿宋" w:cs="仿宋"/>
                <w:color w:val="auto"/>
                <w:spacing w:val="-6"/>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3EE6B315">
            <w:pPr>
              <w:pStyle w:val="12"/>
              <w:spacing w:before="256"/>
              <w:ind w:left="174" w:right="155" w:firstLine="37"/>
              <w:rPr>
                <w:rFonts w:ascii="仿宋" w:hAnsi="仿宋" w:eastAsia="仿宋" w:cs="仿宋"/>
                <w:color w:val="auto"/>
                <w:highlight w:val="none"/>
              </w:rPr>
            </w:pPr>
            <w:r>
              <w:rPr>
                <w:rFonts w:hint="eastAsia" w:ascii="仿宋" w:hAnsi="仿宋" w:eastAsia="仿宋" w:cs="仿宋"/>
                <w:color w:val="auto"/>
                <w:spacing w:val="-11"/>
                <w:highlight w:val="none"/>
                <w:lang w:bidi="ar"/>
              </w:rPr>
              <w:t>3.1</w:t>
            </w:r>
            <w:r>
              <w:rPr>
                <w:rFonts w:hint="eastAsia" w:ascii="仿宋" w:hAnsi="仿宋" w:eastAsia="仿宋" w:cs="仿宋"/>
                <w:color w:val="auto"/>
                <w:spacing w:val="-46"/>
                <w:highlight w:val="none"/>
                <w:lang w:bidi="ar"/>
              </w:rPr>
              <w:t xml:space="preserve"> </w:t>
            </w:r>
            <w:r>
              <w:rPr>
                <w:rFonts w:hint="eastAsia" w:ascii="仿宋" w:hAnsi="仿宋" w:eastAsia="仿宋" w:cs="仿宋"/>
                <w:color w:val="auto"/>
                <w:spacing w:val="-11"/>
                <w:highlight w:val="none"/>
                <w:lang w:bidi="ar"/>
              </w:rPr>
              <w:t>作</w:t>
            </w:r>
            <w:r>
              <w:rPr>
                <w:rFonts w:hint="eastAsia" w:ascii="仿宋" w:hAnsi="仿宋" w:eastAsia="仿宋" w:cs="仿宋"/>
                <w:color w:val="auto"/>
                <w:spacing w:val="-7"/>
                <w:highlight w:val="none"/>
                <w:lang w:bidi="ar"/>
              </w:rPr>
              <w:t>业许可与交底</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7A56A1EE">
            <w:pPr>
              <w:pStyle w:val="12"/>
              <w:spacing w:before="99"/>
              <w:ind w:left="124" w:right="55" w:hanging="4"/>
              <w:rPr>
                <w:rFonts w:ascii="仿宋" w:hAnsi="仿宋" w:eastAsia="仿宋" w:cs="仿宋"/>
                <w:color w:val="auto"/>
                <w:highlight w:val="none"/>
              </w:rPr>
            </w:pPr>
            <w:r>
              <w:rPr>
                <w:rFonts w:hint="eastAsia" w:ascii="仿宋" w:hAnsi="仿宋" w:eastAsia="仿宋" w:cs="仿宋"/>
                <w:color w:val="auto"/>
                <w:spacing w:val="-1"/>
                <w:highlight w:val="none"/>
                <w:lang w:bidi="ar"/>
              </w:rPr>
              <w:t>严格执行特殊作业许可制度，作业前</w:t>
            </w:r>
            <w:r>
              <w:rPr>
                <w:rFonts w:hint="eastAsia" w:ascii="仿宋" w:hAnsi="仿宋" w:eastAsia="仿宋" w:cs="仿宋"/>
                <w:color w:val="auto"/>
                <w:spacing w:val="1"/>
                <w:highlight w:val="none"/>
                <w:lang w:bidi="ar"/>
              </w:rPr>
              <w:t>进行充分风险辨识和安全技术交底，</w:t>
            </w:r>
            <w:r>
              <w:rPr>
                <w:rFonts w:hint="eastAsia" w:ascii="仿宋" w:hAnsi="仿宋" w:eastAsia="仿宋" w:cs="仿宋"/>
                <w:color w:val="auto"/>
                <w:spacing w:val="-9"/>
                <w:highlight w:val="none"/>
                <w:lang w:bidi="ar"/>
              </w:rPr>
              <w:t>资料完整可追溯。一项不符合扣</w:t>
            </w:r>
            <w:r>
              <w:rPr>
                <w:rFonts w:hint="eastAsia" w:ascii="仿宋" w:hAnsi="仿宋" w:eastAsia="仿宋" w:cs="仿宋"/>
                <w:color w:val="auto"/>
                <w:spacing w:val="-22"/>
                <w:highlight w:val="none"/>
                <w:lang w:bidi="ar"/>
              </w:rPr>
              <w:t xml:space="preserve"> </w:t>
            </w:r>
            <w:r>
              <w:rPr>
                <w:rFonts w:hint="eastAsia" w:ascii="仿宋" w:hAnsi="仿宋" w:eastAsia="仿宋" w:cs="仿宋"/>
                <w:color w:val="auto"/>
                <w:spacing w:val="-9"/>
                <w:highlight w:val="none"/>
                <w:lang w:bidi="ar"/>
              </w:rPr>
              <w:t>3</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9"/>
                <w:highlight w:val="none"/>
                <w:lang w:bidi="ar"/>
              </w:rPr>
              <w:t>分，</w:t>
            </w:r>
            <w:r>
              <w:rPr>
                <w:rFonts w:hint="eastAsia" w:ascii="仿宋" w:hAnsi="仿宋" w:eastAsia="仿宋" w:cs="仿宋"/>
                <w:color w:val="auto"/>
                <w:spacing w:val="-2"/>
                <w:highlight w:val="none"/>
                <w:lang w:bidi="ar"/>
              </w:rPr>
              <w:t>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EC087B6">
            <w:pPr>
              <w:rPr>
                <w:rFonts w:ascii="Arial" w:hAnsi="Calibri"/>
                <w:color w:val="auto"/>
                <w:szCs w:val="21"/>
                <w:highlight w:val="none"/>
              </w:rPr>
            </w:pPr>
          </w:p>
          <w:p w14:paraId="7613DE40">
            <w:pPr>
              <w:spacing w:line="242" w:lineRule="auto"/>
              <w:rPr>
                <w:rFonts w:ascii="Arial" w:hAnsi="Calibri"/>
                <w:color w:val="auto"/>
                <w:szCs w:val="21"/>
                <w:highlight w:val="none"/>
              </w:rPr>
            </w:pPr>
          </w:p>
          <w:p w14:paraId="4E1D1426">
            <w:pPr>
              <w:pStyle w:val="12"/>
              <w:spacing w:before="78"/>
              <w:ind w:left="295"/>
              <w:rPr>
                <w:rFonts w:ascii="仿宋" w:hAnsi="仿宋" w:eastAsia="仿宋" w:cs="仿宋"/>
                <w:color w:val="auto"/>
                <w:highlight w:val="none"/>
              </w:rPr>
            </w:pPr>
            <w:r>
              <w:rPr>
                <w:rFonts w:hint="eastAsia" w:ascii="仿宋" w:hAnsi="仿宋" w:eastAsia="仿宋" w:cs="仿宋"/>
                <w:color w:val="auto"/>
                <w:highlight w:val="none"/>
                <w:lang w:bidi="ar"/>
              </w:rPr>
              <w:t>6</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0361C466">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51A51952">
            <w:pPr>
              <w:rPr>
                <w:rFonts w:ascii="Arial" w:hAnsi="Calibri"/>
                <w:color w:val="auto"/>
                <w:szCs w:val="21"/>
                <w:highlight w:val="none"/>
              </w:rPr>
            </w:pPr>
          </w:p>
        </w:tc>
      </w:tr>
      <w:tr w14:paraId="562E9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noWrap w:val="0"/>
            <w:vAlign w:val="top"/>
          </w:tcPr>
          <w:p w14:paraId="7A1A521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5A541AF4">
            <w:pPr>
              <w:pStyle w:val="12"/>
              <w:spacing w:before="101"/>
              <w:ind w:left="211"/>
              <w:rPr>
                <w:rFonts w:ascii="仿宋" w:hAnsi="仿宋" w:eastAsia="仿宋" w:cs="仿宋"/>
                <w:color w:val="auto"/>
                <w:highlight w:val="none"/>
              </w:rPr>
            </w:pPr>
            <w:r>
              <w:rPr>
                <w:rFonts w:hint="eastAsia" w:ascii="仿宋" w:hAnsi="仿宋" w:eastAsia="仿宋" w:cs="仿宋"/>
                <w:color w:val="auto"/>
                <w:spacing w:val="-8"/>
                <w:highlight w:val="none"/>
                <w:lang w:bidi="ar"/>
              </w:rPr>
              <w:t>3.2</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8"/>
                <w:highlight w:val="none"/>
                <w:lang w:bidi="ar"/>
              </w:rPr>
              <w:t>现</w:t>
            </w:r>
          </w:p>
          <w:p w14:paraId="19FAC2FF">
            <w:pPr>
              <w:pStyle w:val="12"/>
              <w:spacing w:before="25"/>
              <w:ind w:left="162"/>
              <w:rPr>
                <w:rFonts w:ascii="仿宋" w:hAnsi="仿宋" w:eastAsia="仿宋" w:cs="仿宋"/>
                <w:color w:val="auto"/>
                <w:highlight w:val="none"/>
              </w:rPr>
            </w:pPr>
            <w:r>
              <w:rPr>
                <w:rFonts w:hint="eastAsia" w:ascii="仿宋" w:hAnsi="仿宋" w:eastAsia="仿宋" w:cs="仿宋"/>
                <w:color w:val="auto"/>
                <w:spacing w:val="-3"/>
                <w:highlight w:val="none"/>
                <w:lang w:bidi="ar"/>
              </w:rPr>
              <w:t>场安全</w:t>
            </w:r>
          </w:p>
          <w:p w14:paraId="4962E9BF">
            <w:pPr>
              <w:pStyle w:val="12"/>
              <w:spacing w:before="28"/>
              <w:ind w:left="283"/>
              <w:rPr>
                <w:rFonts w:ascii="仿宋" w:hAnsi="仿宋" w:eastAsia="仿宋" w:cs="仿宋"/>
                <w:color w:val="auto"/>
                <w:highlight w:val="none"/>
              </w:rPr>
            </w:pPr>
            <w:r>
              <w:rPr>
                <w:rFonts w:hint="eastAsia" w:ascii="仿宋" w:hAnsi="仿宋" w:eastAsia="仿宋" w:cs="仿宋"/>
                <w:color w:val="auto"/>
                <w:spacing w:val="-5"/>
                <w:highlight w:val="none"/>
                <w:lang w:bidi="ar"/>
              </w:rPr>
              <w:t>措施</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403801D5">
            <w:pPr>
              <w:pStyle w:val="12"/>
              <w:spacing w:before="99"/>
              <w:ind w:left="124" w:right="202" w:firstLine="7"/>
              <w:rPr>
                <w:rFonts w:ascii="仿宋" w:hAnsi="仿宋" w:eastAsia="仿宋" w:cs="仿宋"/>
                <w:color w:val="auto"/>
                <w:highlight w:val="none"/>
              </w:rPr>
            </w:pPr>
            <w:r>
              <w:rPr>
                <w:rFonts w:hint="eastAsia" w:ascii="仿宋" w:hAnsi="仿宋" w:eastAsia="仿宋" w:cs="仿宋"/>
                <w:color w:val="auto"/>
                <w:spacing w:val="-2"/>
                <w:highlight w:val="none"/>
                <w:lang w:bidi="ar"/>
              </w:rPr>
              <w:t>现场隔离、警示、通风、消防等安全</w:t>
            </w:r>
            <w:r>
              <w:rPr>
                <w:rFonts w:hint="eastAsia" w:ascii="仿宋" w:hAnsi="仿宋" w:eastAsia="仿宋" w:cs="仿宋"/>
                <w:color w:val="auto"/>
                <w:spacing w:val="-1"/>
                <w:highlight w:val="none"/>
                <w:lang w:bidi="ar"/>
              </w:rPr>
              <w:t>措施落实到位，劳动防护用品规范使</w:t>
            </w:r>
            <w:r>
              <w:rPr>
                <w:rFonts w:hint="eastAsia" w:ascii="仿宋" w:hAnsi="仿宋" w:eastAsia="仿宋" w:cs="仿宋"/>
                <w:color w:val="auto"/>
                <w:spacing w:val="-3"/>
                <w:highlight w:val="none"/>
                <w:lang w:bidi="ar"/>
              </w:rPr>
              <w:t>用。一处不符合扣</w:t>
            </w:r>
            <w:r>
              <w:rPr>
                <w:rFonts w:hint="eastAsia" w:ascii="仿宋" w:hAnsi="仿宋" w:eastAsia="仿宋" w:cs="仿宋"/>
                <w:color w:val="auto"/>
                <w:spacing w:val="-34"/>
                <w:highlight w:val="none"/>
                <w:lang w:bidi="ar"/>
              </w:rPr>
              <w:t xml:space="preserve"> </w:t>
            </w:r>
            <w:r>
              <w:rPr>
                <w:rFonts w:hint="eastAsia" w:ascii="仿宋" w:hAnsi="仿宋" w:eastAsia="仿宋" w:cs="仿宋"/>
                <w:color w:val="auto"/>
                <w:spacing w:val="-3"/>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3"/>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517F26C1">
            <w:pPr>
              <w:spacing w:line="331" w:lineRule="auto"/>
              <w:rPr>
                <w:rFonts w:ascii="Arial" w:hAnsi="Calibri"/>
                <w:color w:val="auto"/>
                <w:szCs w:val="21"/>
                <w:highlight w:val="none"/>
              </w:rPr>
            </w:pPr>
          </w:p>
          <w:p w14:paraId="032AB273">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43FE5FF9">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49DFC75D">
            <w:pPr>
              <w:rPr>
                <w:rFonts w:ascii="Arial" w:hAnsi="Calibri"/>
                <w:color w:val="auto"/>
                <w:szCs w:val="21"/>
                <w:highlight w:val="none"/>
              </w:rPr>
            </w:pPr>
          </w:p>
        </w:tc>
      </w:tr>
      <w:tr w14:paraId="744F2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noWrap w:val="0"/>
            <w:vAlign w:val="top"/>
          </w:tcPr>
          <w:p w14:paraId="7E966A93">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72B4F466">
            <w:pPr>
              <w:pStyle w:val="12"/>
              <w:spacing w:before="99"/>
              <w:ind w:left="211"/>
              <w:rPr>
                <w:rFonts w:ascii="仿宋" w:hAnsi="仿宋" w:eastAsia="仿宋" w:cs="仿宋"/>
                <w:color w:val="auto"/>
                <w:highlight w:val="none"/>
              </w:rPr>
            </w:pPr>
            <w:r>
              <w:rPr>
                <w:rFonts w:hint="eastAsia" w:ascii="仿宋" w:hAnsi="仿宋" w:eastAsia="仿宋" w:cs="仿宋"/>
                <w:color w:val="auto"/>
                <w:spacing w:val="-8"/>
                <w:highlight w:val="none"/>
                <w:lang w:bidi="ar"/>
              </w:rPr>
              <w:t>3.3</w:t>
            </w:r>
            <w:r>
              <w:rPr>
                <w:rFonts w:hint="eastAsia" w:ascii="仿宋" w:hAnsi="仿宋" w:eastAsia="仿宋" w:cs="仿宋"/>
                <w:color w:val="auto"/>
                <w:spacing w:val="-42"/>
                <w:highlight w:val="none"/>
                <w:lang w:bidi="ar"/>
              </w:rPr>
              <w:t xml:space="preserve"> </w:t>
            </w:r>
            <w:r>
              <w:rPr>
                <w:rFonts w:hint="eastAsia" w:ascii="仿宋" w:hAnsi="仿宋" w:eastAsia="仿宋" w:cs="仿宋"/>
                <w:color w:val="auto"/>
                <w:spacing w:val="-8"/>
                <w:highlight w:val="none"/>
                <w:lang w:bidi="ar"/>
              </w:rPr>
              <w:t>工</w:t>
            </w:r>
          </w:p>
          <w:p w14:paraId="649EE985">
            <w:pPr>
              <w:pStyle w:val="12"/>
              <w:spacing w:before="6"/>
              <w:ind w:left="161"/>
              <w:rPr>
                <w:rFonts w:ascii="仿宋" w:hAnsi="仿宋" w:eastAsia="仿宋" w:cs="仿宋"/>
                <w:color w:val="auto"/>
                <w:highlight w:val="none"/>
              </w:rPr>
            </w:pPr>
            <w:r>
              <w:rPr>
                <w:rFonts w:hint="eastAsia" w:ascii="仿宋" w:hAnsi="仿宋" w:eastAsia="仿宋" w:cs="仿宋"/>
                <w:color w:val="auto"/>
                <w:spacing w:val="-3"/>
                <w:highlight w:val="none"/>
                <w:lang w:bidi="ar"/>
              </w:rPr>
              <w:t>机具与</w:t>
            </w:r>
          </w:p>
          <w:p w14:paraId="1575A52B">
            <w:pPr>
              <w:pStyle w:val="12"/>
              <w:spacing w:before="29"/>
              <w:ind w:left="283"/>
              <w:rPr>
                <w:rFonts w:ascii="仿宋" w:hAnsi="仿宋" w:eastAsia="仿宋" w:cs="仿宋"/>
                <w:color w:val="auto"/>
                <w:highlight w:val="none"/>
              </w:rPr>
            </w:pPr>
            <w:r>
              <w:rPr>
                <w:rFonts w:hint="eastAsia" w:ascii="仿宋" w:hAnsi="仿宋" w:eastAsia="仿宋" w:cs="仿宋"/>
                <w:color w:val="auto"/>
                <w:spacing w:val="-5"/>
                <w:highlight w:val="none"/>
                <w:lang w:bidi="ar"/>
              </w:rPr>
              <w:t>设备</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24D82092">
            <w:pPr>
              <w:pStyle w:val="12"/>
              <w:spacing w:before="99"/>
              <w:ind w:left="127" w:right="55" w:firstLine="2"/>
              <w:rPr>
                <w:rFonts w:ascii="仿宋" w:hAnsi="仿宋" w:eastAsia="仿宋" w:cs="仿宋"/>
                <w:color w:val="auto"/>
                <w:highlight w:val="none"/>
              </w:rPr>
            </w:pPr>
            <w:r>
              <w:rPr>
                <w:rFonts w:hint="eastAsia" w:ascii="仿宋" w:hAnsi="仿宋" w:eastAsia="仿宋" w:cs="仿宋"/>
                <w:color w:val="auto"/>
                <w:spacing w:val="-7"/>
                <w:highlight w:val="none"/>
                <w:lang w:bidi="ar"/>
              </w:rPr>
              <w:t>工机具入场检验合格，安全状态良好，</w:t>
            </w:r>
            <w:r>
              <w:rPr>
                <w:rFonts w:hint="eastAsia" w:ascii="仿宋" w:hAnsi="仿宋" w:eastAsia="仿宋" w:cs="仿宋"/>
                <w:color w:val="auto"/>
                <w:spacing w:val="-1"/>
                <w:highlight w:val="none"/>
                <w:lang w:bidi="ar"/>
              </w:rPr>
              <w:t>特种设备检验标识清晰、在检验周期</w:t>
            </w:r>
            <w:r>
              <w:rPr>
                <w:rFonts w:hint="eastAsia" w:ascii="仿宋" w:hAnsi="仿宋" w:eastAsia="仿宋" w:cs="仿宋"/>
                <w:color w:val="auto"/>
                <w:spacing w:val="-3"/>
                <w:highlight w:val="none"/>
                <w:lang w:bidi="ar"/>
              </w:rPr>
              <w:t>内。一项不符合扣</w:t>
            </w:r>
            <w:r>
              <w:rPr>
                <w:rFonts w:hint="eastAsia" w:ascii="仿宋" w:hAnsi="仿宋" w:eastAsia="仿宋" w:cs="仿宋"/>
                <w:color w:val="auto"/>
                <w:spacing w:val="-37"/>
                <w:highlight w:val="none"/>
                <w:lang w:bidi="ar"/>
              </w:rPr>
              <w:t xml:space="preserve"> </w:t>
            </w:r>
            <w:r>
              <w:rPr>
                <w:rFonts w:hint="eastAsia" w:ascii="仿宋" w:hAnsi="仿宋" w:eastAsia="仿宋" w:cs="仿宋"/>
                <w:color w:val="auto"/>
                <w:spacing w:val="-3"/>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3"/>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6774195E">
            <w:pPr>
              <w:spacing w:line="331" w:lineRule="auto"/>
              <w:rPr>
                <w:rFonts w:ascii="Arial" w:hAnsi="Calibri"/>
                <w:color w:val="auto"/>
                <w:szCs w:val="21"/>
                <w:highlight w:val="none"/>
              </w:rPr>
            </w:pPr>
          </w:p>
          <w:p w14:paraId="34457766">
            <w:pPr>
              <w:pStyle w:val="12"/>
              <w:spacing w:before="78"/>
              <w:ind w:left="292"/>
              <w:rPr>
                <w:rFonts w:ascii="仿宋" w:hAnsi="仿宋" w:eastAsia="仿宋" w:cs="仿宋"/>
                <w:color w:val="auto"/>
                <w:highlight w:val="none"/>
              </w:rPr>
            </w:pPr>
            <w:r>
              <w:rPr>
                <w:rFonts w:hint="eastAsia" w:ascii="仿宋" w:hAnsi="仿宋" w:eastAsia="仿宋" w:cs="仿宋"/>
                <w:color w:val="auto"/>
                <w:highlight w:val="none"/>
                <w:lang w:bidi="ar"/>
              </w:rPr>
              <w:t>4</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480DA3CB">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73EA120C">
            <w:pPr>
              <w:rPr>
                <w:rFonts w:ascii="Arial" w:hAnsi="Calibri"/>
                <w:color w:val="auto"/>
                <w:szCs w:val="21"/>
                <w:highlight w:val="none"/>
              </w:rPr>
            </w:pPr>
          </w:p>
        </w:tc>
      </w:tr>
      <w:tr w14:paraId="0421A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779" w:type="dxa"/>
            <w:vMerge w:val="continue"/>
            <w:tcBorders>
              <w:top w:val="nil"/>
              <w:left w:val="single" w:color="000000" w:sz="2" w:space="0"/>
              <w:bottom w:val="nil"/>
              <w:right w:val="single" w:color="000000" w:sz="2" w:space="0"/>
            </w:tcBorders>
            <w:noWrap w:val="0"/>
            <w:vAlign w:val="top"/>
          </w:tcPr>
          <w:p w14:paraId="78005881">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192BCFEC">
            <w:pPr>
              <w:pStyle w:val="12"/>
              <w:spacing w:before="100"/>
              <w:ind w:left="166" w:right="119" w:hanging="22"/>
              <w:rPr>
                <w:rFonts w:ascii="仿宋" w:hAnsi="仿宋" w:eastAsia="仿宋" w:cs="仿宋"/>
                <w:color w:val="auto"/>
                <w:highlight w:val="none"/>
              </w:rPr>
            </w:pPr>
            <w:r>
              <w:rPr>
                <w:rFonts w:hint="eastAsia" w:ascii="仿宋" w:hAnsi="仿宋" w:eastAsia="仿宋" w:cs="仿宋"/>
                <w:color w:val="auto"/>
                <w:spacing w:val="-15"/>
                <w:highlight w:val="none"/>
                <w:lang w:bidi="ar"/>
              </w:rPr>
              <w:t>3.4“三</w:t>
            </w:r>
            <w:r>
              <w:rPr>
                <w:rFonts w:hint="eastAsia" w:ascii="仿宋" w:hAnsi="仿宋" w:eastAsia="仿宋" w:cs="仿宋"/>
                <w:color w:val="auto"/>
                <w:spacing w:val="-5"/>
                <w:highlight w:val="none"/>
                <w:lang w:bidi="ar"/>
              </w:rPr>
              <w:t>违”行</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32593A06">
            <w:pPr>
              <w:pStyle w:val="12"/>
              <w:spacing w:before="100"/>
              <w:ind w:left="131" w:right="202" w:hanging="9"/>
              <w:rPr>
                <w:rFonts w:ascii="仿宋" w:hAnsi="仿宋" w:eastAsia="仿宋" w:cs="仿宋"/>
                <w:color w:val="auto"/>
                <w:highlight w:val="none"/>
              </w:rPr>
            </w:pPr>
            <w:r>
              <w:rPr>
                <w:rFonts w:hint="eastAsia" w:ascii="仿宋" w:hAnsi="仿宋" w:eastAsia="仿宋" w:cs="仿宋"/>
                <w:color w:val="auto"/>
                <w:spacing w:val="-5"/>
                <w:highlight w:val="none"/>
                <w:lang w:bidi="ar"/>
              </w:rPr>
              <w:t>建立</w:t>
            </w:r>
            <w:r>
              <w:rPr>
                <w:rFonts w:hint="eastAsia" w:ascii="仿宋" w:hAnsi="仿宋" w:eastAsia="仿宋" w:cs="仿宋"/>
                <w:color w:val="auto"/>
                <w:spacing w:val="-76"/>
                <w:highlight w:val="none"/>
                <w:lang w:bidi="ar"/>
              </w:rPr>
              <w:t xml:space="preserve"> </w:t>
            </w:r>
            <w:r>
              <w:rPr>
                <w:rFonts w:hint="eastAsia" w:ascii="仿宋" w:hAnsi="仿宋" w:eastAsia="仿宋" w:cs="仿宋"/>
                <w:color w:val="auto"/>
                <w:spacing w:val="-5"/>
                <w:highlight w:val="none"/>
                <w:lang w:bidi="ar"/>
              </w:rPr>
              <w:t>“</w:t>
            </w:r>
            <w:r>
              <w:rPr>
                <w:rFonts w:hint="eastAsia" w:ascii="仿宋" w:hAnsi="仿宋" w:eastAsia="仿宋" w:cs="仿宋"/>
                <w:color w:val="auto"/>
                <w:spacing w:val="-93"/>
                <w:highlight w:val="none"/>
                <w:lang w:bidi="ar"/>
              </w:rPr>
              <w:t xml:space="preserve"> </w:t>
            </w:r>
            <w:r>
              <w:rPr>
                <w:rFonts w:hint="eastAsia" w:ascii="仿宋" w:hAnsi="仿宋" w:eastAsia="仿宋" w:cs="仿宋"/>
                <w:color w:val="auto"/>
                <w:spacing w:val="-5"/>
                <w:highlight w:val="none"/>
                <w:lang w:bidi="ar"/>
              </w:rPr>
              <w:t>三违”行为查处与统计分析机</w:t>
            </w:r>
            <w:r>
              <w:rPr>
                <w:rFonts w:hint="eastAsia" w:ascii="仿宋" w:hAnsi="仿宋" w:eastAsia="仿宋" w:cs="仿宋"/>
                <w:color w:val="auto"/>
                <w:spacing w:val="-2"/>
                <w:highlight w:val="none"/>
                <w:lang w:bidi="ar"/>
              </w:rPr>
              <w:t>制，有记录、有整改、有考核。未建</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3FE0A806">
            <w:pPr>
              <w:pStyle w:val="12"/>
              <w:spacing w:before="256"/>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7276A345">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63B06084">
            <w:pPr>
              <w:rPr>
                <w:rFonts w:ascii="Arial" w:hAnsi="Calibri"/>
                <w:color w:val="auto"/>
                <w:szCs w:val="21"/>
                <w:highlight w:val="none"/>
              </w:rPr>
            </w:pPr>
          </w:p>
        </w:tc>
      </w:tr>
    </w:tbl>
    <w:p w14:paraId="02CA1B4A">
      <w:pPr>
        <w:rPr>
          <w:rFonts w:ascii="Arial" w:hAnsi="Arial" w:cs="Arial"/>
          <w:color w:val="auto"/>
          <w:szCs w:val="21"/>
          <w:highlight w:val="none"/>
        </w:rPr>
        <w:sectPr>
          <w:headerReference r:id="rId5" w:type="default"/>
          <w:footerReference r:id="rId6" w:type="default"/>
          <w:pgSz w:w="11906" w:h="16839"/>
          <w:pgMar w:top="2002" w:right="1066" w:bottom="1225" w:left="1678" w:header="1508" w:footer="1060" w:gutter="0"/>
          <w:cols w:space="720" w:num="1"/>
          <w:formProt w:val="0"/>
          <w:docGrid w:type="linesAndChars" w:linePitch="312" w:charSpace="0"/>
        </w:sectPr>
      </w:pPr>
    </w:p>
    <w:p w14:paraId="34EF6B7D">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23"/>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4E7EA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vMerge w:val="restart"/>
            <w:tcBorders>
              <w:top w:val="single" w:color="000000" w:sz="2" w:space="0"/>
              <w:left w:val="single" w:color="000000" w:sz="2" w:space="0"/>
              <w:bottom w:val="nil"/>
              <w:right w:val="single" w:color="000000" w:sz="2" w:space="0"/>
            </w:tcBorders>
            <w:noWrap w:val="0"/>
            <w:vAlign w:val="top"/>
          </w:tcPr>
          <w:p w14:paraId="69C0E8B0">
            <w:pPr>
              <w:rPr>
                <w:rFonts w:ascii="Arial" w:hAnsi="Calibri"/>
                <w:color w:val="auto"/>
                <w:szCs w:val="21"/>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51F9F8AC">
            <w:pPr>
              <w:pStyle w:val="12"/>
              <w:spacing w:before="97"/>
              <w:ind w:left="171"/>
              <w:rPr>
                <w:rFonts w:ascii="仿宋" w:hAnsi="仿宋" w:eastAsia="仿宋" w:cs="仿宋"/>
                <w:color w:val="auto"/>
                <w:highlight w:val="none"/>
              </w:rPr>
            </w:pPr>
            <w:r>
              <w:rPr>
                <w:rFonts w:hint="eastAsia" w:ascii="仿宋" w:hAnsi="仿宋" w:eastAsia="仿宋" w:cs="仿宋"/>
                <w:color w:val="auto"/>
                <w:spacing w:val="-6"/>
                <w:highlight w:val="none"/>
                <w:lang w:bidi="ar"/>
              </w:rPr>
              <w:t>为管控</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5C440366">
            <w:pPr>
              <w:pStyle w:val="12"/>
              <w:spacing w:before="97"/>
              <w:ind w:left="139" w:hanging="4"/>
              <w:rPr>
                <w:rFonts w:ascii="仿宋" w:hAnsi="仿宋" w:eastAsia="仿宋" w:cs="仿宋"/>
                <w:color w:val="auto"/>
                <w:highlight w:val="none"/>
              </w:rPr>
            </w:pPr>
            <w:r>
              <w:rPr>
                <w:rFonts w:hint="eastAsia" w:ascii="仿宋" w:hAnsi="仿宋" w:eastAsia="仿宋" w:cs="仿宋"/>
                <w:color w:val="auto"/>
                <w:spacing w:val="-5"/>
                <w:highlight w:val="none"/>
                <w:lang w:bidi="ar"/>
              </w:rPr>
              <w:t>立机制本项不得分；发现一般“</w:t>
            </w:r>
            <w:r>
              <w:rPr>
                <w:rFonts w:hint="eastAsia" w:ascii="仿宋" w:hAnsi="仿宋" w:eastAsia="仿宋" w:cs="仿宋"/>
                <w:color w:val="auto"/>
                <w:spacing w:val="-94"/>
                <w:highlight w:val="none"/>
                <w:lang w:bidi="ar"/>
              </w:rPr>
              <w:t xml:space="preserve"> </w:t>
            </w:r>
            <w:r>
              <w:rPr>
                <w:rFonts w:hint="eastAsia" w:ascii="仿宋" w:hAnsi="仿宋" w:eastAsia="仿宋" w:cs="仿宋"/>
                <w:color w:val="auto"/>
                <w:spacing w:val="-5"/>
                <w:highlight w:val="none"/>
                <w:lang w:bidi="ar"/>
              </w:rPr>
              <w:t>三违”</w:t>
            </w:r>
            <w:r>
              <w:rPr>
                <w:rFonts w:hint="eastAsia" w:ascii="仿宋" w:hAnsi="仿宋" w:eastAsia="仿宋" w:cs="仿宋"/>
                <w:color w:val="auto"/>
                <w:spacing w:val="-12"/>
                <w:highlight w:val="none"/>
                <w:lang w:bidi="ar"/>
              </w:rPr>
              <w:t>一次扣</w:t>
            </w:r>
            <w:r>
              <w:rPr>
                <w:rFonts w:hint="eastAsia" w:ascii="仿宋" w:hAnsi="仿宋" w:eastAsia="仿宋" w:cs="仿宋"/>
                <w:color w:val="auto"/>
                <w:spacing w:val="-36"/>
                <w:highlight w:val="none"/>
                <w:lang w:bidi="ar"/>
              </w:rPr>
              <w:t xml:space="preserve"> </w:t>
            </w:r>
            <w:r>
              <w:rPr>
                <w:rFonts w:hint="eastAsia" w:ascii="仿宋" w:hAnsi="仿宋" w:eastAsia="仿宋" w:cs="仿宋"/>
                <w:color w:val="auto"/>
                <w:spacing w:val="-12"/>
                <w:highlight w:val="none"/>
                <w:lang w:bidi="ar"/>
              </w:rPr>
              <w:t>2</w:t>
            </w:r>
            <w:r>
              <w:rPr>
                <w:rFonts w:hint="eastAsia" w:ascii="仿宋" w:hAnsi="仿宋" w:eastAsia="仿宋" w:cs="仿宋"/>
                <w:color w:val="auto"/>
                <w:spacing w:val="-51"/>
                <w:highlight w:val="none"/>
                <w:lang w:bidi="ar"/>
              </w:rPr>
              <w:t xml:space="preserve"> </w:t>
            </w:r>
            <w:r>
              <w:rPr>
                <w:rFonts w:hint="eastAsia" w:ascii="仿宋" w:hAnsi="仿宋" w:eastAsia="仿宋" w:cs="仿宋"/>
                <w:color w:val="auto"/>
                <w:spacing w:val="-12"/>
                <w:highlight w:val="none"/>
                <w:lang w:bidi="ar"/>
              </w:rPr>
              <w:t>分，严重</w:t>
            </w:r>
            <w:r>
              <w:rPr>
                <w:rFonts w:hint="eastAsia" w:ascii="仿宋" w:hAnsi="仿宋" w:eastAsia="仿宋" w:cs="仿宋"/>
                <w:color w:val="auto"/>
                <w:spacing w:val="-90"/>
                <w:highlight w:val="none"/>
                <w:lang w:bidi="ar"/>
              </w:rPr>
              <w:t xml:space="preserve"> </w:t>
            </w:r>
            <w:r>
              <w:rPr>
                <w:rFonts w:hint="eastAsia" w:ascii="仿宋" w:hAnsi="仿宋" w:eastAsia="仿宋" w:cs="仿宋"/>
                <w:color w:val="auto"/>
                <w:spacing w:val="-12"/>
                <w:highlight w:val="none"/>
                <w:lang w:bidi="ar"/>
              </w:rPr>
              <w:t>“三违”一次扣</w:t>
            </w:r>
            <w:r>
              <w:rPr>
                <w:rFonts w:hint="eastAsia" w:ascii="仿宋" w:hAnsi="仿宋" w:eastAsia="仿宋" w:cs="仿宋"/>
                <w:color w:val="auto"/>
                <w:spacing w:val="-40"/>
                <w:highlight w:val="none"/>
                <w:lang w:bidi="ar"/>
              </w:rPr>
              <w:t xml:space="preserve"> </w:t>
            </w:r>
            <w:r>
              <w:rPr>
                <w:rFonts w:hint="eastAsia" w:ascii="仿宋" w:hAnsi="仿宋" w:eastAsia="仿宋" w:cs="仿宋"/>
                <w:color w:val="auto"/>
                <w:spacing w:val="-12"/>
                <w:highlight w:val="none"/>
                <w:lang w:bidi="ar"/>
              </w:rPr>
              <w:t>5</w:t>
            </w:r>
          </w:p>
          <w:p w14:paraId="123B34D3">
            <w:pPr>
              <w:pStyle w:val="12"/>
              <w:ind w:left="126"/>
              <w:rPr>
                <w:rFonts w:ascii="仿宋" w:hAnsi="仿宋" w:eastAsia="仿宋" w:cs="仿宋"/>
                <w:color w:val="auto"/>
                <w:highlight w:val="none"/>
              </w:rPr>
            </w:pPr>
            <w:r>
              <w:rPr>
                <w:rFonts w:hint="eastAsia" w:ascii="仿宋" w:hAnsi="仿宋" w:eastAsia="仿宋" w:cs="仿宋"/>
                <w:color w:val="auto"/>
                <w:spacing w:val="-6"/>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1D0DD359">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543ED60D">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7D693251">
            <w:pPr>
              <w:rPr>
                <w:rFonts w:ascii="Arial" w:hAnsi="Calibri"/>
                <w:color w:val="auto"/>
                <w:szCs w:val="21"/>
                <w:highlight w:val="none"/>
              </w:rPr>
            </w:pPr>
          </w:p>
        </w:tc>
      </w:tr>
      <w:tr w14:paraId="29875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single" w:color="000000" w:sz="2" w:space="0"/>
              <w:left w:val="single" w:color="000000" w:sz="2" w:space="0"/>
              <w:bottom w:val="nil"/>
              <w:right w:val="single" w:color="000000" w:sz="2" w:space="0"/>
            </w:tcBorders>
            <w:noWrap w:val="0"/>
            <w:vAlign w:val="top"/>
          </w:tcPr>
          <w:p w14:paraId="4F43CD51">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4062A7AF">
            <w:pPr>
              <w:pStyle w:val="12"/>
              <w:spacing w:before="250"/>
              <w:ind w:left="211"/>
              <w:rPr>
                <w:rFonts w:ascii="仿宋" w:hAnsi="仿宋" w:eastAsia="仿宋" w:cs="仿宋"/>
                <w:color w:val="auto"/>
                <w:highlight w:val="none"/>
              </w:rPr>
            </w:pPr>
            <w:r>
              <w:rPr>
                <w:rFonts w:hint="eastAsia" w:ascii="仿宋" w:hAnsi="仿宋" w:eastAsia="仿宋" w:cs="仿宋"/>
                <w:color w:val="auto"/>
                <w:spacing w:val="-8"/>
                <w:highlight w:val="none"/>
                <w:lang w:bidi="ar"/>
              </w:rPr>
              <w:t>3.5</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8"/>
                <w:highlight w:val="none"/>
                <w:lang w:bidi="ar"/>
              </w:rPr>
              <w:t>监</w:t>
            </w:r>
          </w:p>
          <w:p w14:paraId="443BE222">
            <w:pPr>
              <w:pStyle w:val="12"/>
              <w:spacing w:before="19"/>
              <w:ind w:left="174"/>
              <w:rPr>
                <w:rFonts w:ascii="仿宋" w:hAnsi="仿宋" w:eastAsia="仿宋" w:cs="仿宋"/>
                <w:color w:val="auto"/>
                <w:highlight w:val="none"/>
              </w:rPr>
            </w:pPr>
            <w:r>
              <w:rPr>
                <w:rFonts w:hint="eastAsia" w:ascii="仿宋" w:hAnsi="仿宋" w:eastAsia="仿宋" w:cs="仿宋"/>
                <w:color w:val="auto"/>
                <w:spacing w:val="-7"/>
                <w:highlight w:val="none"/>
                <w:lang w:bidi="ar"/>
              </w:rPr>
              <w:t>护人履</w:t>
            </w:r>
          </w:p>
          <w:p w14:paraId="099F6585">
            <w:pPr>
              <w:pStyle w:val="12"/>
              <w:spacing w:before="30"/>
              <w:ind w:left="414"/>
              <w:rPr>
                <w:rFonts w:ascii="仿宋" w:hAnsi="仿宋" w:eastAsia="仿宋" w:cs="仿宋"/>
                <w:color w:val="auto"/>
                <w:highlight w:val="none"/>
              </w:rPr>
            </w:pPr>
            <w:r>
              <w:rPr>
                <w:rFonts w:hint="eastAsia" w:ascii="仿宋" w:hAnsi="仿宋" w:eastAsia="仿宋" w:cs="仿宋"/>
                <w:color w:val="auto"/>
                <w:highlight w:val="none"/>
                <w:lang w:bidi="ar"/>
              </w:rPr>
              <w:t>职</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6ECD9DB9">
            <w:pPr>
              <w:pStyle w:val="12"/>
              <w:spacing w:before="94"/>
              <w:ind w:left="126" w:right="202" w:firstLine="8"/>
              <w:rPr>
                <w:rFonts w:ascii="仿宋" w:hAnsi="仿宋" w:eastAsia="仿宋" w:cs="仿宋"/>
                <w:color w:val="auto"/>
                <w:highlight w:val="none"/>
              </w:rPr>
            </w:pPr>
            <w:r>
              <w:rPr>
                <w:rFonts w:hint="eastAsia" w:ascii="仿宋" w:hAnsi="仿宋" w:eastAsia="仿宋" w:cs="仿宋"/>
                <w:color w:val="auto"/>
                <w:spacing w:val="-6"/>
                <w:highlight w:val="none"/>
                <w:lang w:bidi="ar"/>
              </w:rPr>
              <w:t>高风险作业按要求设置</w:t>
            </w:r>
            <w:r>
              <w:rPr>
                <w:rFonts w:hint="eastAsia" w:ascii="仿宋" w:hAnsi="仿宋" w:eastAsia="仿宋" w:cs="仿宋"/>
                <w:color w:val="auto"/>
                <w:spacing w:val="-78"/>
                <w:highlight w:val="none"/>
                <w:lang w:bidi="ar"/>
              </w:rPr>
              <w:t xml:space="preserve"> </w:t>
            </w:r>
            <w:r>
              <w:rPr>
                <w:rFonts w:hint="eastAsia" w:ascii="仿宋" w:hAnsi="仿宋" w:eastAsia="仿宋" w:cs="仿宋"/>
                <w:color w:val="auto"/>
                <w:spacing w:val="-6"/>
                <w:highlight w:val="none"/>
                <w:lang w:bidi="ar"/>
              </w:rPr>
              <w:t>“双监护”</w:t>
            </w:r>
            <w:r>
              <w:rPr>
                <w:rFonts w:hint="eastAsia" w:ascii="仿宋" w:hAnsi="仿宋" w:eastAsia="仿宋" w:cs="仿宋"/>
                <w:color w:val="auto"/>
                <w:spacing w:val="-87"/>
                <w:highlight w:val="none"/>
                <w:lang w:bidi="ar"/>
              </w:rPr>
              <w:t xml:space="preserve"> </w:t>
            </w:r>
            <w:r>
              <w:rPr>
                <w:rFonts w:hint="eastAsia" w:ascii="仿宋" w:hAnsi="仿宋" w:eastAsia="仿宋" w:cs="仿宋"/>
                <w:color w:val="auto"/>
                <w:spacing w:val="-6"/>
                <w:highlight w:val="none"/>
                <w:lang w:bidi="ar"/>
              </w:rPr>
              <w:t>，</w:t>
            </w:r>
            <w:r>
              <w:rPr>
                <w:rFonts w:hint="eastAsia" w:ascii="仿宋" w:hAnsi="仿宋" w:eastAsia="仿宋" w:cs="仿宋"/>
                <w:color w:val="auto"/>
                <w:spacing w:val="-1"/>
                <w:highlight w:val="none"/>
                <w:lang w:bidi="ar"/>
              </w:rPr>
              <w:t>中风险作业由发包方专人监护，监护</w:t>
            </w:r>
            <w:r>
              <w:rPr>
                <w:rFonts w:hint="eastAsia" w:ascii="仿宋" w:hAnsi="仿宋" w:eastAsia="仿宋" w:cs="仿宋"/>
                <w:color w:val="auto"/>
                <w:spacing w:val="-3"/>
                <w:highlight w:val="none"/>
                <w:lang w:bidi="ar"/>
              </w:rPr>
              <w:t>人持证并在岗履职。一处不符合扣</w:t>
            </w:r>
            <w:r>
              <w:rPr>
                <w:rFonts w:hint="eastAsia" w:ascii="仿宋" w:hAnsi="仿宋" w:eastAsia="仿宋" w:cs="仿宋"/>
                <w:color w:val="auto"/>
                <w:spacing w:val="-25"/>
                <w:highlight w:val="none"/>
                <w:lang w:bidi="ar"/>
              </w:rPr>
              <w:t xml:space="preserve"> </w:t>
            </w:r>
            <w:r>
              <w:rPr>
                <w:rFonts w:hint="eastAsia" w:ascii="仿宋" w:hAnsi="仿宋" w:eastAsia="仿宋" w:cs="仿宋"/>
                <w:color w:val="auto"/>
                <w:spacing w:val="-3"/>
                <w:highlight w:val="none"/>
                <w:lang w:bidi="ar"/>
              </w:rPr>
              <w:t>3</w:t>
            </w:r>
            <w:r>
              <w:rPr>
                <w:rFonts w:hint="eastAsia" w:ascii="仿宋" w:hAnsi="仿宋" w:eastAsia="仿宋" w:cs="仿宋"/>
                <w:color w:val="auto"/>
                <w:spacing w:val="-2"/>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2DF0D555">
            <w:pPr>
              <w:rPr>
                <w:rFonts w:ascii="Arial" w:hAnsi="Calibri"/>
                <w:color w:val="auto"/>
                <w:szCs w:val="21"/>
                <w:highlight w:val="none"/>
              </w:rPr>
            </w:pPr>
          </w:p>
          <w:p w14:paraId="6612F021">
            <w:pPr>
              <w:rPr>
                <w:rFonts w:ascii="Arial" w:hAnsi="Calibri"/>
                <w:color w:val="auto"/>
                <w:szCs w:val="21"/>
                <w:highlight w:val="none"/>
              </w:rPr>
            </w:pPr>
          </w:p>
          <w:p w14:paraId="0DECC86C">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231106B3">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7BF29B75">
            <w:pPr>
              <w:rPr>
                <w:rFonts w:ascii="Arial" w:hAnsi="Calibri"/>
                <w:color w:val="auto"/>
                <w:szCs w:val="21"/>
                <w:highlight w:val="none"/>
              </w:rPr>
            </w:pPr>
          </w:p>
        </w:tc>
      </w:tr>
      <w:tr w14:paraId="30691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noWrap w:val="0"/>
            <w:vAlign w:val="top"/>
          </w:tcPr>
          <w:p w14:paraId="53CDB12C">
            <w:pPr>
              <w:spacing w:line="256" w:lineRule="auto"/>
              <w:rPr>
                <w:rFonts w:ascii="Arial" w:hAnsi="Calibri"/>
                <w:color w:val="auto"/>
                <w:szCs w:val="21"/>
                <w:highlight w:val="none"/>
              </w:rPr>
            </w:pPr>
          </w:p>
          <w:p w14:paraId="1D4F116E">
            <w:pPr>
              <w:spacing w:line="256" w:lineRule="auto"/>
              <w:rPr>
                <w:rFonts w:ascii="Arial" w:hAnsi="Calibri"/>
                <w:color w:val="auto"/>
                <w:szCs w:val="21"/>
                <w:highlight w:val="none"/>
              </w:rPr>
            </w:pPr>
          </w:p>
          <w:p w14:paraId="1CB5D174">
            <w:pPr>
              <w:spacing w:line="256" w:lineRule="auto"/>
              <w:rPr>
                <w:rFonts w:ascii="Arial" w:hAnsi="Calibri"/>
                <w:color w:val="auto"/>
                <w:szCs w:val="21"/>
                <w:highlight w:val="none"/>
              </w:rPr>
            </w:pPr>
          </w:p>
          <w:p w14:paraId="6686883E">
            <w:pPr>
              <w:spacing w:line="256" w:lineRule="auto"/>
              <w:rPr>
                <w:rFonts w:ascii="Arial" w:hAnsi="Calibri"/>
                <w:color w:val="auto"/>
                <w:szCs w:val="21"/>
                <w:highlight w:val="none"/>
              </w:rPr>
            </w:pPr>
          </w:p>
          <w:p w14:paraId="4F84F9FF">
            <w:pPr>
              <w:spacing w:line="256" w:lineRule="auto"/>
              <w:rPr>
                <w:rFonts w:ascii="Arial" w:hAnsi="Calibri"/>
                <w:color w:val="auto"/>
                <w:szCs w:val="21"/>
                <w:highlight w:val="none"/>
              </w:rPr>
            </w:pPr>
          </w:p>
          <w:p w14:paraId="480A4DC7">
            <w:pPr>
              <w:spacing w:line="256" w:lineRule="auto"/>
              <w:rPr>
                <w:rFonts w:ascii="Arial" w:hAnsi="Calibri"/>
                <w:color w:val="auto"/>
                <w:szCs w:val="21"/>
                <w:highlight w:val="none"/>
              </w:rPr>
            </w:pPr>
          </w:p>
          <w:p w14:paraId="4DAF2622">
            <w:pPr>
              <w:spacing w:line="256" w:lineRule="auto"/>
              <w:rPr>
                <w:rFonts w:ascii="Arial" w:hAnsi="Calibri"/>
                <w:color w:val="auto"/>
                <w:szCs w:val="21"/>
                <w:highlight w:val="none"/>
              </w:rPr>
            </w:pPr>
          </w:p>
          <w:p w14:paraId="4E7CBA9F">
            <w:pPr>
              <w:spacing w:line="256" w:lineRule="auto"/>
              <w:rPr>
                <w:rFonts w:ascii="Arial" w:hAnsi="Calibri"/>
                <w:color w:val="auto"/>
                <w:szCs w:val="21"/>
                <w:highlight w:val="none"/>
              </w:rPr>
            </w:pPr>
          </w:p>
          <w:p w14:paraId="185023A4">
            <w:pPr>
              <w:spacing w:line="256" w:lineRule="auto"/>
              <w:rPr>
                <w:rFonts w:ascii="Arial" w:hAnsi="Calibri"/>
                <w:color w:val="auto"/>
                <w:szCs w:val="21"/>
                <w:highlight w:val="none"/>
              </w:rPr>
            </w:pPr>
          </w:p>
          <w:p w14:paraId="0A58D60C">
            <w:pPr>
              <w:spacing w:line="256" w:lineRule="auto"/>
              <w:rPr>
                <w:rFonts w:ascii="Arial" w:hAnsi="Calibri"/>
                <w:color w:val="auto"/>
                <w:szCs w:val="21"/>
                <w:highlight w:val="none"/>
              </w:rPr>
            </w:pPr>
          </w:p>
          <w:p w14:paraId="3EF7EC79">
            <w:pPr>
              <w:spacing w:line="256" w:lineRule="auto"/>
              <w:rPr>
                <w:rFonts w:ascii="Arial" w:hAnsi="Calibri"/>
                <w:color w:val="auto"/>
                <w:szCs w:val="21"/>
                <w:highlight w:val="none"/>
              </w:rPr>
            </w:pPr>
          </w:p>
          <w:p w14:paraId="652ACF2B">
            <w:pPr>
              <w:pStyle w:val="12"/>
              <w:spacing w:before="78"/>
              <w:ind w:left="154" w:right="147" w:firstLine="9"/>
              <w:rPr>
                <w:rFonts w:ascii="仿宋" w:hAnsi="仿宋" w:eastAsia="仿宋" w:cs="仿宋"/>
                <w:color w:val="auto"/>
                <w:highlight w:val="none"/>
              </w:rPr>
            </w:pPr>
            <w:r>
              <w:rPr>
                <w:rFonts w:hint="eastAsia" w:ascii="仿宋" w:hAnsi="仿宋" w:eastAsia="仿宋" w:cs="仿宋"/>
                <w:color w:val="auto"/>
                <w:spacing w:val="-6"/>
                <w:highlight w:val="none"/>
                <w:lang w:bidi="ar"/>
              </w:rPr>
              <w:t>4.安</w:t>
            </w:r>
            <w:r>
              <w:rPr>
                <w:rFonts w:hint="eastAsia" w:ascii="仿宋" w:hAnsi="仿宋" w:eastAsia="仿宋" w:cs="仿宋"/>
                <w:color w:val="auto"/>
                <w:spacing w:val="-5"/>
                <w:highlight w:val="none"/>
                <w:lang w:bidi="ar"/>
              </w:rPr>
              <w:t>全绩效与改进</w:t>
            </w:r>
            <w:r>
              <w:rPr>
                <w:rFonts w:hint="eastAsia" w:ascii="仿宋" w:hAnsi="仿宋" w:eastAsia="仿宋" w:cs="仿宋"/>
                <w:color w:val="auto"/>
                <w:spacing w:val="17"/>
                <w:highlight w:val="none"/>
                <w:lang w:bidi="ar"/>
              </w:rPr>
              <w:t>(30</w:t>
            </w:r>
            <w:r>
              <w:rPr>
                <w:rFonts w:hint="eastAsia" w:ascii="仿宋" w:hAnsi="仿宋" w:eastAsia="仿宋" w:cs="仿宋"/>
                <w:color w:val="auto"/>
                <w:spacing w:val="25"/>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33CC6D46">
            <w:pPr>
              <w:pStyle w:val="12"/>
              <w:spacing w:before="252"/>
              <w:ind w:left="200"/>
              <w:rPr>
                <w:rFonts w:ascii="仿宋" w:hAnsi="仿宋" w:eastAsia="仿宋" w:cs="仿宋"/>
                <w:color w:val="auto"/>
                <w:highlight w:val="none"/>
              </w:rPr>
            </w:pPr>
            <w:r>
              <w:rPr>
                <w:rFonts w:hint="eastAsia" w:ascii="仿宋" w:hAnsi="仿宋" w:eastAsia="仿宋" w:cs="仿宋"/>
                <w:color w:val="auto"/>
                <w:spacing w:val="-5"/>
                <w:highlight w:val="none"/>
                <w:lang w:bidi="ar"/>
              </w:rPr>
              <w:t>4.1</w:t>
            </w:r>
            <w:r>
              <w:rPr>
                <w:rFonts w:hint="eastAsia" w:ascii="仿宋" w:hAnsi="仿宋" w:eastAsia="仿宋" w:cs="仿宋"/>
                <w:color w:val="auto"/>
                <w:spacing w:val="-44"/>
                <w:highlight w:val="none"/>
                <w:lang w:bidi="ar"/>
              </w:rPr>
              <w:t xml:space="preserve"> </w:t>
            </w:r>
            <w:r>
              <w:rPr>
                <w:rFonts w:hint="eastAsia" w:ascii="仿宋" w:hAnsi="仿宋" w:eastAsia="仿宋" w:cs="仿宋"/>
                <w:color w:val="auto"/>
                <w:spacing w:val="-5"/>
                <w:highlight w:val="none"/>
                <w:lang w:bidi="ar"/>
              </w:rPr>
              <w:t>安</w:t>
            </w:r>
          </w:p>
          <w:p w14:paraId="6DBC3BC2">
            <w:pPr>
              <w:pStyle w:val="12"/>
              <w:spacing w:before="27"/>
              <w:ind w:left="162"/>
              <w:rPr>
                <w:rFonts w:ascii="仿宋" w:hAnsi="仿宋" w:eastAsia="仿宋" w:cs="仿宋"/>
                <w:color w:val="auto"/>
                <w:highlight w:val="none"/>
              </w:rPr>
            </w:pPr>
            <w:r>
              <w:rPr>
                <w:rFonts w:hint="eastAsia" w:ascii="仿宋" w:hAnsi="仿宋" w:eastAsia="仿宋" w:cs="仿宋"/>
                <w:color w:val="auto"/>
                <w:spacing w:val="-3"/>
                <w:highlight w:val="none"/>
                <w:lang w:bidi="ar"/>
              </w:rPr>
              <w:t>全事故</w:t>
            </w:r>
          </w:p>
          <w:p w14:paraId="5B083276">
            <w:pPr>
              <w:pStyle w:val="12"/>
              <w:spacing w:before="28"/>
              <w:ind w:left="293"/>
              <w:rPr>
                <w:rFonts w:ascii="仿宋" w:hAnsi="仿宋" w:eastAsia="仿宋" w:cs="仿宋"/>
                <w:color w:val="auto"/>
                <w:highlight w:val="none"/>
              </w:rPr>
            </w:pPr>
            <w:r>
              <w:rPr>
                <w:rFonts w:hint="eastAsia" w:ascii="仿宋" w:hAnsi="仿宋" w:eastAsia="仿宋" w:cs="仿宋"/>
                <w:color w:val="auto"/>
                <w:spacing w:val="-10"/>
                <w:highlight w:val="none"/>
                <w:lang w:bidi="ar"/>
              </w:rPr>
              <w:t>情况</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29A057BD">
            <w:pPr>
              <w:pStyle w:val="12"/>
              <w:spacing w:before="94"/>
              <w:ind w:left="131" w:right="116" w:hanging="7"/>
              <w:rPr>
                <w:rFonts w:ascii="仿宋" w:hAnsi="仿宋" w:eastAsia="仿宋" w:cs="仿宋"/>
                <w:color w:val="auto"/>
                <w:highlight w:val="none"/>
              </w:rPr>
            </w:pPr>
            <w:r>
              <w:rPr>
                <w:rFonts w:hint="eastAsia" w:ascii="仿宋" w:hAnsi="仿宋" w:eastAsia="仿宋" w:cs="仿宋"/>
                <w:color w:val="auto"/>
                <w:spacing w:val="-1"/>
                <w:highlight w:val="none"/>
                <w:lang w:bidi="ar"/>
              </w:rPr>
              <w:t>评价期内未发生生产安全责任事故得</w:t>
            </w:r>
            <w:r>
              <w:rPr>
                <w:rFonts w:hint="eastAsia" w:ascii="仿宋" w:hAnsi="仿宋" w:eastAsia="仿宋" w:cs="仿宋"/>
                <w:color w:val="auto"/>
                <w:spacing w:val="-2"/>
                <w:highlight w:val="none"/>
                <w:lang w:bidi="ar"/>
              </w:rPr>
              <w:t>10</w:t>
            </w:r>
            <w:r>
              <w:rPr>
                <w:rFonts w:hint="eastAsia" w:ascii="仿宋" w:hAnsi="仿宋" w:eastAsia="仿宋" w:cs="仿宋"/>
                <w:color w:val="auto"/>
                <w:spacing w:val="-44"/>
                <w:highlight w:val="none"/>
                <w:lang w:bidi="ar"/>
              </w:rPr>
              <w:t xml:space="preserve"> </w:t>
            </w:r>
            <w:r>
              <w:rPr>
                <w:rFonts w:hint="eastAsia" w:ascii="仿宋" w:hAnsi="仿宋" w:eastAsia="仿宋" w:cs="仿宋"/>
                <w:color w:val="auto"/>
                <w:spacing w:val="-2"/>
                <w:highlight w:val="none"/>
                <w:lang w:bidi="ar"/>
              </w:rPr>
              <w:t>分。发生生产安全责任事故，视严</w:t>
            </w:r>
            <w:r>
              <w:rPr>
                <w:rFonts w:hint="eastAsia" w:ascii="仿宋" w:hAnsi="仿宋" w:eastAsia="仿宋" w:cs="仿宋"/>
                <w:color w:val="auto"/>
                <w:spacing w:val="-5"/>
                <w:highlight w:val="none"/>
                <w:lang w:bidi="ar"/>
              </w:rPr>
              <w:t>重程度扣</w:t>
            </w:r>
            <w:r>
              <w:rPr>
                <w:rFonts w:hint="eastAsia" w:ascii="仿宋" w:hAnsi="仿宋" w:eastAsia="仿宋" w:cs="仿宋"/>
                <w:color w:val="auto"/>
                <w:spacing w:val="-33"/>
                <w:highlight w:val="none"/>
                <w:lang w:bidi="ar"/>
              </w:rPr>
              <w:t xml:space="preserve"> </w:t>
            </w:r>
            <w:r>
              <w:rPr>
                <w:rFonts w:hint="eastAsia" w:ascii="仿宋" w:hAnsi="仿宋" w:eastAsia="仿宋" w:cs="仿宋"/>
                <w:color w:val="auto"/>
                <w:spacing w:val="-5"/>
                <w:highlight w:val="none"/>
                <w:lang w:bidi="ar"/>
              </w:rPr>
              <w:t>5-10</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5"/>
                <w:highlight w:val="none"/>
                <w:lang w:bidi="ar"/>
              </w:rPr>
              <w:t>分；存在瞒报、谎报行</w:t>
            </w:r>
            <w:r>
              <w:rPr>
                <w:rFonts w:hint="eastAsia" w:ascii="仿宋" w:hAnsi="仿宋" w:eastAsia="仿宋" w:cs="仿宋"/>
                <w:color w:val="auto"/>
                <w:spacing w:val="-3"/>
                <w:highlight w:val="none"/>
                <w:lang w:bidi="ar"/>
              </w:rPr>
              <w:t>为，本项不得分。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991E861">
            <w:pPr>
              <w:rPr>
                <w:rFonts w:ascii="Arial" w:hAnsi="Calibri"/>
                <w:color w:val="auto"/>
                <w:szCs w:val="21"/>
                <w:highlight w:val="none"/>
              </w:rPr>
            </w:pPr>
          </w:p>
          <w:p w14:paraId="3726026C">
            <w:pPr>
              <w:rPr>
                <w:rFonts w:ascii="Arial" w:hAnsi="Calibri"/>
                <w:color w:val="auto"/>
                <w:szCs w:val="21"/>
                <w:highlight w:val="none"/>
              </w:rPr>
            </w:pPr>
          </w:p>
          <w:p w14:paraId="011E8342">
            <w:pPr>
              <w:pStyle w:val="12"/>
              <w:spacing w:before="78"/>
              <w:ind w:left="239"/>
              <w:rPr>
                <w:rFonts w:ascii="仿宋" w:hAnsi="仿宋" w:eastAsia="仿宋" w:cs="仿宋"/>
                <w:color w:val="auto"/>
                <w:highlight w:val="none"/>
              </w:rPr>
            </w:pPr>
            <w:r>
              <w:rPr>
                <w:rFonts w:hint="eastAsia" w:ascii="仿宋" w:hAnsi="仿宋" w:eastAsia="仿宋" w:cs="仿宋"/>
                <w:color w:val="auto"/>
                <w:spacing w:val="-13"/>
                <w:highlight w:val="none"/>
                <w:lang w:bidi="ar"/>
              </w:rPr>
              <w:t>10</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3FA50D40">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3C707059">
            <w:pPr>
              <w:rPr>
                <w:rFonts w:ascii="Arial" w:hAnsi="Calibri"/>
                <w:color w:val="auto"/>
                <w:szCs w:val="21"/>
                <w:highlight w:val="none"/>
              </w:rPr>
            </w:pPr>
          </w:p>
        </w:tc>
      </w:tr>
      <w:tr w14:paraId="0FF8E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noWrap w:val="0"/>
            <w:vAlign w:val="top"/>
          </w:tcPr>
          <w:p w14:paraId="016CE1F9">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27E1E362">
            <w:pPr>
              <w:pStyle w:val="12"/>
              <w:spacing w:before="98"/>
              <w:ind w:left="180" w:right="40" w:hanging="47"/>
              <w:rPr>
                <w:rFonts w:ascii="仿宋" w:hAnsi="仿宋" w:eastAsia="仿宋" w:cs="仿宋"/>
                <w:color w:val="auto"/>
                <w:highlight w:val="none"/>
              </w:rPr>
            </w:pPr>
            <w:r>
              <w:rPr>
                <w:rFonts w:hint="eastAsia" w:ascii="仿宋" w:hAnsi="仿宋" w:eastAsia="仿宋" w:cs="仿宋"/>
                <w:color w:val="auto"/>
                <w:spacing w:val="-13"/>
                <w:highlight w:val="none"/>
                <w:lang w:bidi="ar"/>
              </w:rPr>
              <w:t>4.2“吹</w:t>
            </w:r>
            <w:r>
              <w:rPr>
                <w:rFonts w:hint="eastAsia" w:ascii="仿宋" w:hAnsi="仿宋" w:eastAsia="仿宋" w:cs="仿宋"/>
                <w:color w:val="auto"/>
                <w:spacing w:val="29"/>
                <w:highlight w:val="none"/>
                <w:lang w:bidi="ar"/>
              </w:rPr>
              <w:t>哨人”</w:t>
            </w:r>
          </w:p>
          <w:p w14:paraId="260D493A">
            <w:pPr>
              <w:pStyle w:val="12"/>
              <w:spacing w:before="2"/>
              <w:ind w:left="403" w:right="155" w:hanging="232"/>
              <w:rPr>
                <w:rFonts w:ascii="仿宋" w:hAnsi="仿宋" w:eastAsia="仿宋" w:cs="仿宋"/>
                <w:color w:val="auto"/>
                <w:highlight w:val="none"/>
              </w:rPr>
            </w:pPr>
            <w:r>
              <w:rPr>
                <w:rFonts w:hint="eastAsia" w:ascii="仿宋" w:hAnsi="仿宋" w:eastAsia="仿宋" w:cs="仿宋"/>
                <w:color w:val="auto"/>
                <w:spacing w:val="-6"/>
                <w:highlight w:val="none"/>
                <w:lang w:bidi="ar"/>
              </w:rPr>
              <w:t>制度执</w:t>
            </w:r>
            <w:r>
              <w:rPr>
                <w:rFonts w:hint="eastAsia" w:ascii="仿宋" w:hAnsi="仿宋" w:eastAsia="仿宋" w:cs="仿宋"/>
                <w:color w:val="auto"/>
                <w:highlight w:val="none"/>
                <w:lang w:bidi="ar"/>
              </w:rPr>
              <w:t>行</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352941BF">
            <w:pPr>
              <w:pStyle w:val="12"/>
              <w:spacing w:before="100"/>
              <w:ind w:left="120" w:right="202" w:firstLine="1"/>
              <w:rPr>
                <w:rFonts w:ascii="仿宋" w:hAnsi="仿宋" w:eastAsia="仿宋" w:cs="仿宋"/>
                <w:color w:val="auto"/>
                <w:highlight w:val="none"/>
              </w:rPr>
            </w:pPr>
            <w:r>
              <w:rPr>
                <w:rFonts w:hint="eastAsia" w:ascii="仿宋" w:hAnsi="仿宋" w:eastAsia="仿宋" w:cs="仿宋"/>
                <w:color w:val="auto"/>
                <w:spacing w:val="-3"/>
                <w:highlight w:val="none"/>
                <w:lang w:bidi="ar"/>
              </w:rPr>
              <w:t>建立并有效执行</w:t>
            </w:r>
            <w:r>
              <w:rPr>
                <w:rFonts w:hint="eastAsia" w:ascii="仿宋" w:hAnsi="仿宋" w:eastAsia="仿宋" w:cs="仿宋"/>
                <w:color w:val="auto"/>
                <w:spacing w:val="-81"/>
                <w:highlight w:val="none"/>
                <w:lang w:bidi="ar"/>
              </w:rPr>
              <w:t xml:space="preserve"> </w:t>
            </w:r>
            <w:r>
              <w:rPr>
                <w:rFonts w:hint="eastAsia" w:ascii="仿宋" w:hAnsi="仿宋" w:eastAsia="仿宋" w:cs="仿宋"/>
                <w:color w:val="auto"/>
                <w:spacing w:val="-3"/>
                <w:highlight w:val="none"/>
                <w:lang w:bidi="ar"/>
              </w:rPr>
              <w:t>“吹哨人”及隐患内</w:t>
            </w:r>
            <w:r>
              <w:rPr>
                <w:rFonts w:hint="eastAsia" w:ascii="仿宋" w:hAnsi="仿宋" w:eastAsia="仿宋" w:cs="仿宋"/>
                <w:color w:val="auto"/>
                <w:spacing w:val="-1"/>
                <w:highlight w:val="none"/>
                <w:lang w:bidi="ar"/>
              </w:rPr>
              <w:t>部报告制度，奖励标准明确、落实到位，有完整台账记录。制度未建立不</w:t>
            </w:r>
            <w:r>
              <w:rPr>
                <w:rFonts w:hint="eastAsia" w:ascii="仿宋" w:hAnsi="仿宋" w:eastAsia="仿宋" w:cs="仿宋"/>
                <w:color w:val="auto"/>
                <w:spacing w:val="-4"/>
                <w:highlight w:val="none"/>
                <w:lang w:bidi="ar"/>
              </w:rPr>
              <w:t>得分；执行不到位扣</w:t>
            </w:r>
            <w:r>
              <w:rPr>
                <w:rFonts w:hint="eastAsia" w:ascii="仿宋" w:hAnsi="仿宋" w:eastAsia="仿宋" w:cs="仿宋"/>
                <w:color w:val="auto"/>
                <w:spacing w:val="-22"/>
                <w:highlight w:val="none"/>
                <w:lang w:bidi="ar"/>
              </w:rPr>
              <w:t xml:space="preserve"> </w:t>
            </w:r>
            <w:r>
              <w:rPr>
                <w:rFonts w:hint="eastAsia" w:ascii="仿宋" w:hAnsi="仿宋" w:eastAsia="仿宋" w:cs="仿宋"/>
                <w:color w:val="auto"/>
                <w:spacing w:val="-4"/>
                <w:highlight w:val="none"/>
                <w:lang w:bidi="ar"/>
              </w:rPr>
              <w:t>3-5</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7E00943C">
            <w:pPr>
              <w:rPr>
                <w:rFonts w:ascii="Arial" w:hAnsi="Calibri"/>
                <w:color w:val="auto"/>
                <w:szCs w:val="21"/>
                <w:highlight w:val="none"/>
              </w:rPr>
            </w:pPr>
          </w:p>
          <w:p w14:paraId="57D5A08D">
            <w:pPr>
              <w:spacing w:line="242" w:lineRule="auto"/>
              <w:rPr>
                <w:rFonts w:ascii="Arial" w:hAnsi="Calibri"/>
                <w:color w:val="auto"/>
                <w:szCs w:val="21"/>
                <w:highlight w:val="none"/>
              </w:rPr>
            </w:pPr>
          </w:p>
          <w:p w14:paraId="0FEB3B30">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42968521">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39434CE5">
            <w:pPr>
              <w:rPr>
                <w:rFonts w:ascii="Arial" w:hAnsi="Calibri"/>
                <w:color w:val="auto"/>
                <w:szCs w:val="21"/>
                <w:highlight w:val="none"/>
              </w:rPr>
            </w:pPr>
          </w:p>
        </w:tc>
      </w:tr>
      <w:tr w14:paraId="1B576C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noWrap w:val="0"/>
            <w:vAlign w:val="top"/>
          </w:tcPr>
          <w:p w14:paraId="66311A70">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627E8F6E">
            <w:pPr>
              <w:pStyle w:val="12"/>
              <w:spacing w:before="252"/>
              <w:ind w:left="200"/>
              <w:rPr>
                <w:rFonts w:ascii="仿宋" w:hAnsi="仿宋" w:eastAsia="仿宋" w:cs="仿宋"/>
                <w:color w:val="auto"/>
                <w:highlight w:val="none"/>
              </w:rPr>
            </w:pPr>
            <w:r>
              <w:rPr>
                <w:rFonts w:hint="eastAsia" w:ascii="仿宋" w:hAnsi="仿宋" w:eastAsia="仿宋" w:cs="仿宋"/>
                <w:color w:val="auto"/>
                <w:spacing w:val="-5"/>
                <w:highlight w:val="none"/>
                <w:lang w:bidi="ar"/>
              </w:rPr>
              <w:t>4.3</w:t>
            </w:r>
            <w:r>
              <w:rPr>
                <w:rFonts w:hint="eastAsia" w:ascii="仿宋" w:hAnsi="仿宋" w:eastAsia="仿宋" w:cs="仿宋"/>
                <w:color w:val="auto"/>
                <w:spacing w:val="-31"/>
                <w:highlight w:val="none"/>
                <w:lang w:bidi="ar"/>
              </w:rPr>
              <w:t xml:space="preserve"> </w:t>
            </w:r>
            <w:r>
              <w:rPr>
                <w:rFonts w:hint="eastAsia" w:ascii="仿宋" w:hAnsi="仿宋" w:eastAsia="仿宋" w:cs="仿宋"/>
                <w:color w:val="auto"/>
                <w:spacing w:val="-5"/>
                <w:highlight w:val="none"/>
                <w:lang w:bidi="ar"/>
              </w:rPr>
              <w:t>隐</w:t>
            </w:r>
          </w:p>
          <w:p w14:paraId="74BFA054">
            <w:pPr>
              <w:pStyle w:val="12"/>
              <w:spacing w:before="27"/>
              <w:ind w:left="177"/>
              <w:rPr>
                <w:rFonts w:ascii="仿宋" w:hAnsi="仿宋" w:eastAsia="仿宋" w:cs="仿宋"/>
                <w:color w:val="auto"/>
                <w:highlight w:val="none"/>
              </w:rPr>
            </w:pPr>
            <w:r>
              <w:rPr>
                <w:rFonts w:hint="eastAsia" w:ascii="仿宋" w:hAnsi="仿宋" w:eastAsia="仿宋" w:cs="仿宋"/>
                <w:color w:val="auto"/>
                <w:spacing w:val="-8"/>
                <w:highlight w:val="none"/>
                <w:lang w:bidi="ar"/>
              </w:rPr>
              <w:t>患整改</w:t>
            </w:r>
          </w:p>
          <w:p w14:paraId="04D3D94D">
            <w:pPr>
              <w:pStyle w:val="12"/>
              <w:spacing w:before="29"/>
              <w:ind w:left="307"/>
              <w:rPr>
                <w:rFonts w:ascii="仿宋" w:hAnsi="仿宋" w:eastAsia="仿宋" w:cs="仿宋"/>
                <w:color w:val="auto"/>
                <w:highlight w:val="none"/>
              </w:rPr>
            </w:pPr>
            <w:r>
              <w:rPr>
                <w:rFonts w:hint="eastAsia" w:ascii="仿宋" w:hAnsi="仿宋" w:eastAsia="仿宋" w:cs="仿宋"/>
                <w:color w:val="auto"/>
                <w:spacing w:val="-17"/>
                <w:highlight w:val="none"/>
                <w:lang w:bidi="ar"/>
              </w:rPr>
              <w:t>闭环</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33D0A85E">
            <w:pPr>
              <w:pStyle w:val="12"/>
              <w:spacing w:before="95"/>
              <w:ind w:left="118" w:right="202" w:firstLine="11"/>
              <w:rPr>
                <w:rFonts w:ascii="仿宋" w:hAnsi="仿宋" w:eastAsia="仿宋" w:cs="仿宋"/>
                <w:color w:val="auto"/>
                <w:highlight w:val="none"/>
              </w:rPr>
            </w:pPr>
            <w:r>
              <w:rPr>
                <w:rFonts w:hint="eastAsia" w:ascii="仿宋" w:hAnsi="仿宋" w:eastAsia="仿宋" w:cs="仿宋"/>
                <w:color w:val="auto"/>
                <w:spacing w:val="-1"/>
                <w:highlight w:val="none"/>
                <w:lang w:bidi="ar"/>
              </w:rPr>
              <w:t>对发包方及自查隐患整改响应及时，</w:t>
            </w:r>
            <w:r>
              <w:rPr>
                <w:rFonts w:hint="eastAsia" w:ascii="仿宋" w:hAnsi="仿宋" w:eastAsia="仿宋" w:cs="仿宋"/>
                <w:color w:val="auto"/>
                <w:spacing w:val="-5"/>
                <w:highlight w:val="none"/>
                <w:lang w:bidi="ar"/>
              </w:rPr>
              <w:t>形成</w:t>
            </w:r>
            <w:r>
              <w:rPr>
                <w:rFonts w:hint="eastAsia" w:ascii="仿宋" w:hAnsi="仿宋" w:eastAsia="仿宋" w:cs="仿宋"/>
                <w:color w:val="auto"/>
                <w:spacing w:val="-72"/>
                <w:highlight w:val="none"/>
                <w:lang w:bidi="ar"/>
              </w:rPr>
              <w:t xml:space="preserve"> </w:t>
            </w:r>
            <w:r>
              <w:rPr>
                <w:rFonts w:hint="eastAsia" w:ascii="仿宋" w:hAnsi="仿宋" w:eastAsia="仿宋" w:cs="仿宋"/>
                <w:color w:val="auto"/>
                <w:spacing w:val="-5"/>
                <w:highlight w:val="none"/>
                <w:lang w:bidi="ar"/>
              </w:rPr>
              <w:t>“发现-整改-验证”</w:t>
            </w:r>
            <w:r>
              <w:rPr>
                <w:rFonts w:hint="eastAsia" w:ascii="仿宋" w:hAnsi="仿宋" w:eastAsia="仿宋" w:cs="仿宋"/>
                <w:color w:val="auto"/>
                <w:spacing w:val="-87"/>
                <w:highlight w:val="none"/>
                <w:lang w:bidi="ar"/>
              </w:rPr>
              <w:t xml:space="preserve"> </w:t>
            </w:r>
            <w:r>
              <w:rPr>
                <w:rFonts w:hint="eastAsia" w:ascii="仿宋" w:hAnsi="仿宋" w:eastAsia="仿宋" w:cs="仿宋"/>
                <w:color w:val="auto"/>
                <w:spacing w:val="-5"/>
                <w:highlight w:val="none"/>
                <w:lang w:bidi="ar"/>
              </w:rPr>
              <w:t>闭环。一项</w:t>
            </w:r>
            <w:r>
              <w:rPr>
                <w:rFonts w:hint="eastAsia" w:ascii="仿宋" w:hAnsi="仿宋" w:eastAsia="仿宋" w:cs="仿宋"/>
                <w:color w:val="auto"/>
                <w:spacing w:val="-3"/>
                <w:highlight w:val="none"/>
                <w:lang w:bidi="ar"/>
              </w:rPr>
              <w:t>未闭环扣</w:t>
            </w:r>
            <w:r>
              <w:rPr>
                <w:rFonts w:hint="eastAsia" w:ascii="仿宋" w:hAnsi="仿宋" w:eastAsia="仿宋" w:cs="仿宋"/>
                <w:color w:val="auto"/>
                <w:spacing w:val="-28"/>
                <w:highlight w:val="none"/>
                <w:lang w:bidi="ar"/>
              </w:rPr>
              <w:t xml:space="preserve"> </w:t>
            </w:r>
            <w:r>
              <w:rPr>
                <w:rFonts w:hint="eastAsia" w:ascii="仿宋" w:hAnsi="仿宋" w:eastAsia="仿宋" w:cs="仿宋"/>
                <w:color w:val="auto"/>
                <w:spacing w:val="-3"/>
                <w:highlight w:val="none"/>
                <w:lang w:bidi="ar"/>
              </w:rPr>
              <w:t>2</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3"/>
                <w:highlight w:val="none"/>
                <w:lang w:bidi="ar"/>
              </w:rPr>
              <w:t>分；重复出现同类隐患加</w:t>
            </w:r>
            <w:r>
              <w:rPr>
                <w:rFonts w:hint="eastAsia" w:ascii="仿宋" w:hAnsi="仿宋" w:eastAsia="仿宋" w:cs="仿宋"/>
                <w:color w:val="auto"/>
                <w:spacing w:val="-1"/>
                <w:highlight w:val="none"/>
                <w:lang w:bidi="ar"/>
              </w:rPr>
              <w:t>倍扣分。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02231CE8">
            <w:pPr>
              <w:rPr>
                <w:rFonts w:ascii="Arial" w:hAnsi="Calibri"/>
                <w:color w:val="auto"/>
                <w:szCs w:val="21"/>
                <w:highlight w:val="none"/>
              </w:rPr>
            </w:pPr>
          </w:p>
          <w:p w14:paraId="1A296CBA">
            <w:pPr>
              <w:rPr>
                <w:rFonts w:ascii="Arial" w:hAnsi="Calibri"/>
                <w:color w:val="auto"/>
                <w:szCs w:val="21"/>
                <w:highlight w:val="none"/>
              </w:rPr>
            </w:pPr>
          </w:p>
          <w:p w14:paraId="1BFB3F98">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2C40B3EF">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35BAF5D0">
            <w:pPr>
              <w:rPr>
                <w:rFonts w:ascii="Arial" w:hAnsi="Calibri"/>
                <w:color w:val="auto"/>
                <w:szCs w:val="21"/>
                <w:highlight w:val="none"/>
              </w:rPr>
            </w:pPr>
          </w:p>
        </w:tc>
      </w:tr>
      <w:tr w14:paraId="6B235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1" w:hRule="atLeast"/>
        </w:trPr>
        <w:tc>
          <w:tcPr>
            <w:tcW w:w="779" w:type="dxa"/>
            <w:vMerge w:val="continue"/>
            <w:tcBorders>
              <w:top w:val="nil"/>
              <w:left w:val="single" w:color="000000" w:sz="2" w:space="0"/>
              <w:bottom w:val="nil"/>
              <w:right w:val="single" w:color="000000" w:sz="2" w:space="0"/>
            </w:tcBorders>
            <w:noWrap w:val="0"/>
            <w:vAlign w:val="top"/>
          </w:tcPr>
          <w:p w14:paraId="1E98BBC9">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0A984325">
            <w:pPr>
              <w:spacing w:line="242" w:lineRule="auto"/>
              <w:rPr>
                <w:rFonts w:ascii="Arial" w:hAnsi="Calibri"/>
                <w:color w:val="auto"/>
                <w:szCs w:val="21"/>
                <w:highlight w:val="none"/>
              </w:rPr>
            </w:pPr>
          </w:p>
          <w:p w14:paraId="225E78F2">
            <w:pPr>
              <w:spacing w:line="242" w:lineRule="auto"/>
              <w:rPr>
                <w:rFonts w:ascii="Arial" w:hAnsi="Calibri"/>
                <w:color w:val="auto"/>
                <w:szCs w:val="21"/>
                <w:highlight w:val="none"/>
              </w:rPr>
            </w:pPr>
          </w:p>
          <w:p w14:paraId="2DBBF606">
            <w:pPr>
              <w:pStyle w:val="12"/>
              <w:spacing w:before="78"/>
              <w:ind w:left="171" w:right="155" w:firstLine="29"/>
              <w:rPr>
                <w:rFonts w:ascii="仿宋" w:hAnsi="仿宋" w:eastAsia="仿宋" w:cs="仿宋"/>
                <w:color w:val="auto"/>
                <w:highlight w:val="none"/>
              </w:rPr>
            </w:pPr>
            <w:r>
              <w:rPr>
                <w:rFonts w:hint="eastAsia" w:ascii="仿宋" w:hAnsi="仿宋" w:eastAsia="仿宋" w:cs="仿宋"/>
                <w:color w:val="auto"/>
                <w:spacing w:val="-9"/>
                <w:highlight w:val="none"/>
                <w:lang w:bidi="ar"/>
              </w:rPr>
              <w:t>4.4</w:t>
            </w:r>
            <w:r>
              <w:rPr>
                <w:rFonts w:hint="eastAsia" w:ascii="仿宋" w:hAnsi="仿宋" w:eastAsia="仿宋" w:cs="仿宋"/>
                <w:color w:val="auto"/>
                <w:spacing w:val="-43"/>
                <w:highlight w:val="none"/>
                <w:lang w:bidi="ar"/>
              </w:rPr>
              <w:t xml:space="preserve"> </w:t>
            </w:r>
            <w:r>
              <w:rPr>
                <w:rFonts w:hint="eastAsia" w:ascii="仿宋" w:hAnsi="仿宋" w:eastAsia="仿宋" w:cs="仿宋"/>
                <w:color w:val="auto"/>
                <w:spacing w:val="-9"/>
                <w:highlight w:val="none"/>
                <w:lang w:bidi="ar"/>
              </w:rPr>
              <w:t>事</w:t>
            </w:r>
            <w:r>
              <w:rPr>
                <w:rFonts w:hint="eastAsia" w:ascii="仿宋" w:hAnsi="仿宋" w:eastAsia="仿宋" w:cs="仿宋"/>
                <w:color w:val="auto"/>
                <w:spacing w:val="-6"/>
                <w:highlight w:val="none"/>
                <w:lang w:bidi="ar"/>
              </w:rPr>
              <w:t>故事件</w:t>
            </w:r>
            <w:r>
              <w:rPr>
                <w:rFonts w:hint="eastAsia" w:ascii="仿宋" w:hAnsi="仿宋" w:eastAsia="仿宋" w:cs="仿宋"/>
                <w:color w:val="auto"/>
                <w:spacing w:val="51"/>
                <w:highlight w:val="none"/>
                <w:lang w:bidi="ar"/>
              </w:rPr>
              <w:t>管理</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070BEEED">
            <w:pPr>
              <w:pStyle w:val="12"/>
              <w:spacing w:before="94"/>
              <w:ind w:left="124" w:right="49"/>
              <w:rPr>
                <w:rFonts w:ascii="仿宋" w:hAnsi="仿宋" w:eastAsia="仿宋" w:cs="仿宋"/>
                <w:color w:val="auto"/>
                <w:highlight w:val="none"/>
              </w:rPr>
            </w:pPr>
            <w:r>
              <w:rPr>
                <w:rFonts w:hint="eastAsia" w:ascii="仿宋" w:hAnsi="仿宋" w:eastAsia="仿宋" w:cs="仿宋"/>
                <w:color w:val="auto"/>
                <w:spacing w:val="-6"/>
                <w:highlight w:val="none"/>
                <w:lang w:bidi="ar"/>
              </w:rPr>
              <w:t>按规定报告事故事件，严格执行</w:t>
            </w:r>
            <w:r>
              <w:rPr>
                <w:rFonts w:hint="eastAsia" w:ascii="仿宋" w:hAnsi="仿宋" w:eastAsia="仿宋" w:cs="仿宋"/>
                <w:color w:val="auto"/>
                <w:spacing w:val="-73"/>
                <w:highlight w:val="none"/>
                <w:lang w:bidi="ar"/>
              </w:rPr>
              <w:t xml:space="preserve"> </w:t>
            </w:r>
            <w:r>
              <w:rPr>
                <w:rFonts w:hint="eastAsia" w:ascii="仿宋" w:hAnsi="仿宋" w:eastAsia="仿宋" w:cs="仿宋"/>
                <w:color w:val="auto"/>
                <w:spacing w:val="-6"/>
                <w:highlight w:val="none"/>
                <w:lang w:bidi="ar"/>
              </w:rPr>
              <w:t>“</w:t>
            </w:r>
            <w:r>
              <w:rPr>
                <w:rFonts w:hint="eastAsia" w:ascii="仿宋" w:hAnsi="仿宋" w:eastAsia="仿宋" w:cs="仿宋"/>
                <w:color w:val="auto"/>
                <w:spacing w:val="-83"/>
                <w:highlight w:val="none"/>
                <w:lang w:bidi="ar"/>
              </w:rPr>
              <w:t xml:space="preserve"> </w:t>
            </w:r>
            <w:r>
              <w:rPr>
                <w:rFonts w:hint="eastAsia" w:ascii="仿宋" w:hAnsi="仿宋" w:eastAsia="仿宋" w:cs="仿宋"/>
                <w:color w:val="auto"/>
                <w:spacing w:val="-6"/>
                <w:highlight w:val="none"/>
                <w:lang w:bidi="ar"/>
              </w:rPr>
              <w:t>四</w:t>
            </w:r>
            <w:r>
              <w:rPr>
                <w:rFonts w:hint="eastAsia" w:ascii="仿宋" w:hAnsi="仿宋" w:eastAsia="仿宋" w:cs="仿宋"/>
                <w:color w:val="auto"/>
                <w:spacing w:val="1"/>
                <w:highlight w:val="none"/>
                <w:lang w:bidi="ar"/>
              </w:rPr>
              <w:t>不放过”原则（原因未查清不放过、</w:t>
            </w:r>
            <w:r>
              <w:rPr>
                <w:rFonts w:hint="eastAsia" w:ascii="仿宋" w:hAnsi="仿宋" w:eastAsia="仿宋" w:cs="仿宋"/>
                <w:color w:val="auto"/>
                <w:spacing w:val="-1"/>
                <w:highlight w:val="none"/>
                <w:lang w:bidi="ar"/>
              </w:rPr>
              <w:t>责任人未处理不放过、措施未落实不</w:t>
            </w:r>
            <w:r>
              <w:rPr>
                <w:rFonts w:hint="eastAsia" w:ascii="仿宋" w:hAnsi="仿宋" w:eastAsia="仿宋" w:cs="仿宋"/>
                <w:color w:val="auto"/>
                <w:spacing w:val="-6"/>
                <w:highlight w:val="none"/>
                <w:lang w:bidi="ar"/>
              </w:rPr>
              <w:t>放过、有关人员未受到教育不放过）。</w:t>
            </w:r>
            <w:r>
              <w:rPr>
                <w:rFonts w:hint="eastAsia" w:ascii="仿宋" w:hAnsi="仿宋" w:eastAsia="仿宋" w:cs="仿宋"/>
                <w:color w:val="auto"/>
                <w:spacing w:val="-1"/>
                <w:highlight w:val="none"/>
                <w:lang w:bidi="ar"/>
              </w:rPr>
              <w:t>未按规定报告或处理本项不得分；处</w:t>
            </w:r>
            <w:r>
              <w:rPr>
                <w:rFonts w:hint="eastAsia" w:ascii="仿宋" w:hAnsi="仿宋" w:eastAsia="仿宋" w:cs="仿宋"/>
                <w:color w:val="auto"/>
                <w:spacing w:val="-5"/>
                <w:highlight w:val="none"/>
                <w:lang w:bidi="ar"/>
              </w:rPr>
              <w:t>理不完善扣</w:t>
            </w:r>
            <w:r>
              <w:rPr>
                <w:rFonts w:hint="eastAsia" w:ascii="仿宋" w:hAnsi="仿宋" w:eastAsia="仿宋" w:cs="仿宋"/>
                <w:color w:val="auto"/>
                <w:spacing w:val="-32"/>
                <w:highlight w:val="none"/>
                <w:lang w:bidi="ar"/>
              </w:rPr>
              <w:t xml:space="preserve"> </w:t>
            </w:r>
            <w:r>
              <w:rPr>
                <w:rFonts w:hint="eastAsia" w:ascii="仿宋" w:hAnsi="仿宋" w:eastAsia="仿宋" w:cs="仿宋"/>
                <w:color w:val="auto"/>
                <w:spacing w:val="-5"/>
                <w:highlight w:val="none"/>
                <w:lang w:bidi="ar"/>
              </w:rPr>
              <w:t>3-5</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5"/>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6B260A6B">
            <w:pPr>
              <w:spacing w:line="264" w:lineRule="auto"/>
              <w:rPr>
                <w:rFonts w:ascii="Arial" w:hAnsi="Calibri"/>
                <w:color w:val="auto"/>
                <w:szCs w:val="21"/>
                <w:highlight w:val="none"/>
              </w:rPr>
            </w:pPr>
          </w:p>
          <w:p w14:paraId="760E7476">
            <w:pPr>
              <w:spacing w:line="264" w:lineRule="auto"/>
              <w:rPr>
                <w:rFonts w:ascii="Arial" w:hAnsi="Calibri"/>
                <w:color w:val="auto"/>
                <w:szCs w:val="21"/>
                <w:highlight w:val="none"/>
              </w:rPr>
            </w:pPr>
          </w:p>
          <w:p w14:paraId="7C9972F3">
            <w:pPr>
              <w:spacing w:line="264" w:lineRule="auto"/>
              <w:rPr>
                <w:rFonts w:ascii="Arial" w:hAnsi="Calibri"/>
                <w:color w:val="auto"/>
                <w:szCs w:val="21"/>
                <w:highlight w:val="none"/>
              </w:rPr>
            </w:pPr>
          </w:p>
          <w:p w14:paraId="42D7F39C">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658F5BEF">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7C41B535">
            <w:pPr>
              <w:rPr>
                <w:rFonts w:ascii="Arial" w:hAnsi="Calibri"/>
                <w:color w:val="auto"/>
                <w:szCs w:val="21"/>
                <w:highlight w:val="none"/>
              </w:rPr>
            </w:pPr>
          </w:p>
        </w:tc>
      </w:tr>
      <w:tr w14:paraId="18510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9" w:hRule="atLeast"/>
        </w:trPr>
        <w:tc>
          <w:tcPr>
            <w:tcW w:w="779" w:type="dxa"/>
            <w:vMerge w:val="continue"/>
            <w:tcBorders>
              <w:top w:val="nil"/>
              <w:left w:val="single" w:color="000000" w:sz="2" w:space="0"/>
              <w:bottom w:val="nil"/>
              <w:right w:val="single" w:color="000000" w:sz="2" w:space="0"/>
            </w:tcBorders>
            <w:noWrap w:val="0"/>
            <w:vAlign w:val="top"/>
          </w:tcPr>
          <w:p w14:paraId="6B34FA2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4C7EE4CB">
            <w:pPr>
              <w:spacing w:line="328" w:lineRule="auto"/>
              <w:rPr>
                <w:rFonts w:ascii="Arial" w:hAnsi="Calibri"/>
                <w:color w:val="auto"/>
                <w:szCs w:val="21"/>
                <w:highlight w:val="none"/>
              </w:rPr>
            </w:pPr>
          </w:p>
          <w:p w14:paraId="0DEB40E7">
            <w:pPr>
              <w:pStyle w:val="12"/>
              <w:spacing w:before="78"/>
              <w:ind w:left="165" w:right="155" w:firstLine="35"/>
              <w:rPr>
                <w:rFonts w:ascii="仿宋" w:hAnsi="仿宋" w:eastAsia="仿宋" w:cs="仿宋"/>
                <w:color w:val="auto"/>
                <w:highlight w:val="none"/>
              </w:rPr>
            </w:pPr>
            <w:r>
              <w:rPr>
                <w:rFonts w:hint="eastAsia" w:ascii="仿宋" w:hAnsi="仿宋" w:eastAsia="仿宋" w:cs="仿宋"/>
                <w:color w:val="auto"/>
                <w:spacing w:val="-8"/>
                <w:highlight w:val="none"/>
                <w:lang w:bidi="ar"/>
              </w:rPr>
              <w:t>4.5</w:t>
            </w:r>
            <w:r>
              <w:rPr>
                <w:rFonts w:hint="eastAsia" w:ascii="仿宋" w:hAnsi="仿宋" w:eastAsia="仿宋" w:cs="仿宋"/>
                <w:color w:val="auto"/>
                <w:spacing w:val="-47"/>
                <w:highlight w:val="none"/>
                <w:lang w:bidi="ar"/>
              </w:rPr>
              <w:t xml:space="preserve"> </w:t>
            </w:r>
            <w:r>
              <w:rPr>
                <w:rFonts w:hint="eastAsia" w:ascii="仿宋" w:hAnsi="仿宋" w:eastAsia="仿宋" w:cs="仿宋"/>
                <w:color w:val="auto"/>
                <w:spacing w:val="-8"/>
                <w:highlight w:val="none"/>
                <w:lang w:bidi="ar"/>
              </w:rPr>
              <w:t>项</w:t>
            </w:r>
            <w:r>
              <w:rPr>
                <w:rFonts w:hint="eastAsia" w:ascii="仿宋" w:hAnsi="仿宋" w:eastAsia="仿宋" w:cs="仿宋"/>
                <w:color w:val="auto"/>
                <w:spacing w:val="-4"/>
                <w:highlight w:val="none"/>
                <w:lang w:bidi="ar"/>
              </w:rPr>
              <w:t>目负责人履职</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5A73F3C9">
            <w:pPr>
              <w:pStyle w:val="12"/>
              <w:spacing w:before="98"/>
              <w:ind w:left="124" w:right="202" w:firstLine="2"/>
              <w:rPr>
                <w:rFonts w:ascii="仿宋" w:hAnsi="仿宋" w:eastAsia="仿宋" w:cs="仿宋"/>
                <w:color w:val="auto"/>
                <w:highlight w:val="none"/>
              </w:rPr>
            </w:pPr>
            <w:r>
              <w:rPr>
                <w:rFonts w:hint="eastAsia" w:ascii="仿宋" w:hAnsi="仿宋" w:eastAsia="仿宋" w:cs="仿宋"/>
                <w:color w:val="auto"/>
                <w:spacing w:val="-1"/>
                <w:highlight w:val="none"/>
                <w:lang w:bidi="ar"/>
              </w:rPr>
              <w:t>项目（现场）负责人技术能力与安全管理经验匹配，在岗履职，变更需经发包方批准。评价期内擅离岗位或未经批准变更本项不得分；履职不到位</w:t>
            </w:r>
            <w:r>
              <w:rPr>
                <w:rFonts w:hint="eastAsia" w:ascii="仿宋" w:hAnsi="仿宋" w:eastAsia="仿宋" w:cs="仿宋"/>
                <w:color w:val="auto"/>
                <w:spacing w:val="-7"/>
                <w:highlight w:val="none"/>
                <w:lang w:bidi="ar"/>
              </w:rPr>
              <w:t>扣</w:t>
            </w:r>
            <w:r>
              <w:rPr>
                <w:rFonts w:hint="eastAsia" w:ascii="仿宋" w:hAnsi="仿宋" w:eastAsia="仿宋" w:cs="仿宋"/>
                <w:color w:val="auto"/>
                <w:spacing w:val="-40"/>
                <w:highlight w:val="none"/>
                <w:lang w:bidi="ar"/>
              </w:rPr>
              <w:t xml:space="preserve"> </w:t>
            </w:r>
            <w:r>
              <w:rPr>
                <w:rFonts w:hint="eastAsia" w:ascii="仿宋" w:hAnsi="仿宋" w:eastAsia="仿宋" w:cs="仿宋"/>
                <w:color w:val="auto"/>
                <w:spacing w:val="-7"/>
                <w:highlight w:val="none"/>
                <w:lang w:bidi="ar"/>
              </w:rPr>
              <w:t>2-3</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7"/>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A2990E1">
            <w:pPr>
              <w:spacing w:line="316" w:lineRule="auto"/>
              <w:rPr>
                <w:rFonts w:ascii="Arial" w:hAnsi="Calibri"/>
                <w:color w:val="auto"/>
                <w:szCs w:val="21"/>
                <w:highlight w:val="none"/>
              </w:rPr>
            </w:pPr>
          </w:p>
          <w:p w14:paraId="42323345">
            <w:pPr>
              <w:spacing w:line="319" w:lineRule="auto"/>
              <w:rPr>
                <w:rFonts w:ascii="Arial" w:hAnsi="Calibri"/>
                <w:color w:val="auto"/>
                <w:szCs w:val="21"/>
                <w:highlight w:val="none"/>
              </w:rPr>
            </w:pPr>
          </w:p>
          <w:p w14:paraId="3CE0525D">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024273A2">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2A9EAB1A">
            <w:pPr>
              <w:rPr>
                <w:rFonts w:ascii="Arial" w:hAnsi="Calibri"/>
                <w:color w:val="auto"/>
                <w:szCs w:val="21"/>
                <w:highlight w:val="none"/>
              </w:rPr>
            </w:pPr>
          </w:p>
        </w:tc>
      </w:tr>
      <w:tr w14:paraId="33D73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noWrap w:val="0"/>
            <w:vAlign w:val="top"/>
          </w:tcPr>
          <w:p w14:paraId="6F6F4D91">
            <w:pPr>
              <w:spacing w:line="244" w:lineRule="auto"/>
              <w:rPr>
                <w:rFonts w:ascii="Arial" w:hAnsi="Calibri"/>
                <w:color w:val="auto"/>
                <w:szCs w:val="21"/>
                <w:highlight w:val="none"/>
              </w:rPr>
            </w:pPr>
          </w:p>
          <w:p w14:paraId="78C9CCDC">
            <w:pPr>
              <w:spacing w:line="244" w:lineRule="auto"/>
              <w:rPr>
                <w:rFonts w:ascii="Arial" w:hAnsi="Calibri"/>
                <w:color w:val="auto"/>
                <w:szCs w:val="21"/>
                <w:highlight w:val="none"/>
              </w:rPr>
            </w:pPr>
          </w:p>
          <w:p w14:paraId="7D6ADD9E">
            <w:pPr>
              <w:spacing w:line="244" w:lineRule="auto"/>
              <w:rPr>
                <w:rFonts w:ascii="Arial" w:hAnsi="Calibri"/>
                <w:color w:val="auto"/>
                <w:szCs w:val="21"/>
                <w:highlight w:val="none"/>
              </w:rPr>
            </w:pPr>
          </w:p>
          <w:p w14:paraId="4098C52E">
            <w:pPr>
              <w:pStyle w:val="12"/>
              <w:spacing w:before="78"/>
              <w:ind w:left="158" w:right="147" w:firstLine="9"/>
              <w:rPr>
                <w:rFonts w:ascii="仿宋" w:hAnsi="仿宋" w:eastAsia="仿宋" w:cs="仿宋"/>
                <w:color w:val="auto"/>
                <w:highlight w:val="none"/>
              </w:rPr>
            </w:pPr>
            <w:r>
              <w:rPr>
                <w:rFonts w:hint="eastAsia" w:ascii="仿宋" w:hAnsi="仿宋" w:eastAsia="仿宋" w:cs="仿宋"/>
                <w:color w:val="auto"/>
                <w:spacing w:val="-8"/>
                <w:highlight w:val="none"/>
                <w:lang w:bidi="ar"/>
              </w:rPr>
              <w:t>5.综</w:t>
            </w:r>
            <w:r>
              <w:rPr>
                <w:rFonts w:hint="eastAsia" w:ascii="仿宋" w:hAnsi="仿宋" w:eastAsia="仿宋" w:cs="仿宋"/>
                <w:color w:val="auto"/>
                <w:spacing w:val="-7"/>
                <w:highlight w:val="none"/>
                <w:lang w:bidi="ar"/>
              </w:rPr>
              <w:t>合管理与文化</w:t>
            </w:r>
            <w:r>
              <w:rPr>
                <w:rFonts w:hint="eastAsia" w:ascii="仿宋" w:hAnsi="仿宋" w:eastAsia="仿宋" w:cs="仿宋"/>
                <w:color w:val="auto"/>
                <w:spacing w:val="15"/>
                <w:highlight w:val="none"/>
                <w:lang w:bidi="ar"/>
              </w:rPr>
              <w:t>(15</w:t>
            </w:r>
            <w:r>
              <w:rPr>
                <w:rFonts w:hint="eastAsia" w:ascii="仿宋" w:hAnsi="仿宋" w:eastAsia="仿宋" w:cs="仿宋"/>
                <w:color w:val="auto"/>
                <w:spacing w:val="23"/>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0F652353">
            <w:pPr>
              <w:pStyle w:val="12"/>
              <w:spacing w:before="99"/>
              <w:ind w:left="166" w:right="155" w:firstLine="38"/>
              <w:rPr>
                <w:rFonts w:ascii="仿宋" w:hAnsi="仿宋" w:eastAsia="仿宋" w:cs="仿宋"/>
                <w:color w:val="auto"/>
                <w:highlight w:val="none"/>
              </w:rPr>
            </w:pPr>
            <w:r>
              <w:rPr>
                <w:rFonts w:hint="eastAsia" w:ascii="仿宋" w:hAnsi="仿宋" w:eastAsia="仿宋" w:cs="仿宋"/>
                <w:color w:val="auto"/>
                <w:spacing w:val="-8"/>
                <w:highlight w:val="none"/>
                <w:lang w:bidi="ar"/>
              </w:rPr>
              <w:t>5.1</w:t>
            </w:r>
            <w:r>
              <w:rPr>
                <w:rFonts w:hint="eastAsia" w:ascii="仿宋" w:hAnsi="仿宋" w:eastAsia="仿宋" w:cs="仿宋"/>
                <w:color w:val="auto"/>
                <w:spacing w:val="-50"/>
                <w:highlight w:val="none"/>
                <w:lang w:bidi="ar"/>
              </w:rPr>
              <w:t xml:space="preserve"> </w:t>
            </w:r>
            <w:r>
              <w:rPr>
                <w:rFonts w:hint="eastAsia" w:ascii="仿宋" w:hAnsi="仿宋" w:eastAsia="仿宋" w:cs="仿宋"/>
                <w:color w:val="auto"/>
                <w:spacing w:val="-8"/>
                <w:highlight w:val="none"/>
                <w:lang w:bidi="ar"/>
              </w:rPr>
              <w:t>管</w:t>
            </w:r>
            <w:r>
              <w:rPr>
                <w:rFonts w:hint="eastAsia" w:ascii="仿宋" w:hAnsi="仿宋" w:eastAsia="仿宋" w:cs="仿宋"/>
                <w:color w:val="auto"/>
                <w:spacing w:val="-5"/>
                <w:highlight w:val="none"/>
                <w:lang w:bidi="ar"/>
              </w:rPr>
              <w:t>理机构</w:t>
            </w:r>
          </w:p>
          <w:p w14:paraId="22460981">
            <w:pPr>
              <w:pStyle w:val="12"/>
              <w:spacing w:before="1"/>
              <w:ind w:left="176"/>
              <w:rPr>
                <w:rFonts w:ascii="仿宋" w:hAnsi="仿宋" w:eastAsia="仿宋" w:cs="仿宋"/>
                <w:color w:val="auto"/>
                <w:highlight w:val="none"/>
              </w:rPr>
            </w:pPr>
            <w:r>
              <w:rPr>
                <w:rFonts w:hint="eastAsia" w:ascii="仿宋" w:hAnsi="仿宋" w:eastAsia="仿宋" w:cs="仿宋"/>
                <w:color w:val="auto"/>
                <w:spacing w:val="-8"/>
                <w:highlight w:val="none"/>
                <w:lang w:bidi="ar"/>
              </w:rPr>
              <w:t>与责任</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7E04E5FC">
            <w:pPr>
              <w:pStyle w:val="12"/>
              <w:spacing w:before="99"/>
              <w:ind w:left="134" w:right="49" w:hanging="4"/>
              <w:rPr>
                <w:rFonts w:ascii="仿宋" w:hAnsi="仿宋" w:eastAsia="仿宋" w:cs="仿宋"/>
                <w:color w:val="auto"/>
                <w:highlight w:val="none"/>
              </w:rPr>
            </w:pPr>
            <w:r>
              <w:rPr>
                <w:rFonts w:hint="eastAsia" w:ascii="仿宋" w:hAnsi="仿宋" w:eastAsia="仿宋" w:cs="仿宋"/>
                <w:color w:val="auto"/>
                <w:spacing w:val="-1"/>
                <w:highlight w:val="none"/>
                <w:lang w:bidi="ar"/>
              </w:rPr>
              <w:t>安全管理机构健全，人员配备满足作</w:t>
            </w:r>
            <w:r>
              <w:rPr>
                <w:rFonts w:hint="eastAsia" w:ascii="仿宋" w:hAnsi="仿宋" w:eastAsia="仿宋" w:cs="仿宋"/>
                <w:color w:val="auto"/>
                <w:spacing w:val="-2"/>
                <w:highlight w:val="none"/>
                <w:lang w:bidi="ar"/>
              </w:rPr>
              <w:t>业需求，安全生产责任制层层落实至</w:t>
            </w:r>
            <w:r>
              <w:rPr>
                <w:rFonts w:hint="eastAsia" w:ascii="仿宋" w:hAnsi="仿宋" w:eastAsia="仿宋" w:cs="仿宋"/>
                <w:color w:val="auto"/>
                <w:spacing w:val="-9"/>
                <w:highlight w:val="none"/>
                <w:lang w:bidi="ar"/>
              </w:rPr>
              <w:t>岗位。一项不符合扣</w:t>
            </w:r>
            <w:r>
              <w:rPr>
                <w:rFonts w:hint="eastAsia" w:ascii="仿宋" w:hAnsi="仿宋" w:eastAsia="仿宋" w:cs="仿宋"/>
                <w:color w:val="auto"/>
                <w:spacing w:val="-27"/>
                <w:highlight w:val="none"/>
                <w:lang w:bidi="ar"/>
              </w:rPr>
              <w:t xml:space="preserve"> </w:t>
            </w:r>
            <w:r>
              <w:rPr>
                <w:rFonts w:hint="eastAsia" w:ascii="仿宋" w:hAnsi="仿宋" w:eastAsia="仿宋" w:cs="仿宋"/>
                <w:color w:val="auto"/>
                <w:spacing w:val="-9"/>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9"/>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86E5BBD">
            <w:pPr>
              <w:spacing w:line="328" w:lineRule="auto"/>
              <w:rPr>
                <w:rFonts w:ascii="Arial" w:hAnsi="Calibri"/>
                <w:color w:val="auto"/>
                <w:szCs w:val="21"/>
                <w:highlight w:val="none"/>
              </w:rPr>
            </w:pPr>
          </w:p>
          <w:p w14:paraId="53941E70">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4910A9C2">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59B73CA2">
            <w:pPr>
              <w:rPr>
                <w:rFonts w:ascii="Arial" w:hAnsi="Calibri"/>
                <w:color w:val="auto"/>
                <w:szCs w:val="21"/>
                <w:highlight w:val="none"/>
              </w:rPr>
            </w:pPr>
          </w:p>
        </w:tc>
      </w:tr>
      <w:tr w14:paraId="2C0BD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noWrap w:val="0"/>
            <w:vAlign w:val="top"/>
          </w:tcPr>
          <w:p w14:paraId="3C440963">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6FE82B95">
            <w:pPr>
              <w:pStyle w:val="12"/>
              <w:spacing w:before="100"/>
              <w:ind w:left="162" w:right="155" w:firstLine="41"/>
              <w:rPr>
                <w:rFonts w:ascii="仿宋" w:hAnsi="仿宋" w:eastAsia="仿宋" w:cs="仿宋"/>
                <w:color w:val="auto"/>
                <w:highlight w:val="none"/>
              </w:rPr>
            </w:pPr>
            <w:r>
              <w:rPr>
                <w:rFonts w:hint="eastAsia" w:ascii="仿宋" w:hAnsi="仿宋" w:eastAsia="仿宋" w:cs="仿宋"/>
                <w:color w:val="auto"/>
                <w:spacing w:val="-10"/>
                <w:highlight w:val="none"/>
                <w:lang w:bidi="ar"/>
              </w:rPr>
              <w:t>5.2</w:t>
            </w:r>
            <w:r>
              <w:rPr>
                <w:rFonts w:hint="eastAsia" w:ascii="仿宋" w:hAnsi="仿宋" w:eastAsia="仿宋" w:cs="仿宋"/>
                <w:color w:val="auto"/>
                <w:spacing w:val="-43"/>
                <w:highlight w:val="none"/>
                <w:lang w:bidi="ar"/>
              </w:rPr>
              <w:t xml:space="preserve"> </w:t>
            </w:r>
            <w:r>
              <w:rPr>
                <w:rFonts w:hint="eastAsia" w:ascii="仿宋" w:hAnsi="仿宋" w:eastAsia="仿宋" w:cs="仿宋"/>
                <w:color w:val="auto"/>
                <w:spacing w:val="-10"/>
                <w:highlight w:val="none"/>
                <w:lang w:bidi="ar"/>
              </w:rPr>
              <w:t>制</w:t>
            </w:r>
            <w:r>
              <w:rPr>
                <w:rFonts w:hint="eastAsia" w:ascii="仿宋" w:hAnsi="仿宋" w:eastAsia="仿宋" w:cs="仿宋"/>
                <w:color w:val="auto"/>
                <w:spacing w:val="-3"/>
                <w:highlight w:val="none"/>
                <w:lang w:bidi="ar"/>
              </w:rPr>
              <w:t>度与文</w:t>
            </w:r>
          </w:p>
          <w:p w14:paraId="7AD6D94F">
            <w:pPr>
              <w:pStyle w:val="12"/>
              <w:spacing w:before="1"/>
              <w:ind w:left="408" w:right="155" w:hanging="236"/>
              <w:rPr>
                <w:rFonts w:ascii="仿宋" w:hAnsi="仿宋" w:eastAsia="仿宋" w:cs="仿宋"/>
                <w:color w:val="auto"/>
                <w:highlight w:val="none"/>
              </w:rPr>
            </w:pPr>
            <w:r>
              <w:rPr>
                <w:rFonts w:hint="eastAsia" w:ascii="仿宋" w:hAnsi="仿宋" w:eastAsia="仿宋" w:cs="仿宋"/>
                <w:color w:val="auto"/>
                <w:spacing w:val="-6"/>
                <w:highlight w:val="none"/>
                <w:lang w:bidi="ar"/>
              </w:rPr>
              <w:t>化匹配</w:t>
            </w:r>
            <w:r>
              <w:rPr>
                <w:rFonts w:hint="eastAsia" w:ascii="仿宋" w:hAnsi="仿宋" w:eastAsia="仿宋" w:cs="仿宋"/>
                <w:color w:val="auto"/>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0CA25411">
            <w:pPr>
              <w:pStyle w:val="12"/>
              <w:spacing w:before="99"/>
              <w:ind w:left="132" w:right="49" w:hanging="2"/>
              <w:rPr>
                <w:rFonts w:ascii="仿宋" w:hAnsi="仿宋" w:eastAsia="仿宋" w:cs="仿宋"/>
                <w:color w:val="auto"/>
                <w:highlight w:val="none"/>
              </w:rPr>
            </w:pPr>
            <w:r>
              <w:rPr>
                <w:rFonts w:hint="eastAsia" w:ascii="仿宋" w:hAnsi="仿宋" w:eastAsia="仿宋" w:cs="仿宋"/>
                <w:color w:val="auto"/>
                <w:spacing w:val="-1"/>
                <w:highlight w:val="none"/>
                <w:lang w:bidi="ar"/>
              </w:rPr>
              <w:t>安全管理制度、操作规程与业务实际</w:t>
            </w:r>
            <w:r>
              <w:rPr>
                <w:rFonts w:hint="eastAsia" w:ascii="仿宋" w:hAnsi="仿宋" w:eastAsia="仿宋" w:cs="仿宋"/>
                <w:color w:val="auto"/>
                <w:spacing w:val="-2"/>
                <w:highlight w:val="none"/>
                <w:lang w:bidi="ar"/>
              </w:rPr>
              <w:t>匹配，积极参与发包方组织的安全文</w:t>
            </w:r>
            <w:r>
              <w:rPr>
                <w:rFonts w:hint="eastAsia" w:ascii="仿宋" w:hAnsi="仿宋" w:eastAsia="仿宋" w:cs="仿宋"/>
                <w:color w:val="auto"/>
                <w:spacing w:val="-7"/>
                <w:highlight w:val="none"/>
                <w:lang w:bidi="ar"/>
              </w:rPr>
              <w:t>化活动（如安全培训、应急演练等）。</w:t>
            </w:r>
            <w:r>
              <w:rPr>
                <w:rFonts w:hint="eastAsia" w:ascii="仿宋" w:hAnsi="仿宋" w:eastAsia="仿宋" w:cs="仿宋"/>
                <w:color w:val="auto"/>
                <w:spacing w:val="-4"/>
                <w:highlight w:val="none"/>
                <w:lang w:bidi="ar"/>
              </w:rPr>
              <w:t>一项不符合扣</w:t>
            </w:r>
            <w:r>
              <w:rPr>
                <w:rFonts w:hint="eastAsia" w:ascii="仿宋" w:hAnsi="仿宋" w:eastAsia="仿宋" w:cs="仿宋"/>
                <w:color w:val="auto"/>
                <w:spacing w:val="-35"/>
                <w:highlight w:val="none"/>
                <w:lang w:bidi="ar"/>
              </w:rPr>
              <w:t xml:space="preserve"> </w:t>
            </w:r>
            <w:r>
              <w:rPr>
                <w:rFonts w:hint="eastAsia" w:ascii="仿宋" w:hAnsi="仿宋" w:eastAsia="仿宋" w:cs="仿宋"/>
                <w:color w:val="auto"/>
                <w:spacing w:val="-4"/>
                <w:highlight w:val="none"/>
                <w:lang w:bidi="ar"/>
              </w:rPr>
              <w:t>2</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6AED431">
            <w:pPr>
              <w:spacing w:line="242" w:lineRule="auto"/>
              <w:rPr>
                <w:rFonts w:ascii="Arial" w:hAnsi="Calibri"/>
                <w:color w:val="auto"/>
                <w:szCs w:val="21"/>
                <w:highlight w:val="none"/>
              </w:rPr>
            </w:pPr>
          </w:p>
          <w:p w14:paraId="2ABB7A8C">
            <w:pPr>
              <w:spacing w:line="242" w:lineRule="auto"/>
              <w:rPr>
                <w:rFonts w:ascii="Arial" w:hAnsi="Calibri"/>
                <w:color w:val="auto"/>
                <w:szCs w:val="21"/>
                <w:highlight w:val="none"/>
              </w:rPr>
            </w:pPr>
          </w:p>
          <w:p w14:paraId="7BACA773">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34632B1E">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3C52793E">
            <w:pPr>
              <w:rPr>
                <w:rFonts w:ascii="Arial" w:hAnsi="Calibri"/>
                <w:color w:val="auto"/>
                <w:szCs w:val="21"/>
                <w:highlight w:val="none"/>
              </w:rPr>
            </w:pPr>
          </w:p>
        </w:tc>
      </w:tr>
      <w:tr w14:paraId="7BA8E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noWrap w:val="0"/>
            <w:vAlign w:val="top"/>
          </w:tcPr>
          <w:p w14:paraId="42E83FF8">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7565049A">
            <w:pPr>
              <w:pStyle w:val="12"/>
              <w:spacing w:before="100"/>
              <w:ind w:left="182" w:right="155" w:firstLine="22"/>
              <w:rPr>
                <w:rFonts w:ascii="仿宋" w:hAnsi="仿宋" w:eastAsia="仿宋" w:cs="仿宋"/>
                <w:color w:val="auto"/>
                <w:highlight w:val="none"/>
              </w:rPr>
            </w:pPr>
            <w:r>
              <w:rPr>
                <w:rFonts w:hint="eastAsia" w:ascii="仿宋" w:hAnsi="仿宋" w:eastAsia="仿宋" w:cs="仿宋"/>
                <w:color w:val="auto"/>
                <w:spacing w:val="-8"/>
                <w:highlight w:val="none"/>
                <w:lang w:bidi="ar"/>
              </w:rPr>
              <w:t>5.3</w:t>
            </w:r>
            <w:r>
              <w:rPr>
                <w:rFonts w:hint="eastAsia" w:ascii="仿宋" w:hAnsi="仿宋" w:eastAsia="仿宋" w:cs="仿宋"/>
                <w:color w:val="auto"/>
                <w:spacing w:val="-51"/>
                <w:highlight w:val="none"/>
                <w:lang w:bidi="ar"/>
              </w:rPr>
              <w:t xml:space="preserve"> </w:t>
            </w:r>
            <w:r>
              <w:rPr>
                <w:rFonts w:hint="eastAsia" w:ascii="仿宋" w:hAnsi="仿宋" w:eastAsia="仿宋" w:cs="仿宋"/>
                <w:color w:val="auto"/>
                <w:spacing w:val="-8"/>
                <w:highlight w:val="none"/>
                <w:lang w:bidi="ar"/>
              </w:rPr>
              <w:t>保</w:t>
            </w:r>
            <w:r>
              <w:rPr>
                <w:rFonts w:hint="eastAsia" w:ascii="仿宋" w:hAnsi="仿宋" w:eastAsia="仿宋" w:cs="仿宋"/>
                <w:color w:val="auto"/>
                <w:spacing w:val="-10"/>
                <w:highlight w:val="none"/>
                <w:lang w:bidi="ar"/>
              </w:rPr>
              <w:t>险与劳</w:t>
            </w:r>
          </w:p>
          <w:p w14:paraId="0FB76B72">
            <w:pPr>
              <w:pStyle w:val="12"/>
              <w:ind w:left="176"/>
              <w:rPr>
                <w:rFonts w:ascii="仿宋" w:hAnsi="仿宋" w:eastAsia="仿宋" w:cs="仿宋"/>
                <w:color w:val="auto"/>
                <w:highlight w:val="none"/>
              </w:rPr>
            </w:pPr>
            <w:r>
              <w:rPr>
                <w:rFonts w:hint="eastAsia" w:ascii="仿宋" w:hAnsi="仿宋" w:eastAsia="仿宋" w:cs="仿宋"/>
                <w:color w:val="auto"/>
                <w:spacing w:val="-8"/>
                <w:highlight w:val="none"/>
                <w:lang w:bidi="ar"/>
              </w:rPr>
              <w:t>动关系</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7F594461">
            <w:pPr>
              <w:pStyle w:val="12"/>
              <w:spacing w:before="99"/>
              <w:ind w:left="120" w:right="202"/>
              <w:rPr>
                <w:rFonts w:ascii="仿宋" w:hAnsi="仿宋" w:eastAsia="仿宋" w:cs="仿宋"/>
                <w:color w:val="auto"/>
                <w:highlight w:val="none"/>
              </w:rPr>
            </w:pPr>
            <w:r>
              <w:rPr>
                <w:rFonts w:hint="eastAsia" w:ascii="仿宋" w:hAnsi="仿宋" w:eastAsia="仿宋" w:cs="仿宋"/>
                <w:color w:val="auto"/>
                <w:spacing w:val="-1"/>
                <w:highlight w:val="none"/>
                <w:lang w:bidi="ar"/>
              </w:rPr>
              <w:t>依法为从业人员购买工伤保险等法定保险，劳动关系合法清晰，无劳务纠</w:t>
            </w:r>
            <w:r>
              <w:rPr>
                <w:rFonts w:hint="eastAsia" w:ascii="仿宋" w:hAnsi="仿宋" w:eastAsia="仿宋" w:cs="仿宋"/>
                <w:color w:val="auto"/>
                <w:spacing w:val="-3"/>
                <w:highlight w:val="none"/>
                <w:lang w:bidi="ar"/>
              </w:rPr>
              <w:t>纷。一项不符合扣</w:t>
            </w:r>
            <w:r>
              <w:rPr>
                <w:rFonts w:hint="eastAsia" w:ascii="仿宋" w:hAnsi="仿宋" w:eastAsia="仿宋" w:cs="仿宋"/>
                <w:color w:val="auto"/>
                <w:spacing w:val="-31"/>
                <w:highlight w:val="none"/>
                <w:lang w:bidi="ar"/>
              </w:rPr>
              <w:t xml:space="preserve"> </w:t>
            </w:r>
            <w:r>
              <w:rPr>
                <w:rFonts w:hint="eastAsia" w:ascii="仿宋" w:hAnsi="仿宋" w:eastAsia="仿宋" w:cs="仿宋"/>
                <w:color w:val="auto"/>
                <w:spacing w:val="-3"/>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3"/>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10ACBA30">
            <w:pPr>
              <w:spacing w:line="331" w:lineRule="auto"/>
              <w:rPr>
                <w:rFonts w:ascii="Arial" w:hAnsi="Calibri"/>
                <w:color w:val="auto"/>
                <w:szCs w:val="21"/>
                <w:highlight w:val="none"/>
              </w:rPr>
            </w:pPr>
          </w:p>
          <w:p w14:paraId="0DFDD392">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0A28B022">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436D486F">
            <w:pPr>
              <w:rPr>
                <w:rFonts w:ascii="Arial" w:hAnsi="Calibri"/>
                <w:color w:val="auto"/>
                <w:szCs w:val="21"/>
                <w:highlight w:val="none"/>
              </w:rPr>
            </w:pPr>
          </w:p>
        </w:tc>
      </w:tr>
      <w:tr w14:paraId="286C4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tcBorders>
              <w:top w:val="single" w:color="000000" w:sz="2" w:space="0"/>
              <w:left w:val="single" w:color="000000" w:sz="2" w:space="0"/>
              <w:bottom w:val="single" w:color="000000" w:sz="2" w:space="0"/>
              <w:right w:val="single" w:color="000000" w:sz="2" w:space="0"/>
            </w:tcBorders>
            <w:noWrap w:val="0"/>
            <w:vAlign w:val="top"/>
          </w:tcPr>
          <w:p w14:paraId="07887E1B">
            <w:pPr>
              <w:pStyle w:val="12"/>
              <w:spacing w:before="101"/>
              <w:ind w:left="166"/>
              <w:rPr>
                <w:rFonts w:ascii="仿宋" w:hAnsi="仿宋" w:eastAsia="仿宋" w:cs="仿宋"/>
                <w:color w:val="auto"/>
                <w:highlight w:val="none"/>
              </w:rPr>
            </w:pPr>
            <w:r>
              <w:rPr>
                <w:rFonts w:hint="eastAsia" w:ascii="仿宋" w:hAnsi="仿宋" w:eastAsia="仿宋" w:cs="仿宋"/>
                <w:color w:val="auto"/>
                <w:spacing w:val="-7"/>
                <w:highlight w:val="none"/>
                <w:lang w:bidi="ar"/>
              </w:rPr>
              <w:t>6.加</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5517B5C8">
            <w:pPr>
              <w:pStyle w:val="12"/>
              <w:spacing w:before="101"/>
              <w:ind w:left="203"/>
              <w:rPr>
                <w:rFonts w:ascii="仿宋" w:hAnsi="仿宋" w:eastAsia="仿宋" w:cs="仿宋"/>
                <w:color w:val="auto"/>
                <w:highlight w:val="none"/>
              </w:rPr>
            </w:pPr>
            <w:r>
              <w:rPr>
                <w:rFonts w:hint="eastAsia" w:ascii="仿宋" w:hAnsi="仿宋" w:eastAsia="仿宋" w:cs="仿宋"/>
                <w:color w:val="auto"/>
                <w:spacing w:val="-6"/>
                <w:highlight w:val="none"/>
                <w:lang w:bidi="ar"/>
              </w:rPr>
              <w:t>6.1</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6"/>
                <w:highlight w:val="none"/>
                <w:lang w:bidi="ar"/>
              </w:rPr>
              <w:t>事</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3B085551">
            <w:pPr>
              <w:pStyle w:val="12"/>
              <w:spacing w:before="101"/>
              <w:ind w:left="124"/>
              <w:rPr>
                <w:rFonts w:ascii="仿宋" w:hAnsi="仿宋" w:eastAsia="仿宋" w:cs="仿宋"/>
                <w:color w:val="auto"/>
                <w:highlight w:val="none"/>
              </w:rPr>
            </w:pPr>
            <w:r>
              <w:rPr>
                <w:rFonts w:hint="eastAsia" w:ascii="仿宋" w:hAnsi="仿宋" w:eastAsia="仿宋" w:cs="仿宋"/>
                <w:color w:val="auto"/>
                <w:spacing w:val="-1"/>
                <w:highlight w:val="none"/>
                <w:lang w:bidi="ar"/>
              </w:rPr>
              <w:t>发生事故后积极配合调查、有效落实</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0ED7A1A2">
            <w:pPr>
              <w:pStyle w:val="12"/>
              <w:spacing w:before="100"/>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4377D5D3">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10238406">
            <w:pPr>
              <w:rPr>
                <w:rFonts w:ascii="Arial" w:hAnsi="Calibri"/>
                <w:color w:val="auto"/>
                <w:szCs w:val="21"/>
                <w:highlight w:val="none"/>
              </w:rPr>
            </w:pPr>
          </w:p>
        </w:tc>
      </w:tr>
    </w:tbl>
    <w:p w14:paraId="7903C7AD">
      <w:pPr>
        <w:rPr>
          <w:rFonts w:ascii="Arial" w:hAnsi="Calibri"/>
          <w:color w:val="auto"/>
          <w:szCs w:val="21"/>
          <w:highlight w:val="none"/>
        </w:rPr>
      </w:pPr>
      <w:r>
        <w:rPr>
          <w:rFonts w:ascii="Arial" w:hAnsi="Calibri"/>
          <w:color w:val="auto"/>
          <w:kern w:val="0"/>
          <w:szCs w:val="21"/>
          <w:highlight w:val="none"/>
          <w:lang w:bidi="ar"/>
        </w:rPr>
        <w:t xml:space="preserve"> </w:t>
      </w:r>
    </w:p>
    <w:p w14:paraId="55D99EB9">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45A93F0A">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04ECDDDA">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7B5E2FE4">
      <w:pPr>
        <w:spacing w:before="18"/>
        <w:rPr>
          <w:rFonts w:ascii="Calibri" w:hAnsi="Calibri"/>
          <w:color w:val="auto"/>
          <w:szCs w:val="21"/>
          <w:highlight w:val="none"/>
        </w:rPr>
      </w:pPr>
      <w:r>
        <w:rPr>
          <w:rFonts w:ascii="Calibri" w:hAnsi="Calibri"/>
          <w:color w:val="auto"/>
          <w:kern w:val="0"/>
          <w:szCs w:val="21"/>
          <w:highlight w:val="none"/>
          <w:lang w:bidi="ar"/>
        </w:rPr>
        <w:t xml:space="preserve"> </w:t>
      </w:r>
    </w:p>
    <w:p w14:paraId="3E7B21A2">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23"/>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1483C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779" w:type="dxa"/>
            <w:vMerge w:val="restart"/>
            <w:tcBorders>
              <w:top w:val="single" w:color="000000" w:sz="2" w:space="0"/>
              <w:left w:val="single" w:color="000000" w:sz="2" w:space="0"/>
              <w:bottom w:val="nil"/>
              <w:right w:val="single" w:color="000000" w:sz="2" w:space="0"/>
            </w:tcBorders>
            <w:noWrap w:val="0"/>
            <w:vAlign w:val="top"/>
          </w:tcPr>
          <w:p w14:paraId="4E81ED2F">
            <w:pPr>
              <w:pStyle w:val="12"/>
              <w:spacing w:before="99"/>
              <w:ind w:left="217" w:right="147" w:hanging="60"/>
              <w:rPr>
                <w:rFonts w:ascii="仿宋" w:hAnsi="仿宋" w:eastAsia="仿宋" w:cs="仿宋"/>
                <w:color w:val="auto"/>
                <w:highlight w:val="none"/>
              </w:rPr>
            </w:pPr>
            <w:r>
              <w:rPr>
                <w:rFonts w:hint="eastAsia" w:ascii="仿宋" w:hAnsi="仿宋" w:eastAsia="仿宋" w:cs="仿宋"/>
                <w:color w:val="auto"/>
                <w:spacing w:val="-6"/>
                <w:highlight w:val="none"/>
                <w:lang w:bidi="ar"/>
              </w:rPr>
              <w:t>分项</w:t>
            </w:r>
            <w:r>
              <w:rPr>
                <w:rFonts w:hint="eastAsia" w:ascii="仿宋" w:hAnsi="仿宋" w:eastAsia="仿宋" w:cs="仿宋"/>
                <w:color w:val="auto"/>
                <w:spacing w:val="-4"/>
                <w:highlight w:val="none"/>
                <w:lang w:bidi="ar"/>
              </w:rPr>
              <w:t>(10</w:t>
            </w:r>
            <w:r>
              <w:rPr>
                <w:rFonts w:hint="eastAsia" w:ascii="仿宋" w:hAnsi="仿宋" w:eastAsia="仿宋" w:cs="仿宋"/>
                <w:color w:val="auto"/>
                <w:spacing w:val="-6"/>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4A1599B8">
            <w:pPr>
              <w:pStyle w:val="12"/>
              <w:spacing w:before="97"/>
              <w:ind w:left="293" w:right="155" w:hanging="122"/>
              <w:rPr>
                <w:rFonts w:ascii="仿宋" w:hAnsi="仿宋" w:eastAsia="仿宋" w:cs="仿宋"/>
                <w:color w:val="auto"/>
                <w:highlight w:val="none"/>
              </w:rPr>
            </w:pPr>
            <w:r>
              <w:rPr>
                <w:rFonts w:hint="eastAsia" w:ascii="仿宋" w:hAnsi="仿宋" w:eastAsia="仿宋" w:cs="仿宋"/>
                <w:color w:val="auto"/>
                <w:spacing w:val="-6"/>
                <w:highlight w:val="none"/>
                <w:lang w:bidi="ar"/>
              </w:rPr>
              <w:t>故处理</w:t>
            </w:r>
            <w:r>
              <w:rPr>
                <w:rFonts w:hint="eastAsia" w:ascii="仿宋" w:hAnsi="仿宋" w:eastAsia="仿宋" w:cs="仿宋"/>
                <w:color w:val="auto"/>
                <w:spacing w:val="-10"/>
                <w:highlight w:val="none"/>
                <w:lang w:bidi="ar"/>
              </w:rPr>
              <w:t>配合</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21E6C972">
            <w:pPr>
              <w:pStyle w:val="12"/>
              <w:spacing w:before="97"/>
              <w:ind w:left="127" w:right="202"/>
              <w:rPr>
                <w:rFonts w:ascii="仿宋" w:hAnsi="仿宋" w:eastAsia="仿宋" w:cs="仿宋"/>
                <w:color w:val="auto"/>
                <w:highlight w:val="none"/>
              </w:rPr>
            </w:pPr>
            <w:r>
              <w:rPr>
                <w:rFonts w:hint="eastAsia" w:ascii="仿宋" w:hAnsi="仿宋" w:eastAsia="仿宋" w:cs="仿宋"/>
                <w:color w:val="auto"/>
                <w:spacing w:val="-1"/>
                <w:highlight w:val="none"/>
                <w:lang w:bidi="ar"/>
              </w:rPr>
              <w:t>整改措施并形成案例共享。根据配合</w:t>
            </w:r>
            <w:r>
              <w:rPr>
                <w:rFonts w:hint="eastAsia" w:ascii="仿宋" w:hAnsi="仿宋" w:eastAsia="仿宋" w:cs="仿宋"/>
                <w:color w:val="auto"/>
                <w:spacing w:val="1"/>
                <w:highlight w:val="none"/>
                <w:lang w:bidi="ar"/>
              </w:rPr>
              <w:t>程度与整改效果加</w:t>
            </w:r>
            <w:r>
              <w:rPr>
                <w:rFonts w:hint="eastAsia" w:ascii="仿宋" w:hAnsi="仿宋" w:eastAsia="仿宋" w:cs="仿宋"/>
                <w:color w:val="auto"/>
                <w:spacing w:val="-27"/>
                <w:highlight w:val="none"/>
                <w:lang w:bidi="ar"/>
              </w:rPr>
              <w:t xml:space="preserve"> </w:t>
            </w:r>
            <w:r>
              <w:rPr>
                <w:rFonts w:hint="eastAsia" w:ascii="仿宋" w:hAnsi="仿宋" w:eastAsia="仿宋" w:cs="仿宋"/>
                <w:color w:val="auto"/>
                <w:spacing w:val="1"/>
                <w:highlight w:val="none"/>
                <w:lang w:bidi="ar"/>
              </w:rPr>
              <w:t>3-5分。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1734C2BA">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5E41ECCD">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48DFD5AD">
            <w:pPr>
              <w:rPr>
                <w:rFonts w:ascii="Arial" w:hAnsi="Calibri"/>
                <w:color w:val="auto"/>
                <w:szCs w:val="21"/>
                <w:highlight w:val="none"/>
              </w:rPr>
            </w:pPr>
          </w:p>
        </w:tc>
      </w:tr>
      <w:tr w14:paraId="1E7DF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noWrap w:val="0"/>
            <w:vAlign w:val="top"/>
          </w:tcPr>
          <w:p w14:paraId="25B93CB1">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5F48D251">
            <w:pPr>
              <w:pStyle w:val="12"/>
              <w:spacing w:before="251"/>
              <w:ind w:left="162" w:right="155" w:firstLine="41"/>
              <w:rPr>
                <w:rFonts w:ascii="仿宋" w:hAnsi="仿宋" w:eastAsia="仿宋" w:cs="仿宋"/>
                <w:color w:val="auto"/>
                <w:highlight w:val="none"/>
              </w:rPr>
            </w:pPr>
            <w:r>
              <w:rPr>
                <w:rFonts w:hint="eastAsia" w:ascii="仿宋" w:hAnsi="仿宋" w:eastAsia="仿宋" w:cs="仿宋"/>
                <w:color w:val="auto"/>
                <w:spacing w:val="-9"/>
                <w:highlight w:val="none"/>
                <w:lang w:bidi="ar"/>
              </w:rPr>
              <w:t>6.2</w:t>
            </w:r>
            <w:r>
              <w:rPr>
                <w:rFonts w:hint="eastAsia" w:ascii="仿宋" w:hAnsi="仿宋" w:eastAsia="仿宋" w:cs="仿宋"/>
                <w:color w:val="auto"/>
                <w:spacing w:val="-45"/>
                <w:highlight w:val="none"/>
                <w:lang w:bidi="ar"/>
              </w:rPr>
              <w:t xml:space="preserve"> </w:t>
            </w:r>
            <w:r>
              <w:rPr>
                <w:rFonts w:hint="eastAsia" w:ascii="仿宋" w:hAnsi="仿宋" w:eastAsia="仿宋" w:cs="仿宋"/>
                <w:color w:val="auto"/>
                <w:spacing w:val="-9"/>
                <w:highlight w:val="none"/>
                <w:lang w:bidi="ar"/>
              </w:rPr>
              <w:t>安</w:t>
            </w:r>
            <w:r>
              <w:rPr>
                <w:rFonts w:hint="eastAsia" w:ascii="仿宋" w:hAnsi="仿宋" w:eastAsia="仿宋" w:cs="仿宋"/>
                <w:color w:val="auto"/>
                <w:spacing w:val="-3"/>
                <w:highlight w:val="none"/>
                <w:lang w:bidi="ar"/>
              </w:rPr>
              <w:t>全创新</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4B2A447E">
            <w:pPr>
              <w:pStyle w:val="12"/>
              <w:spacing w:before="90"/>
              <w:ind w:left="123" w:right="49" w:hanging="1"/>
              <w:rPr>
                <w:rFonts w:ascii="仿宋" w:hAnsi="仿宋" w:eastAsia="仿宋" w:cs="仿宋"/>
                <w:color w:val="auto"/>
                <w:highlight w:val="none"/>
              </w:rPr>
            </w:pPr>
            <w:r>
              <w:rPr>
                <w:rFonts w:hint="eastAsia" w:ascii="仿宋" w:hAnsi="仿宋" w:eastAsia="仿宋" w:cs="仿宋"/>
                <w:color w:val="auto"/>
                <w:spacing w:val="-1"/>
                <w:highlight w:val="none"/>
                <w:lang w:bidi="ar"/>
              </w:rPr>
              <w:t>提出安全管理创新建议（如作业方法优化、隐患防控措施改进等）被发包</w:t>
            </w:r>
            <w:r>
              <w:rPr>
                <w:rFonts w:hint="eastAsia" w:ascii="仿宋" w:hAnsi="仿宋" w:eastAsia="仿宋" w:cs="仿宋"/>
                <w:color w:val="auto"/>
                <w:spacing w:val="-10"/>
                <w:highlight w:val="none"/>
                <w:lang w:bidi="ar"/>
              </w:rPr>
              <w:t>方采纳。一项加</w:t>
            </w:r>
            <w:r>
              <w:rPr>
                <w:rFonts w:hint="eastAsia" w:ascii="仿宋" w:hAnsi="仿宋" w:eastAsia="仿宋" w:cs="仿宋"/>
                <w:color w:val="auto"/>
                <w:spacing w:val="-29"/>
                <w:highlight w:val="none"/>
                <w:lang w:bidi="ar"/>
              </w:rPr>
              <w:t xml:space="preserve"> </w:t>
            </w:r>
            <w:r>
              <w:rPr>
                <w:rFonts w:hint="eastAsia" w:ascii="仿宋" w:hAnsi="仿宋" w:eastAsia="仿宋" w:cs="仿宋"/>
                <w:color w:val="auto"/>
                <w:spacing w:val="-10"/>
                <w:highlight w:val="none"/>
                <w:lang w:bidi="ar"/>
              </w:rPr>
              <w:t>2-3</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10"/>
                <w:highlight w:val="none"/>
                <w:lang w:bidi="ar"/>
              </w:rPr>
              <w:t>分，最多加</w:t>
            </w:r>
            <w:r>
              <w:rPr>
                <w:rFonts w:hint="eastAsia" w:ascii="仿宋" w:hAnsi="仿宋" w:eastAsia="仿宋" w:cs="仿宋"/>
                <w:color w:val="auto"/>
                <w:spacing w:val="-31"/>
                <w:highlight w:val="none"/>
                <w:lang w:bidi="ar"/>
              </w:rPr>
              <w:t xml:space="preserve"> </w:t>
            </w:r>
            <w:r>
              <w:rPr>
                <w:rFonts w:hint="eastAsia" w:ascii="仿宋" w:hAnsi="仿宋" w:eastAsia="仿宋" w:cs="仿宋"/>
                <w:color w:val="auto"/>
                <w:spacing w:val="-10"/>
                <w:highlight w:val="none"/>
                <w:lang w:bidi="ar"/>
              </w:rPr>
              <w:t>3</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10"/>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1B246DDA">
            <w:pPr>
              <w:spacing w:line="324" w:lineRule="auto"/>
              <w:rPr>
                <w:rFonts w:ascii="Arial" w:hAnsi="Calibri"/>
                <w:color w:val="auto"/>
                <w:szCs w:val="21"/>
                <w:highlight w:val="none"/>
              </w:rPr>
            </w:pPr>
          </w:p>
          <w:p w14:paraId="0CCC05FA">
            <w:pPr>
              <w:pStyle w:val="12"/>
              <w:spacing w:before="78"/>
              <w:ind w:left="302"/>
              <w:rPr>
                <w:rFonts w:ascii="仿宋" w:hAnsi="仿宋" w:eastAsia="仿宋" w:cs="仿宋"/>
                <w:color w:val="auto"/>
                <w:highlight w:val="none"/>
              </w:rPr>
            </w:pPr>
            <w:r>
              <w:rPr>
                <w:rFonts w:hint="eastAsia" w:ascii="仿宋" w:hAnsi="仿宋" w:eastAsia="仿宋" w:cs="仿宋"/>
                <w:color w:val="auto"/>
                <w:highlight w:val="none"/>
                <w:lang w:bidi="ar"/>
              </w:rPr>
              <w:t>3</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31FA566B">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339F21D2">
            <w:pPr>
              <w:rPr>
                <w:rFonts w:ascii="Arial" w:hAnsi="Calibri"/>
                <w:color w:val="auto"/>
                <w:szCs w:val="21"/>
                <w:highlight w:val="none"/>
              </w:rPr>
            </w:pPr>
          </w:p>
        </w:tc>
      </w:tr>
      <w:tr w14:paraId="5187B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noWrap w:val="0"/>
            <w:vAlign w:val="top"/>
          </w:tcPr>
          <w:p w14:paraId="69B5151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429F30A7">
            <w:pPr>
              <w:pStyle w:val="12"/>
              <w:spacing w:before="253"/>
              <w:ind w:left="177" w:right="155" w:firstLine="25"/>
              <w:rPr>
                <w:rFonts w:ascii="仿宋" w:hAnsi="仿宋" w:eastAsia="仿宋" w:cs="仿宋"/>
                <w:color w:val="auto"/>
                <w:highlight w:val="none"/>
              </w:rPr>
            </w:pPr>
            <w:r>
              <w:rPr>
                <w:rFonts w:hint="eastAsia" w:ascii="仿宋" w:hAnsi="仿宋" w:eastAsia="仿宋" w:cs="仿宋"/>
                <w:color w:val="auto"/>
                <w:spacing w:val="-13"/>
                <w:highlight w:val="none"/>
                <w:lang w:bidi="ar"/>
              </w:rPr>
              <w:t>6.3</w:t>
            </w:r>
            <w:r>
              <w:rPr>
                <w:rFonts w:hint="eastAsia" w:ascii="仿宋" w:hAnsi="仿宋" w:eastAsia="仿宋" w:cs="仿宋"/>
                <w:color w:val="auto"/>
                <w:spacing w:val="-30"/>
                <w:highlight w:val="none"/>
                <w:lang w:bidi="ar"/>
              </w:rPr>
              <w:t xml:space="preserve"> </w:t>
            </w:r>
            <w:r>
              <w:rPr>
                <w:rFonts w:hint="eastAsia" w:ascii="仿宋" w:hAnsi="仿宋" w:eastAsia="仿宋" w:cs="仿宋"/>
                <w:color w:val="auto"/>
                <w:spacing w:val="-13"/>
                <w:highlight w:val="none"/>
                <w:lang w:bidi="ar"/>
              </w:rPr>
              <w:t>隐</w:t>
            </w:r>
            <w:r>
              <w:rPr>
                <w:rFonts w:hint="eastAsia" w:ascii="仿宋" w:hAnsi="仿宋" w:eastAsia="仿宋" w:cs="仿宋"/>
                <w:color w:val="auto"/>
                <w:spacing w:val="-8"/>
                <w:highlight w:val="none"/>
                <w:lang w:bidi="ar"/>
              </w:rPr>
              <w:t>患上报</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75ACF435">
            <w:pPr>
              <w:pStyle w:val="12"/>
              <w:spacing w:before="98"/>
              <w:ind w:left="122" w:right="116" w:firstLine="22"/>
              <w:rPr>
                <w:rFonts w:ascii="仿宋" w:hAnsi="仿宋" w:eastAsia="仿宋" w:cs="仿宋"/>
                <w:color w:val="auto"/>
                <w:highlight w:val="none"/>
              </w:rPr>
            </w:pPr>
            <w:r>
              <w:rPr>
                <w:rFonts w:hint="eastAsia" w:ascii="仿宋" w:hAnsi="仿宋" w:eastAsia="仿宋" w:cs="仿宋"/>
                <w:color w:val="auto"/>
                <w:spacing w:val="-2"/>
                <w:highlight w:val="none"/>
                <w:lang w:bidi="ar"/>
              </w:rPr>
              <w:t>“吹哨人”主动上报重大安全隐患并</w:t>
            </w:r>
            <w:r>
              <w:rPr>
                <w:rFonts w:hint="eastAsia" w:ascii="仿宋" w:hAnsi="仿宋" w:eastAsia="仿宋" w:cs="仿宋"/>
                <w:color w:val="auto"/>
                <w:spacing w:val="-9"/>
                <w:highlight w:val="none"/>
                <w:lang w:bidi="ar"/>
              </w:rPr>
              <w:t>避免事故发生。一次加</w:t>
            </w:r>
            <w:r>
              <w:rPr>
                <w:rFonts w:hint="eastAsia" w:ascii="仿宋" w:hAnsi="仿宋" w:eastAsia="仿宋" w:cs="仿宋"/>
                <w:color w:val="auto"/>
                <w:spacing w:val="-40"/>
                <w:highlight w:val="none"/>
                <w:lang w:bidi="ar"/>
              </w:rPr>
              <w:t xml:space="preserve"> </w:t>
            </w:r>
            <w:r>
              <w:rPr>
                <w:rFonts w:hint="eastAsia" w:ascii="仿宋" w:hAnsi="仿宋" w:eastAsia="仿宋" w:cs="仿宋"/>
                <w:color w:val="auto"/>
                <w:spacing w:val="-9"/>
                <w:highlight w:val="none"/>
                <w:lang w:bidi="ar"/>
              </w:rPr>
              <w:t>2</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9"/>
                <w:highlight w:val="none"/>
                <w:lang w:bidi="ar"/>
              </w:rPr>
              <w:t>分，最多加</w:t>
            </w:r>
            <w:r>
              <w:rPr>
                <w:rFonts w:hint="eastAsia" w:ascii="仿宋" w:hAnsi="仿宋" w:eastAsia="仿宋" w:cs="仿宋"/>
                <w:color w:val="auto"/>
                <w:spacing w:val="-42"/>
                <w:highlight w:val="none"/>
                <w:lang w:bidi="ar"/>
              </w:rPr>
              <w:t xml:space="preserve"> </w:t>
            </w:r>
            <w:r>
              <w:rPr>
                <w:rFonts w:hint="eastAsia" w:ascii="仿宋" w:hAnsi="仿宋" w:eastAsia="仿宋" w:cs="仿宋"/>
                <w:color w:val="auto"/>
                <w:spacing w:val="-9"/>
                <w:highlight w:val="none"/>
                <w:lang w:bidi="ar"/>
              </w:rPr>
              <w:t>2</w:t>
            </w:r>
            <w:r>
              <w:rPr>
                <w:rFonts w:hint="eastAsia" w:ascii="仿宋" w:hAnsi="仿宋" w:eastAsia="仿宋" w:cs="仿宋"/>
                <w:color w:val="auto"/>
                <w:spacing w:val="-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7BE1B879">
            <w:pPr>
              <w:spacing w:line="328" w:lineRule="auto"/>
              <w:rPr>
                <w:rFonts w:ascii="Arial" w:hAnsi="Calibri"/>
                <w:color w:val="auto"/>
                <w:szCs w:val="21"/>
                <w:highlight w:val="none"/>
              </w:rPr>
            </w:pPr>
          </w:p>
          <w:p w14:paraId="7B357498">
            <w:pPr>
              <w:pStyle w:val="12"/>
              <w:spacing w:before="78"/>
              <w:ind w:left="293"/>
              <w:rPr>
                <w:rFonts w:ascii="仿宋" w:hAnsi="仿宋" w:eastAsia="仿宋" w:cs="仿宋"/>
                <w:color w:val="auto"/>
                <w:highlight w:val="none"/>
              </w:rPr>
            </w:pPr>
            <w:r>
              <w:rPr>
                <w:rFonts w:hint="eastAsia" w:ascii="仿宋" w:hAnsi="仿宋" w:eastAsia="仿宋" w:cs="仿宋"/>
                <w:color w:val="auto"/>
                <w:highlight w:val="none"/>
                <w:lang w:bidi="ar"/>
              </w:rPr>
              <w:t>2</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4A9AE3DE">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2544C0DC">
            <w:pPr>
              <w:rPr>
                <w:rFonts w:ascii="Arial" w:hAnsi="Calibri"/>
                <w:color w:val="auto"/>
                <w:szCs w:val="21"/>
                <w:highlight w:val="none"/>
              </w:rPr>
            </w:pPr>
          </w:p>
        </w:tc>
      </w:tr>
      <w:tr w14:paraId="73C32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79" w:type="dxa"/>
            <w:vMerge w:val="continue"/>
            <w:tcBorders>
              <w:top w:val="single" w:color="000000" w:sz="2" w:space="0"/>
              <w:left w:val="single" w:color="000000" w:sz="2" w:space="0"/>
              <w:bottom w:val="nil"/>
              <w:right w:val="single" w:color="000000" w:sz="2" w:space="0"/>
            </w:tcBorders>
            <w:noWrap w:val="0"/>
            <w:vAlign w:val="top"/>
          </w:tcPr>
          <w:p w14:paraId="57B0975B">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5662B0BB">
            <w:pPr>
              <w:pStyle w:val="12"/>
              <w:spacing w:before="99"/>
              <w:ind w:left="408" w:right="155" w:hanging="245"/>
              <w:rPr>
                <w:rFonts w:ascii="仿宋" w:hAnsi="仿宋" w:eastAsia="仿宋" w:cs="仿宋"/>
                <w:color w:val="auto"/>
                <w:highlight w:val="none"/>
              </w:rPr>
            </w:pPr>
            <w:r>
              <w:rPr>
                <w:rFonts w:hint="eastAsia" w:ascii="仿宋" w:hAnsi="仿宋" w:eastAsia="仿宋" w:cs="仿宋"/>
                <w:color w:val="auto"/>
                <w:spacing w:val="-4"/>
                <w:highlight w:val="none"/>
                <w:lang w:bidi="ar"/>
              </w:rPr>
              <w:t>加分小</w:t>
            </w:r>
            <w:r>
              <w:rPr>
                <w:rFonts w:hint="eastAsia" w:ascii="仿宋" w:hAnsi="仿宋" w:eastAsia="仿宋" w:cs="仿宋"/>
                <w:color w:val="auto"/>
                <w:highlight w:val="none"/>
                <w:lang w:bidi="ar"/>
              </w:rPr>
              <w:t>计</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740F95F8">
            <w:pPr>
              <w:pStyle w:val="12"/>
              <w:spacing w:before="254"/>
              <w:ind w:left="137"/>
              <w:rPr>
                <w:rFonts w:ascii="仿宋" w:hAnsi="仿宋" w:eastAsia="仿宋" w:cs="仿宋"/>
                <w:color w:val="auto"/>
                <w:highlight w:val="none"/>
              </w:rPr>
            </w:pPr>
            <w:r>
              <w:rPr>
                <w:rFonts w:hint="eastAsia" w:ascii="仿宋" w:hAnsi="仿宋" w:eastAsia="仿宋" w:cs="仿宋"/>
                <w:color w:val="auto"/>
                <w:spacing w:val="-5"/>
                <w:highlight w:val="none"/>
                <w:lang w:bidi="ar"/>
              </w:rPr>
              <w:t>累计加分不超过</w:t>
            </w:r>
            <w:r>
              <w:rPr>
                <w:rFonts w:hint="eastAsia" w:ascii="仿宋" w:hAnsi="仿宋" w:eastAsia="仿宋" w:cs="仿宋"/>
                <w:color w:val="auto"/>
                <w:spacing w:val="-33"/>
                <w:highlight w:val="none"/>
                <w:lang w:bidi="ar"/>
              </w:rPr>
              <w:t xml:space="preserve"> </w:t>
            </w:r>
            <w:r>
              <w:rPr>
                <w:rFonts w:hint="eastAsia" w:ascii="仿宋" w:hAnsi="仿宋" w:eastAsia="仿宋" w:cs="仿宋"/>
                <w:color w:val="auto"/>
                <w:spacing w:val="-5"/>
                <w:highlight w:val="none"/>
                <w:lang w:bidi="ar"/>
              </w:rPr>
              <w:t>10</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5"/>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1D30F1B8">
            <w:pPr>
              <w:pStyle w:val="12"/>
              <w:spacing w:before="254"/>
              <w:ind w:left="239"/>
              <w:rPr>
                <w:rFonts w:ascii="仿宋" w:hAnsi="仿宋" w:eastAsia="仿宋" w:cs="仿宋"/>
                <w:color w:val="auto"/>
                <w:highlight w:val="none"/>
              </w:rPr>
            </w:pPr>
            <w:r>
              <w:rPr>
                <w:rFonts w:hint="eastAsia" w:ascii="仿宋" w:hAnsi="仿宋" w:eastAsia="仿宋" w:cs="仿宋"/>
                <w:color w:val="auto"/>
                <w:spacing w:val="-13"/>
                <w:highlight w:val="none"/>
                <w:lang w:bidi="ar"/>
              </w:rPr>
              <w:t>10</w:t>
            </w:r>
          </w:p>
        </w:tc>
        <w:tc>
          <w:tcPr>
            <w:tcW w:w="2509" w:type="dxa"/>
            <w:gridSpan w:val="2"/>
            <w:tcBorders>
              <w:top w:val="single" w:color="000000" w:sz="2" w:space="0"/>
              <w:left w:val="single" w:color="000000" w:sz="2" w:space="0"/>
              <w:bottom w:val="single" w:color="000000" w:sz="2" w:space="0"/>
              <w:right w:val="single" w:color="000000" w:sz="2" w:space="0"/>
            </w:tcBorders>
            <w:noWrap w:val="0"/>
            <w:vAlign w:val="top"/>
          </w:tcPr>
          <w:p w14:paraId="1B368D8A">
            <w:pPr>
              <w:rPr>
                <w:rFonts w:ascii="Arial" w:hAnsi="Calibri"/>
                <w:color w:val="auto"/>
                <w:szCs w:val="21"/>
                <w:highlight w:val="none"/>
              </w:rPr>
            </w:pPr>
          </w:p>
        </w:tc>
      </w:tr>
      <w:tr w14:paraId="6320D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5977" w:type="dxa"/>
            <w:gridSpan w:val="3"/>
            <w:tcBorders>
              <w:top w:val="single" w:color="000000" w:sz="2" w:space="0"/>
              <w:left w:val="single" w:color="000000" w:sz="2" w:space="0"/>
              <w:bottom w:val="single" w:color="000000" w:sz="2" w:space="0"/>
              <w:right w:val="single" w:color="000000" w:sz="2" w:space="0"/>
            </w:tcBorders>
            <w:noWrap w:val="0"/>
            <w:vAlign w:val="top"/>
          </w:tcPr>
          <w:p w14:paraId="129F51E5">
            <w:pPr>
              <w:pStyle w:val="12"/>
              <w:spacing w:before="98"/>
              <w:ind w:left="1870"/>
              <w:rPr>
                <w:rFonts w:ascii="仿宋" w:hAnsi="仿宋" w:eastAsia="仿宋" w:cs="仿宋"/>
                <w:color w:val="auto"/>
                <w:highlight w:val="none"/>
              </w:rPr>
            </w:pPr>
            <w:r>
              <w:rPr>
                <w:rFonts w:hint="eastAsia" w:ascii="仿宋" w:hAnsi="仿宋" w:eastAsia="仿宋" w:cs="仿宋"/>
                <w:color w:val="auto"/>
                <w:spacing w:val="-3"/>
                <w:highlight w:val="none"/>
                <w:lang w:bidi="ar"/>
              </w:rPr>
              <w:t>总分（标准分+加分）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042CAD4F">
            <w:pPr>
              <w:pStyle w:val="12"/>
              <w:spacing w:before="98"/>
              <w:ind w:left="179"/>
              <w:rPr>
                <w:rFonts w:ascii="仿宋" w:hAnsi="仿宋" w:eastAsia="仿宋" w:cs="仿宋"/>
                <w:color w:val="auto"/>
                <w:highlight w:val="none"/>
              </w:rPr>
            </w:pPr>
            <w:r>
              <w:rPr>
                <w:rFonts w:hint="eastAsia" w:ascii="仿宋" w:hAnsi="仿宋" w:eastAsia="仿宋" w:cs="仿宋"/>
                <w:color w:val="auto"/>
                <w:spacing w:val="-9"/>
                <w:highlight w:val="none"/>
                <w:lang w:bidi="ar"/>
              </w:rPr>
              <w:t>110</w:t>
            </w:r>
          </w:p>
        </w:tc>
        <w:tc>
          <w:tcPr>
            <w:tcW w:w="2509" w:type="dxa"/>
            <w:gridSpan w:val="2"/>
            <w:tcBorders>
              <w:top w:val="single" w:color="000000" w:sz="2" w:space="0"/>
              <w:left w:val="single" w:color="000000" w:sz="2" w:space="0"/>
              <w:bottom w:val="single" w:color="000000" w:sz="2" w:space="0"/>
              <w:right w:val="single" w:color="000000" w:sz="2" w:space="0"/>
            </w:tcBorders>
            <w:noWrap w:val="0"/>
            <w:vAlign w:val="top"/>
          </w:tcPr>
          <w:p w14:paraId="2230373E">
            <w:pPr>
              <w:rPr>
                <w:rFonts w:ascii="Arial" w:hAnsi="Calibri"/>
                <w:color w:val="auto"/>
                <w:szCs w:val="21"/>
                <w:highlight w:val="none"/>
              </w:rPr>
            </w:pPr>
          </w:p>
        </w:tc>
      </w:tr>
      <w:tr w14:paraId="1ADBE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9157" w:type="dxa"/>
            <w:gridSpan w:val="6"/>
            <w:tcBorders>
              <w:top w:val="single" w:color="000000" w:sz="2" w:space="0"/>
              <w:left w:val="single" w:color="000000" w:sz="2" w:space="0"/>
              <w:bottom w:val="single" w:color="000000" w:sz="2" w:space="0"/>
              <w:right w:val="single" w:color="000000" w:sz="2" w:space="0"/>
            </w:tcBorders>
            <w:noWrap w:val="0"/>
            <w:vAlign w:val="top"/>
          </w:tcPr>
          <w:p w14:paraId="32A3C9C4">
            <w:pPr>
              <w:pStyle w:val="12"/>
              <w:spacing w:before="100"/>
              <w:ind w:left="126"/>
              <w:rPr>
                <w:rFonts w:ascii="仿宋" w:hAnsi="仿宋" w:eastAsia="仿宋" w:cs="仿宋"/>
                <w:color w:val="auto"/>
                <w:highlight w:val="none"/>
              </w:rPr>
            </w:pPr>
            <w:r>
              <w:rPr>
                <w:rFonts w:hint="eastAsia" w:ascii="仿宋" w:hAnsi="仿宋" w:eastAsia="仿宋" w:cs="仿宋"/>
                <w:b/>
                <w:bCs/>
                <w:color w:val="auto"/>
                <w:spacing w:val="-7"/>
                <w:highlight w:val="none"/>
                <w:lang w:bidi="ar"/>
              </w:rPr>
              <w:t>评价等级：</w:t>
            </w:r>
            <w:r>
              <w:rPr>
                <w:rFonts w:hint="eastAsia" w:ascii="微软雅黑" w:hAnsi="微软雅黑" w:eastAsia="微软雅黑" w:cs="微软雅黑"/>
                <w:color w:val="auto"/>
                <w:spacing w:val="-7"/>
                <w:highlight w:val="none"/>
                <w:lang w:bidi="ar"/>
              </w:rPr>
              <w:t>□</w:t>
            </w:r>
            <w:r>
              <w:rPr>
                <w:rFonts w:hint="eastAsia" w:ascii="仿宋" w:hAnsi="仿宋" w:eastAsia="仿宋" w:cs="仿宋"/>
                <w:color w:val="auto"/>
                <w:spacing w:val="-7"/>
                <w:highlight w:val="none"/>
                <w:lang w:bidi="ar"/>
              </w:rPr>
              <w:t>A</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7"/>
                <w:highlight w:val="none"/>
                <w:lang w:bidi="ar"/>
              </w:rPr>
              <w:t>级（得分≥90</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7"/>
                <w:highlight w:val="none"/>
                <w:lang w:bidi="ar"/>
              </w:rPr>
              <w:t>分）□B</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7"/>
                <w:highlight w:val="none"/>
                <w:lang w:bidi="ar"/>
              </w:rPr>
              <w:t>级（70</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7"/>
                <w:highlight w:val="none"/>
                <w:lang w:bidi="ar"/>
              </w:rPr>
              <w:t>分≤得分＜90</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7"/>
                <w:highlight w:val="none"/>
                <w:lang w:bidi="ar"/>
              </w:rPr>
              <w:t>分）□C</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7"/>
                <w:highlight w:val="none"/>
                <w:lang w:bidi="ar"/>
              </w:rPr>
              <w:t>级（得分&lt;</w:t>
            </w:r>
            <w:r>
              <w:rPr>
                <w:rFonts w:hint="eastAsia" w:ascii="仿宋" w:hAnsi="仿宋" w:eastAsia="仿宋" w:cs="仿宋"/>
                <w:color w:val="auto"/>
                <w:spacing w:val="-8"/>
                <w:highlight w:val="none"/>
                <w:lang w:bidi="ar"/>
              </w:rPr>
              <w:t>70</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8"/>
                <w:highlight w:val="none"/>
                <w:lang w:bidi="ar"/>
              </w:rPr>
              <w:t>分）。</w:t>
            </w:r>
            <w:r>
              <w:rPr>
                <w:rFonts w:hint="eastAsia" w:ascii="仿宋" w:hAnsi="仿宋" w:eastAsia="仿宋" w:cs="仿宋"/>
                <w:color w:val="auto"/>
                <w:spacing w:val="-1"/>
                <w:highlight w:val="none"/>
                <w:lang w:bidi="ar"/>
              </w:rPr>
              <w:t>连续两次评价为C</w:t>
            </w:r>
            <w:r>
              <w:rPr>
                <w:rFonts w:hint="eastAsia" w:ascii="仿宋" w:hAnsi="仿宋" w:eastAsia="仿宋" w:cs="仿宋"/>
                <w:color w:val="auto"/>
                <w:spacing w:val="-26"/>
                <w:highlight w:val="none"/>
                <w:lang w:bidi="ar"/>
              </w:rPr>
              <w:t xml:space="preserve"> </w:t>
            </w:r>
            <w:r>
              <w:rPr>
                <w:rFonts w:hint="eastAsia" w:ascii="仿宋" w:hAnsi="仿宋" w:eastAsia="仿宋" w:cs="仿宋"/>
                <w:color w:val="auto"/>
                <w:spacing w:val="-1"/>
                <w:highlight w:val="none"/>
                <w:lang w:bidi="ar"/>
              </w:rPr>
              <w:t>级的承包商纳入黑名单管理。</w:t>
            </w:r>
          </w:p>
          <w:p w14:paraId="6E30B1C1">
            <w:pPr>
              <w:pStyle w:val="12"/>
              <w:spacing w:before="11"/>
              <w:ind w:left="126"/>
              <w:rPr>
                <w:rFonts w:ascii="仿宋" w:hAnsi="仿宋" w:eastAsia="仿宋" w:cs="仿宋"/>
                <w:color w:val="auto"/>
                <w:highlight w:val="none"/>
              </w:rPr>
            </w:pPr>
            <w:r>
              <w:rPr>
                <w:rFonts w:hint="eastAsia" w:ascii="仿宋" w:hAnsi="仿宋" w:eastAsia="仿宋" w:cs="仿宋"/>
                <w:b/>
                <w:bCs/>
                <w:color w:val="auto"/>
                <w:spacing w:val="-4"/>
                <w:highlight w:val="none"/>
                <w:lang w:bidi="ar"/>
              </w:rPr>
              <w:t>评价人员签字：</w:t>
            </w:r>
          </w:p>
          <w:p w14:paraId="5DB41F99">
            <w:pPr>
              <w:pStyle w:val="12"/>
              <w:spacing w:before="29"/>
              <w:ind w:left="126"/>
              <w:rPr>
                <w:rFonts w:ascii="仿宋" w:hAnsi="仿宋" w:eastAsia="仿宋" w:cs="仿宋"/>
                <w:color w:val="auto"/>
                <w:highlight w:val="none"/>
              </w:rPr>
            </w:pPr>
            <w:r>
              <w:rPr>
                <w:rFonts w:hint="eastAsia" w:ascii="仿宋" w:hAnsi="仿宋" w:eastAsia="仿宋" w:cs="仿宋"/>
                <w:b/>
                <w:bCs/>
                <w:color w:val="auto"/>
                <w:spacing w:val="-8"/>
                <w:highlight w:val="none"/>
                <w:lang w:bidi="ar"/>
              </w:rPr>
              <w:t>评价日期：</w:t>
            </w:r>
            <w:r>
              <w:rPr>
                <w:rFonts w:hint="eastAsia" w:ascii="仿宋" w:hAnsi="仿宋" w:eastAsia="仿宋" w:cs="仿宋"/>
                <w:color w:val="auto"/>
                <w:spacing w:val="6"/>
                <w:highlight w:val="none"/>
                <w:lang w:bidi="ar"/>
              </w:rPr>
              <w:t xml:space="preserve">    </w:t>
            </w:r>
            <w:r>
              <w:rPr>
                <w:rFonts w:hint="eastAsia" w:ascii="仿宋" w:hAnsi="仿宋" w:eastAsia="仿宋" w:cs="仿宋"/>
                <w:color w:val="auto"/>
                <w:spacing w:val="-8"/>
                <w:highlight w:val="none"/>
                <w:lang w:bidi="ar"/>
              </w:rPr>
              <w:t>年</w:t>
            </w:r>
            <w:r>
              <w:rPr>
                <w:rFonts w:hint="eastAsia" w:ascii="仿宋" w:hAnsi="仿宋" w:eastAsia="仿宋" w:cs="仿宋"/>
                <w:color w:val="auto"/>
                <w:spacing w:val="10"/>
                <w:highlight w:val="none"/>
                <w:lang w:bidi="ar"/>
              </w:rPr>
              <w:t xml:space="preserve">  </w:t>
            </w:r>
            <w:r>
              <w:rPr>
                <w:rFonts w:hint="eastAsia" w:ascii="仿宋" w:hAnsi="仿宋" w:eastAsia="仿宋" w:cs="仿宋"/>
                <w:color w:val="auto"/>
                <w:spacing w:val="-8"/>
                <w:highlight w:val="none"/>
                <w:lang w:bidi="ar"/>
              </w:rPr>
              <w:t>月</w:t>
            </w:r>
            <w:r>
              <w:rPr>
                <w:rFonts w:hint="eastAsia" w:ascii="仿宋" w:hAnsi="仿宋" w:eastAsia="仿宋" w:cs="仿宋"/>
                <w:color w:val="auto"/>
                <w:spacing w:val="28"/>
                <w:highlight w:val="none"/>
                <w:lang w:bidi="ar"/>
              </w:rPr>
              <w:t xml:space="preserve">  </w:t>
            </w:r>
            <w:r>
              <w:rPr>
                <w:rFonts w:hint="eastAsia" w:ascii="仿宋" w:hAnsi="仿宋" w:eastAsia="仿宋" w:cs="仿宋"/>
                <w:color w:val="auto"/>
                <w:spacing w:val="-8"/>
                <w:highlight w:val="none"/>
                <w:lang w:bidi="ar"/>
              </w:rPr>
              <w:t>日</w:t>
            </w:r>
          </w:p>
        </w:tc>
      </w:tr>
    </w:tbl>
    <w:p w14:paraId="7B7A0433">
      <w:pPr>
        <w:rPr>
          <w:rFonts w:ascii="Arial" w:hAnsi="Calibri"/>
          <w:color w:val="auto"/>
          <w:szCs w:val="21"/>
          <w:highlight w:val="none"/>
        </w:rPr>
      </w:pPr>
      <w:r>
        <w:rPr>
          <w:rFonts w:ascii="Arial" w:hAnsi="Calibri"/>
          <w:color w:val="auto"/>
          <w:kern w:val="0"/>
          <w:szCs w:val="21"/>
          <w:highlight w:val="none"/>
          <w:lang w:bidi="ar"/>
        </w:rPr>
        <w:t xml:space="preserve"> </w:t>
      </w:r>
    </w:p>
    <w:p w14:paraId="5C463E30">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54830898">
      <w:pPr>
        <w:pStyle w:val="12"/>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highlight w:val="none"/>
          <w:lang w:bidi="ar"/>
        </w:rPr>
        <w:t>附件4：承包商安全生产 “吹哨人” 和隐患内部报告奖励统计表</w:t>
      </w:r>
    </w:p>
    <w:p w14:paraId="0F9B22BA">
      <w:pPr>
        <w:spacing w:before="207" w:line="354" w:lineRule="exact"/>
        <w:jc w:val="center"/>
        <w:outlineLvl w:val="1"/>
        <w:rPr>
          <w:rFonts w:ascii="微软雅黑" w:hAnsi="微软雅黑" w:eastAsia="微软雅黑" w:cs="微软雅黑"/>
          <w:color w:val="auto"/>
          <w:sz w:val="35"/>
          <w:szCs w:val="35"/>
          <w:highlight w:val="none"/>
        </w:rPr>
      </w:pPr>
      <w:r>
        <w:rPr>
          <w:rFonts w:hint="eastAsia" w:ascii="微软雅黑" w:hAnsi="微软雅黑" w:eastAsia="微软雅黑" w:cs="微软雅黑"/>
          <w:color w:val="auto"/>
          <w:spacing w:val="17"/>
          <w:kern w:val="0"/>
          <w:position w:val="-1"/>
          <w:sz w:val="35"/>
          <w:szCs w:val="35"/>
          <w:highlight w:val="none"/>
          <w:lang w:bidi="ar"/>
        </w:rPr>
        <w:t>承包商安全生产</w:t>
      </w:r>
      <w:r>
        <w:rPr>
          <w:rFonts w:hint="eastAsia" w:ascii="微软雅黑" w:hAnsi="微软雅黑" w:eastAsia="微软雅黑" w:cs="微软雅黑"/>
          <w:color w:val="auto"/>
          <w:spacing w:val="86"/>
          <w:kern w:val="0"/>
          <w:position w:val="-1"/>
          <w:sz w:val="35"/>
          <w:szCs w:val="35"/>
          <w:highlight w:val="none"/>
          <w:lang w:bidi="ar"/>
        </w:rPr>
        <w:t xml:space="preserve"> </w:t>
      </w:r>
      <w:r>
        <w:rPr>
          <w:rFonts w:ascii="Calibri" w:hAnsi="Calibri"/>
          <w:color w:val="auto"/>
          <w:kern w:val="0"/>
          <w:szCs w:val="21"/>
          <w:highlight w:val="none"/>
        </w:rPr>
        <w:drawing>
          <wp:inline distT="0" distB="0" distL="114300" distR="114300">
            <wp:extent cx="104775" cy="76200"/>
            <wp:effectExtent l="0" t="0" r="9525" b="0"/>
            <wp:docPr id="1"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6"/>
                    <pic:cNvPicPr>
                      <a:picLocks noChangeAspect="1"/>
                    </pic:cNvPicPr>
                  </pic:nvPicPr>
                  <pic:blipFill>
                    <a:blip r:embed="rId9"/>
                    <a:stretch>
                      <a:fillRect/>
                    </a:stretch>
                  </pic:blipFill>
                  <pic:spPr>
                    <a:xfrm>
                      <a:off x="0" y="0"/>
                      <a:ext cx="104775" cy="76200"/>
                    </a:xfrm>
                    <a:prstGeom prst="rect">
                      <a:avLst/>
                    </a:prstGeom>
                    <a:noFill/>
                    <a:ln>
                      <a:noFill/>
                    </a:ln>
                  </pic:spPr>
                </pic:pic>
              </a:graphicData>
            </a:graphic>
          </wp:inline>
        </w:drawing>
      </w:r>
      <w:r>
        <w:rPr>
          <w:rFonts w:hint="eastAsia" w:ascii="微软雅黑" w:hAnsi="微软雅黑" w:eastAsia="微软雅黑" w:cs="微软雅黑"/>
          <w:color w:val="auto"/>
          <w:spacing w:val="17"/>
          <w:kern w:val="0"/>
          <w:position w:val="-1"/>
          <w:sz w:val="35"/>
          <w:szCs w:val="35"/>
          <w:highlight w:val="none"/>
          <w:lang w:bidi="ar"/>
        </w:rPr>
        <w:t>吹哨人</w:t>
      </w:r>
      <w:r>
        <w:rPr>
          <w:rFonts w:ascii="Calibri" w:hAnsi="Calibri"/>
          <w:color w:val="auto"/>
          <w:kern w:val="0"/>
          <w:szCs w:val="21"/>
          <w:highlight w:val="none"/>
        </w:rPr>
        <w:drawing>
          <wp:inline distT="0" distB="0" distL="114300" distR="114300">
            <wp:extent cx="104775" cy="76200"/>
            <wp:effectExtent l="0" t="0" r="9525" b="0"/>
            <wp:docPr id="3"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57"/>
                    <pic:cNvPicPr>
                      <a:picLocks noChangeAspect="1"/>
                    </pic:cNvPicPr>
                  </pic:nvPicPr>
                  <pic:blipFill>
                    <a:blip r:embed="rId10"/>
                    <a:stretch>
                      <a:fillRect/>
                    </a:stretch>
                  </pic:blipFill>
                  <pic:spPr>
                    <a:xfrm>
                      <a:off x="0" y="0"/>
                      <a:ext cx="104775" cy="76200"/>
                    </a:xfrm>
                    <a:prstGeom prst="rect">
                      <a:avLst/>
                    </a:prstGeom>
                    <a:noFill/>
                    <a:ln>
                      <a:noFill/>
                    </a:ln>
                  </pic:spPr>
                </pic:pic>
              </a:graphicData>
            </a:graphic>
          </wp:inline>
        </w:drawing>
      </w:r>
      <w:r>
        <w:rPr>
          <w:rFonts w:hint="eastAsia" w:ascii="微软雅黑" w:hAnsi="微软雅黑" w:eastAsia="微软雅黑" w:cs="微软雅黑"/>
          <w:color w:val="auto"/>
          <w:spacing w:val="86"/>
          <w:kern w:val="0"/>
          <w:position w:val="-1"/>
          <w:sz w:val="35"/>
          <w:szCs w:val="35"/>
          <w:highlight w:val="none"/>
          <w:lang w:bidi="ar"/>
        </w:rPr>
        <w:t xml:space="preserve"> </w:t>
      </w:r>
      <w:r>
        <w:rPr>
          <w:rFonts w:hint="eastAsia" w:ascii="微软雅黑" w:hAnsi="微软雅黑" w:eastAsia="微软雅黑" w:cs="微软雅黑"/>
          <w:color w:val="auto"/>
          <w:spacing w:val="17"/>
          <w:kern w:val="0"/>
          <w:position w:val="-1"/>
          <w:sz w:val="35"/>
          <w:szCs w:val="35"/>
          <w:highlight w:val="none"/>
          <w:lang w:bidi="ar"/>
        </w:rPr>
        <w:t>和隐患内部报告奖励统计</w:t>
      </w:r>
      <w:r>
        <w:rPr>
          <w:rFonts w:hint="eastAsia" w:ascii="微软雅黑" w:hAnsi="微软雅黑" w:eastAsia="微软雅黑" w:cs="微软雅黑"/>
          <w:color w:val="auto"/>
          <w:spacing w:val="16"/>
          <w:kern w:val="0"/>
          <w:position w:val="-1"/>
          <w:sz w:val="35"/>
          <w:szCs w:val="35"/>
          <w:highlight w:val="none"/>
          <w:lang w:bidi="ar"/>
        </w:rPr>
        <w:t>表</w:t>
      </w:r>
    </w:p>
    <w:p w14:paraId="675E86CF">
      <w:pPr>
        <w:spacing w:line="319" w:lineRule="auto"/>
        <w:rPr>
          <w:rFonts w:ascii="Arial" w:hAnsi="Calibri"/>
          <w:color w:val="auto"/>
          <w:szCs w:val="21"/>
          <w:highlight w:val="none"/>
        </w:rPr>
      </w:pPr>
      <w:r>
        <w:rPr>
          <w:rFonts w:ascii="Arial" w:hAnsi="Calibri"/>
          <w:color w:val="auto"/>
          <w:kern w:val="0"/>
          <w:szCs w:val="21"/>
          <w:highlight w:val="none"/>
          <w:lang w:bidi="ar"/>
        </w:rPr>
        <w:t xml:space="preserve"> </w:t>
      </w:r>
    </w:p>
    <w:p w14:paraId="0F5AB875">
      <w:pPr>
        <w:pStyle w:val="12"/>
        <w:spacing w:before="78"/>
        <w:ind w:left="515"/>
        <w:rPr>
          <w:rFonts w:ascii="仿宋" w:hAnsi="仿宋" w:eastAsia="仿宋" w:cs="仿宋"/>
          <w:color w:val="auto"/>
          <w:highlight w:val="none"/>
        </w:rPr>
      </w:pPr>
      <w:r>
        <w:rPr>
          <w:rFonts w:hint="eastAsia" w:ascii="仿宋" w:hAnsi="仿宋" w:eastAsia="仿宋" w:cs="仿宋"/>
          <w:color w:val="auto"/>
          <w:spacing w:val="-13"/>
          <w:highlight w:val="none"/>
          <w:lang w:bidi="ar"/>
        </w:rPr>
        <w:t>统计期间：</w:t>
      </w:r>
      <w:r>
        <w:rPr>
          <w:rFonts w:hint="eastAsia" w:ascii="仿宋" w:hAnsi="仿宋" w:eastAsia="仿宋" w:cs="仿宋"/>
          <w:color w:val="auto"/>
          <w:spacing w:val="6"/>
          <w:highlight w:val="none"/>
          <w:lang w:bidi="ar"/>
        </w:rPr>
        <w:t xml:space="preserve">    </w:t>
      </w:r>
      <w:r>
        <w:rPr>
          <w:rFonts w:hint="eastAsia" w:ascii="仿宋" w:hAnsi="仿宋" w:eastAsia="仿宋" w:cs="仿宋"/>
          <w:color w:val="auto"/>
          <w:spacing w:val="-13"/>
          <w:highlight w:val="none"/>
          <w:lang w:bidi="ar"/>
        </w:rPr>
        <w:t>年</w:t>
      </w:r>
      <w:r>
        <w:rPr>
          <w:rFonts w:hint="eastAsia" w:ascii="仿宋" w:hAnsi="仿宋" w:eastAsia="仿宋" w:cs="仿宋"/>
          <w:color w:val="auto"/>
          <w:spacing w:val="7"/>
          <w:highlight w:val="none"/>
          <w:lang w:bidi="ar"/>
        </w:rPr>
        <w:t xml:space="preserve">   </w:t>
      </w:r>
      <w:r>
        <w:rPr>
          <w:rFonts w:hint="eastAsia" w:ascii="仿宋" w:hAnsi="仿宋" w:eastAsia="仿宋" w:cs="仿宋"/>
          <w:color w:val="auto"/>
          <w:spacing w:val="-13"/>
          <w:highlight w:val="none"/>
          <w:lang w:bidi="ar"/>
        </w:rPr>
        <w:t>月</w:t>
      </w:r>
      <w:r>
        <w:rPr>
          <w:rFonts w:hint="eastAsia" w:ascii="仿宋" w:hAnsi="仿宋" w:eastAsia="仿宋" w:cs="仿宋"/>
          <w:color w:val="auto"/>
          <w:spacing w:val="27"/>
          <w:highlight w:val="none"/>
          <w:lang w:bidi="ar"/>
        </w:rPr>
        <w:t xml:space="preserve">  </w:t>
      </w:r>
      <w:r>
        <w:rPr>
          <w:rFonts w:hint="eastAsia" w:ascii="仿宋" w:hAnsi="仿宋" w:eastAsia="仿宋" w:cs="仿宋"/>
          <w:color w:val="auto"/>
          <w:spacing w:val="-13"/>
          <w:highlight w:val="none"/>
          <w:lang w:bidi="ar"/>
        </w:rPr>
        <w:t>日至</w:t>
      </w:r>
      <w:r>
        <w:rPr>
          <w:rFonts w:hint="eastAsia" w:ascii="仿宋" w:hAnsi="仿宋" w:eastAsia="仿宋" w:cs="仿宋"/>
          <w:color w:val="auto"/>
          <w:spacing w:val="3"/>
          <w:highlight w:val="none"/>
          <w:lang w:bidi="ar"/>
        </w:rPr>
        <w:t xml:space="preserve">    </w:t>
      </w:r>
      <w:r>
        <w:rPr>
          <w:rFonts w:hint="eastAsia" w:ascii="仿宋" w:hAnsi="仿宋" w:eastAsia="仿宋" w:cs="仿宋"/>
          <w:color w:val="auto"/>
          <w:spacing w:val="-13"/>
          <w:highlight w:val="none"/>
          <w:lang w:bidi="ar"/>
        </w:rPr>
        <w:t>年</w:t>
      </w:r>
      <w:r>
        <w:rPr>
          <w:rFonts w:hint="eastAsia" w:ascii="仿宋" w:hAnsi="仿宋" w:eastAsia="仿宋" w:cs="仿宋"/>
          <w:color w:val="auto"/>
          <w:spacing w:val="11"/>
          <w:highlight w:val="none"/>
          <w:lang w:bidi="ar"/>
        </w:rPr>
        <w:t xml:space="preserve">  </w:t>
      </w:r>
      <w:r>
        <w:rPr>
          <w:rFonts w:hint="eastAsia" w:ascii="仿宋" w:hAnsi="仿宋" w:eastAsia="仿宋" w:cs="仿宋"/>
          <w:color w:val="auto"/>
          <w:spacing w:val="-13"/>
          <w:highlight w:val="none"/>
          <w:lang w:bidi="ar"/>
        </w:rPr>
        <w:t>月</w:t>
      </w:r>
      <w:r>
        <w:rPr>
          <w:rFonts w:hint="eastAsia" w:ascii="仿宋" w:hAnsi="仿宋" w:eastAsia="仿宋" w:cs="仿宋"/>
          <w:color w:val="auto"/>
          <w:spacing w:val="27"/>
          <w:highlight w:val="none"/>
          <w:lang w:bidi="ar"/>
        </w:rPr>
        <w:t xml:space="preserve">  </w:t>
      </w:r>
      <w:r>
        <w:rPr>
          <w:rFonts w:hint="eastAsia" w:ascii="仿宋" w:hAnsi="仿宋" w:eastAsia="仿宋" w:cs="仿宋"/>
          <w:color w:val="auto"/>
          <w:spacing w:val="-13"/>
          <w:highlight w:val="none"/>
          <w:lang w:bidi="ar"/>
        </w:rPr>
        <w:t>日</w:t>
      </w:r>
    </w:p>
    <w:p w14:paraId="5D9398E3">
      <w:pPr>
        <w:spacing w:line="33"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23"/>
        <w:tblW w:w="9604"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4"/>
        <w:gridCol w:w="1411"/>
        <w:gridCol w:w="702"/>
        <w:gridCol w:w="702"/>
        <w:gridCol w:w="910"/>
        <w:gridCol w:w="907"/>
        <w:gridCol w:w="753"/>
        <w:gridCol w:w="702"/>
        <w:gridCol w:w="702"/>
        <w:gridCol w:w="704"/>
        <w:gridCol w:w="702"/>
        <w:gridCol w:w="705"/>
      </w:tblGrid>
      <w:tr w14:paraId="2F473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5" w:hRule="atLeast"/>
        </w:trPr>
        <w:tc>
          <w:tcPr>
            <w:tcW w:w="705" w:type="dxa"/>
            <w:vMerge w:val="restart"/>
            <w:tcBorders>
              <w:top w:val="single" w:color="000000" w:sz="2" w:space="0"/>
              <w:left w:val="single" w:color="000000" w:sz="2" w:space="0"/>
              <w:bottom w:val="nil"/>
              <w:right w:val="single" w:color="000000" w:sz="2" w:space="0"/>
            </w:tcBorders>
            <w:noWrap w:val="0"/>
            <w:vAlign w:val="top"/>
          </w:tcPr>
          <w:p w14:paraId="0A817E58">
            <w:pPr>
              <w:spacing w:line="302" w:lineRule="auto"/>
              <w:rPr>
                <w:rFonts w:ascii="Arial" w:hAnsi="Calibri"/>
                <w:color w:val="auto"/>
                <w:szCs w:val="21"/>
                <w:highlight w:val="none"/>
              </w:rPr>
            </w:pPr>
          </w:p>
          <w:p w14:paraId="00B335B5">
            <w:pPr>
              <w:spacing w:line="302" w:lineRule="auto"/>
              <w:rPr>
                <w:rFonts w:ascii="Arial" w:hAnsi="Calibri"/>
                <w:color w:val="auto"/>
                <w:szCs w:val="21"/>
                <w:highlight w:val="none"/>
              </w:rPr>
            </w:pPr>
          </w:p>
          <w:p w14:paraId="19BB0E68">
            <w:pPr>
              <w:pStyle w:val="12"/>
              <w:spacing w:before="78"/>
              <w:ind w:left="113" w:right="106" w:firstLine="5"/>
              <w:rPr>
                <w:rFonts w:ascii="仿宋" w:hAnsi="仿宋" w:eastAsia="仿宋" w:cs="仿宋"/>
                <w:color w:val="auto"/>
                <w:highlight w:val="none"/>
              </w:rPr>
            </w:pPr>
            <w:r>
              <w:rPr>
                <w:rFonts w:hint="eastAsia" w:ascii="仿宋" w:hAnsi="仿宋" w:eastAsia="仿宋" w:cs="仿宋"/>
                <w:color w:val="auto"/>
                <w:spacing w:val="4"/>
                <w:highlight w:val="none"/>
                <w:lang w:bidi="ar"/>
              </w:rPr>
              <w:t>承包商</w:t>
            </w:r>
            <w:r>
              <w:rPr>
                <w:rFonts w:hint="eastAsia" w:ascii="仿宋" w:hAnsi="仿宋" w:eastAsia="仿宋" w:cs="仿宋"/>
                <w:color w:val="auto"/>
                <w:spacing w:val="-3"/>
                <w:highlight w:val="none"/>
                <w:lang w:bidi="ar"/>
              </w:rPr>
              <w:t>名称</w:t>
            </w:r>
          </w:p>
        </w:tc>
        <w:tc>
          <w:tcPr>
            <w:tcW w:w="1412" w:type="dxa"/>
            <w:vMerge w:val="restart"/>
            <w:tcBorders>
              <w:top w:val="single" w:color="000000" w:sz="2" w:space="0"/>
              <w:left w:val="single" w:color="000000" w:sz="2" w:space="0"/>
              <w:bottom w:val="nil"/>
              <w:right w:val="single" w:color="000000" w:sz="2" w:space="0"/>
            </w:tcBorders>
            <w:noWrap w:val="0"/>
            <w:vAlign w:val="top"/>
          </w:tcPr>
          <w:p w14:paraId="75E11E5E">
            <w:pPr>
              <w:spacing w:line="295" w:lineRule="auto"/>
              <w:rPr>
                <w:rFonts w:ascii="Arial" w:hAnsi="Calibri"/>
                <w:color w:val="auto"/>
                <w:szCs w:val="21"/>
                <w:highlight w:val="none"/>
              </w:rPr>
            </w:pPr>
          </w:p>
          <w:p w14:paraId="75EEED21">
            <w:pPr>
              <w:pStyle w:val="12"/>
              <w:spacing w:before="78"/>
              <w:ind w:left="126"/>
              <w:rPr>
                <w:rFonts w:ascii="仿宋" w:hAnsi="仿宋" w:eastAsia="仿宋" w:cs="仿宋"/>
                <w:color w:val="auto"/>
                <w:highlight w:val="none"/>
              </w:rPr>
            </w:pPr>
            <w:r>
              <w:rPr>
                <w:rFonts w:hint="eastAsia" w:ascii="仿宋" w:hAnsi="仿宋" w:eastAsia="仿宋" w:cs="仿宋"/>
                <w:color w:val="auto"/>
                <w:spacing w:val="-1"/>
                <w:highlight w:val="none"/>
                <w:lang w:bidi="ar"/>
              </w:rPr>
              <w:t>是否建立安全生</w:t>
            </w:r>
          </w:p>
          <w:p w14:paraId="0CD18C71">
            <w:pPr>
              <w:pStyle w:val="12"/>
              <w:spacing w:before="28"/>
              <w:ind w:left="130"/>
              <w:rPr>
                <w:rFonts w:ascii="仿宋" w:hAnsi="仿宋" w:eastAsia="仿宋" w:cs="仿宋"/>
                <w:color w:val="auto"/>
                <w:highlight w:val="none"/>
              </w:rPr>
            </w:pPr>
            <w:r>
              <w:rPr>
                <w:rFonts w:hint="eastAsia" w:ascii="仿宋" w:hAnsi="仿宋" w:eastAsia="仿宋" w:cs="仿宋"/>
                <w:color w:val="auto"/>
                <w:spacing w:val="-7"/>
                <w:highlight w:val="none"/>
                <w:lang w:bidi="ar"/>
              </w:rPr>
              <w:t>产</w:t>
            </w:r>
            <w:r>
              <w:rPr>
                <w:rFonts w:hint="eastAsia" w:ascii="仿宋" w:hAnsi="仿宋" w:eastAsia="仿宋" w:cs="仿宋"/>
                <w:color w:val="auto"/>
                <w:spacing w:val="-82"/>
                <w:highlight w:val="none"/>
                <w:lang w:bidi="ar"/>
              </w:rPr>
              <w:t xml:space="preserve"> </w:t>
            </w:r>
            <w:r>
              <w:rPr>
                <w:rFonts w:hint="eastAsia" w:ascii="仿宋" w:hAnsi="仿宋" w:eastAsia="仿宋" w:cs="仿宋"/>
                <w:color w:val="auto"/>
                <w:spacing w:val="-7"/>
                <w:highlight w:val="none"/>
                <w:lang w:bidi="ar"/>
              </w:rPr>
              <w:t>“吹哨人”或</w:t>
            </w:r>
          </w:p>
          <w:p w14:paraId="35FED8C1">
            <w:pPr>
              <w:pStyle w:val="12"/>
              <w:spacing w:before="29"/>
              <w:ind w:left="149"/>
              <w:rPr>
                <w:rFonts w:ascii="仿宋" w:hAnsi="仿宋" w:eastAsia="仿宋" w:cs="仿宋"/>
                <w:color w:val="auto"/>
                <w:highlight w:val="none"/>
              </w:rPr>
            </w:pPr>
            <w:r>
              <w:rPr>
                <w:rFonts w:hint="eastAsia" w:ascii="仿宋" w:hAnsi="仿宋" w:eastAsia="仿宋" w:cs="仿宋"/>
                <w:color w:val="auto"/>
                <w:spacing w:val="-5"/>
                <w:highlight w:val="none"/>
                <w:lang w:bidi="ar"/>
              </w:rPr>
              <w:t>隐患内部报告奖</w:t>
            </w:r>
          </w:p>
          <w:p w14:paraId="45FCE6FC">
            <w:pPr>
              <w:pStyle w:val="12"/>
              <w:spacing w:before="30"/>
              <w:ind w:left="608"/>
              <w:rPr>
                <w:rFonts w:ascii="仿宋" w:hAnsi="仿宋" w:eastAsia="仿宋" w:cs="仿宋"/>
                <w:color w:val="auto"/>
                <w:highlight w:val="none"/>
              </w:rPr>
            </w:pPr>
            <w:r>
              <w:rPr>
                <w:rFonts w:hint="eastAsia" w:ascii="仿宋" w:hAnsi="仿宋" w:eastAsia="仿宋" w:cs="仿宋"/>
                <w:color w:val="auto"/>
                <w:spacing w:val="-3"/>
                <w:highlight w:val="none"/>
                <w:lang w:bidi="ar"/>
              </w:rPr>
              <w:t>励制度</w:t>
            </w:r>
          </w:p>
        </w:tc>
        <w:tc>
          <w:tcPr>
            <w:tcW w:w="702" w:type="dxa"/>
            <w:vMerge w:val="restart"/>
            <w:tcBorders>
              <w:top w:val="single" w:color="000000" w:sz="2" w:space="0"/>
              <w:left w:val="single" w:color="000000" w:sz="2" w:space="0"/>
              <w:bottom w:val="nil"/>
              <w:right w:val="single" w:color="000000" w:sz="2" w:space="0"/>
            </w:tcBorders>
            <w:noWrap w:val="0"/>
            <w:vAlign w:val="top"/>
          </w:tcPr>
          <w:p w14:paraId="45F35461">
            <w:pPr>
              <w:spacing w:line="302" w:lineRule="auto"/>
              <w:rPr>
                <w:rFonts w:ascii="Arial" w:hAnsi="Calibri"/>
                <w:color w:val="auto"/>
                <w:szCs w:val="21"/>
                <w:highlight w:val="none"/>
              </w:rPr>
            </w:pPr>
          </w:p>
          <w:p w14:paraId="36D0CAA5">
            <w:pPr>
              <w:spacing w:line="302" w:lineRule="auto"/>
              <w:rPr>
                <w:rFonts w:ascii="Arial" w:hAnsi="Calibri"/>
                <w:color w:val="auto"/>
                <w:szCs w:val="21"/>
                <w:highlight w:val="none"/>
              </w:rPr>
            </w:pPr>
          </w:p>
          <w:p w14:paraId="453338F2">
            <w:pPr>
              <w:pStyle w:val="12"/>
              <w:spacing w:before="78"/>
              <w:ind w:left="368" w:right="118" w:hanging="235"/>
              <w:rPr>
                <w:rFonts w:ascii="仿宋" w:hAnsi="仿宋" w:eastAsia="仿宋" w:cs="仿宋"/>
                <w:color w:val="auto"/>
                <w:highlight w:val="none"/>
              </w:rPr>
            </w:pPr>
            <w:r>
              <w:rPr>
                <w:rFonts w:hint="eastAsia" w:ascii="仿宋" w:hAnsi="仿宋" w:eastAsia="仿宋" w:cs="仿宋"/>
                <w:color w:val="auto"/>
                <w:spacing w:val="-6"/>
                <w:highlight w:val="none"/>
                <w:lang w:bidi="ar"/>
              </w:rPr>
              <w:t>制度名</w:t>
            </w:r>
            <w:r>
              <w:rPr>
                <w:rFonts w:hint="eastAsia" w:ascii="仿宋" w:hAnsi="仿宋" w:eastAsia="仿宋" w:cs="仿宋"/>
                <w:color w:val="auto"/>
                <w:highlight w:val="none"/>
                <w:lang w:bidi="ar"/>
              </w:rPr>
              <w:t>称</w:t>
            </w:r>
          </w:p>
        </w:tc>
        <w:tc>
          <w:tcPr>
            <w:tcW w:w="702" w:type="dxa"/>
            <w:vMerge w:val="restart"/>
            <w:tcBorders>
              <w:top w:val="single" w:color="000000" w:sz="2" w:space="0"/>
              <w:left w:val="single" w:color="000000" w:sz="2" w:space="0"/>
              <w:bottom w:val="nil"/>
              <w:right w:val="single" w:color="000000" w:sz="2" w:space="0"/>
            </w:tcBorders>
            <w:noWrap w:val="0"/>
            <w:vAlign w:val="top"/>
          </w:tcPr>
          <w:p w14:paraId="33C9FD82">
            <w:pPr>
              <w:spacing w:line="451" w:lineRule="auto"/>
              <w:rPr>
                <w:rFonts w:ascii="Arial" w:hAnsi="Calibri"/>
                <w:color w:val="auto"/>
                <w:szCs w:val="21"/>
                <w:highlight w:val="none"/>
              </w:rPr>
            </w:pPr>
          </w:p>
          <w:p w14:paraId="78AE7B33">
            <w:pPr>
              <w:pStyle w:val="12"/>
              <w:spacing w:before="78"/>
              <w:ind w:left="144"/>
              <w:rPr>
                <w:rFonts w:ascii="仿宋" w:hAnsi="仿宋" w:eastAsia="仿宋" w:cs="仿宋"/>
                <w:color w:val="auto"/>
                <w:highlight w:val="none"/>
              </w:rPr>
            </w:pPr>
            <w:r>
              <w:rPr>
                <w:rFonts w:hint="eastAsia" w:ascii="仿宋" w:hAnsi="仿宋" w:eastAsia="仿宋" w:cs="仿宋"/>
                <w:color w:val="auto"/>
                <w:spacing w:val="-10"/>
                <w:highlight w:val="none"/>
                <w:lang w:bidi="ar"/>
              </w:rPr>
              <w:t>隐患是</w:t>
            </w:r>
          </w:p>
          <w:p w14:paraId="5F9BDADC">
            <w:pPr>
              <w:pStyle w:val="12"/>
              <w:spacing w:before="27"/>
              <w:ind w:left="135"/>
              <w:rPr>
                <w:rFonts w:ascii="仿宋" w:hAnsi="仿宋" w:eastAsia="仿宋" w:cs="仿宋"/>
                <w:color w:val="auto"/>
                <w:highlight w:val="none"/>
              </w:rPr>
            </w:pPr>
            <w:r>
              <w:rPr>
                <w:rFonts w:hint="eastAsia" w:ascii="仿宋" w:hAnsi="仿宋" w:eastAsia="仿宋" w:cs="仿宋"/>
                <w:color w:val="auto"/>
                <w:spacing w:val="-7"/>
                <w:highlight w:val="none"/>
                <w:lang w:bidi="ar"/>
              </w:rPr>
              <w:t>否分级</w:t>
            </w:r>
          </w:p>
          <w:p w14:paraId="6B51B942">
            <w:pPr>
              <w:pStyle w:val="12"/>
              <w:spacing w:before="28"/>
              <w:ind w:left="261"/>
              <w:rPr>
                <w:rFonts w:ascii="仿宋" w:hAnsi="仿宋" w:eastAsia="仿宋" w:cs="仿宋"/>
                <w:color w:val="auto"/>
                <w:highlight w:val="none"/>
              </w:rPr>
            </w:pPr>
            <w:r>
              <w:rPr>
                <w:rFonts w:hint="eastAsia" w:ascii="仿宋" w:hAnsi="仿宋" w:eastAsia="仿宋" w:cs="仿宋"/>
                <w:color w:val="auto"/>
                <w:spacing w:val="-13"/>
                <w:highlight w:val="none"/>
                <w:lang w:bidi="ar"/>
              </w:rPr>
              <w:t>奖励</w:t>
            </w:r>
          </w:p>
        </w:tc>
        <w:tc>
          <w:tcPr>
            <w:tcW w:w="2567" w:type="dxa"/>
            <w:gridSpan w:val="3"/>
            <w:tcBorders>
              <w:top w:val="single" w:color="000000" w:sz="2" w:space="0"/>
              <w:left w:val="single" w:color="000000" w:sz="2" w:space="0"/>
              <w:bottom w:val="single" w:color="000000" w:sz="2" w:space="0"/>
              <w:right w:val="single" w:color="000000" w:sz="2" w:space="0"/>
            </w:tcBorders>
            <w:noWrap w:val="0"/>
            <w:vAlign w:val="top"/>
          </w:tcPr>
          <w:p w14:paraId="3565103C">
            <w:pPr>
              <w:pStyle w:val="12"/>
              <w:spacing w:before="315"/>
              <w:ind w:left="1295"/>
              <w:rPr>
                <w:rFonts w:ascii="仿宋" w:hAnsi="仿宋" w:eastAsia="仿宋" w:cs="仿宋"/>
                <w:color w:val="auto"/>
                <w:highlight w:val="none"/>
              </w:rPr>
            </w:pPr>
            <w:r>
              <w:rPr>
                <w:rFonts w:hint="eastAsia" w:ascii="仿宋" w:hAnsi="仿宋" w:eastAsia="仿宋" w:cs="仿宋"/>
                <w:color w:val="auto"/>
                <w:spacing w:val="-7"/>
                <w:highlight w:val="none"/>
                <w:lang w:bidi="ar"/>
              </w:rPr>
              <w:t>一般隐患</w:t>
            </w:r>
          </w:p>
        </w:tc>
        <w:tc>
          <w:tcPr>
            <w:tcW w:w="2108" w:type="dxa"/>
            <w:gridSpan w:val="3"/>
            <w:tcBorders>
              <w:top w:val="single" w:color="000000" w:sz="2" w:space="0"/>
              <w:left w:val="single" w:color="000000" w:sz="2" w:space="0"/>
              <w:bottom w:val="single" w:color="000000" w:sz="2" w:space="0"/>
              <w:right w:val="single" w:color="000000" w:sz="2" w:space="0"/>
            </w:tcBorders>
            <w:noWrap w:val="0"/>
            <w:vAlign w:val="top"/>
          </w:tcPr>
          <w:p w14:paraId="7D537BCB">
            <w:pPr>
              <w:pStyle w:val="12"/>
              <w:spacing w:before="315"/>
              <w:ind w:left="978"/>
              <w:rPr>
                <w:rFonts w:ascii="仿宋" w:hAnsi="仿宋" w:eastAsia="仿宋" w:cs="仿宋"/>
                <w:color w:val="auto"/>
                <w:highlight w:val="none"/>
              </w:rPr>
            </w:pPr>
            <w:r>
              <w:rPr>
                <w:rFonts w:hint="eastAsia" w:ascii="仿宋" w:hAnsi="仿宋" w:eastAsia="仿宋" w:cs="仿宋"/>
                <w:color w:val="auto"/>
                <w:spacing w:val="-5"/>
                <w:highlight w:val="none"/>
                <w:lang w:bidi="ar"/>
              </w:rPr>
              <w:t>重大隐患</w:t>
            </w:r>
          </w:p>
        </w:tc>
        <w:tc>
          <w:tcPr>
            <w:tcW w:w="702" w:type="dxa"/>
            <w:vMerge w:val="restart"/>
            <w:tcBorders>
              <w:top w:val="single" w:color="000000" w:sz="2" w:space="0"/>
              <w:left w:val="single" w:color="000000" w:sz="2" w:space="0"/>
              <w:bottom w:val="nil"/>
              <w:right w:val="single" w:color="000000" w:sz="2" w:space="0"/>
            </w:tcBorders>
            <w:noWrap w:val="0"/>
            <w:vAlign w:val="top"/>
          </w:tcPr>
          <w:p w14:paraId="1C7799B1">
            <w:pPr>
              <w:spacing w:line="302" w:lineRule="auto"/>
              <w:rPr>
                <w:rFonts w:ascii="Arial" w:hAnsi="Calibri"/>
                <w:color w:val="auto"/>
                <w:szCs w:val="21"/>
                <w:highlight w:val="none"/>
              </w:rPr>
            </w:pPr>
          </w:p>
          <w:p w14:paraId="1A9059DE">
            <w:pPr>
              <w:spacing w:line="302" w:lineRule="auto"/>
              <w:rPr>
                <w:rFonts w:ascii="Arial" w:hAnsi="Calibri"/>
                <w:color w:val="auto"/>
                <w:szCs w:val="21"/>
                <w:highlight w:val="none"/>
              </w:rPr>
            </w:pPr>
          </w:p>
          <w:p w14:paraId="77189C5B">
            <w:pPr>
              <w:pStyle w:val="12"/>
              <w:spacing w:before="78"/>
              <w:ind w:left="127" w:right="116" w:firstLine="15"/>
              <w:rPr>
                <w:rFonts w:ascii="仿宋" w:hAnsi="仿宋" w:eastAsia="仿宋" w:cs="仿宋"/>
                <w:color w:val="auto"/>
                <w:highlight w:val="none"/>
              </w:rPr>
            </w:pPr>
            <w:r>
              <w:rPr>
                <w:rFonts w:hint="eastAsia" w:ascii="仿宋" w:hAnsi="仿宋" w:eastAsia="仿宋" w:cs="仿宋"/>
                <w:color w:val="auto"/>
                <w:spacing w:val="-9"/>
                <w:highlight w:val="none"/>
                <w:lang w:bidi="ar"/>
              </w:rPr>
              <w:t>奖励费</w:t>
            </w:r>
            <w:r>
              <w:rPr>
                <w:rFonts w:hint="eastAsia" w:ascii="仿宋" w:hAnsi="仿宋" w:eastAsia="仿宋" w:cs="仿宋"/>
                <w:color w:val="auto"/>
                <w:spacing w:val="-4"/>
                <w:highlight w:val="none"/>
                <w:lang w:bidi="ar"/>
              </w:rPr>
              <w:t>用出处</w:t>
            </w:r>
          </w:p>
        </w:tc>
        <w:tc>
          <w:tcPr>
            <w:tcW w:w="705" w:type="dxa"/>
            <w:vMerge w:val="restart"/>
            <w:tcBorders>
              <w:top w:val="single" w:color="000000" w:sz="2" w:space="0"/>
              <w:left w:val="single" w:color="000000" w:sz="2" w:space="0"/>
              <w:bottom w:val="nil"/>
              <w:right w:val="single" w:color="000000" w:sz="2" w:space="0"/>
            </w:tcBorders>
            <w:noWrap w:val="0"/>
            <w:vAlign w:val="top"/>
          </w:tcPr>
          <w:p w14:paraId="71066511">
            <w:pPr>
              <w:spacing w:line="252" w:lineRule="auto"/>
              <w:rPr>
                <w:rFonts w:ascii="Arial" w:hAnsi="Calibri"/>
                <w:color w:val="auto"/>
                <w:szCs w:val="21"/>
                <w:highlight w:val="none"/>
              </w:rPr>
            </w:pPr>
          </w:p>
          <w:p w14:paraId="7252C070">
            <w:pPr>
              <w:spacing w:line="252" w:lineRule="auto"/>
              <w:rPr>
                <w:rFonts w:ascii="Arial" w:hAnsi="Calibri"/>
                <w:color w:val="auto"/>
                <w:szCs w:val="21"/>
                <w:highlight w:val="none"/>
              </w:rPr>
            </w:pPr>
          </w:p>
          <w:p w14:paraId="3A5FD760">
            <w:pPr>
              <w:spacing w:line="254" w:lineRule="auto"/>
              <w:rPr>
                <w:rFonts w:ascii="Arial" w:hAnsi="Calibri"/>
                <w:color w:val="auto"/>
                <w:szCs w:val="21"/>
                <w:highlight w:val="none"/>
              </w:rPr>
            </w:pPr>
          </w:p>
          <w:p w14:paraId="2EE63507">
            <w:pPr>
              <w:pStyle w:val="12"/>
              <w:spacing w:before="78"/>
              <w:ind w:left="250"/>
              <w:rPr>
                <w:rFonts w:ascii="仿宋" w:hAnsi="仿宋" w:eastAsia="仿宋" w:cs="仿宋"/>
                <w:color w:val="auto"/>
                <w:highlight w:val="none"/>
              </w:rPr>
            </w:pPr>
            <w:r>
              <w:rPr>
                <w:rFonts w:hint="eastAsia" w:ascii="仿宋" w:hAnsi="仿宋" w:eastAsia="仿宋" w:cs="仿宋"/>
                <w:color w:val="auto"/>
                <w:spacing w:val="-7"/>
                <w:highlight w:val="none"/>
                <w:lang w:bidi="ar"/>
              </w:rPr>
              <w:t>备注</w:t>
            </w:r>
          </w:p>
        </w:tc>
      </w:tr>
      <w:tr w14:paraId="12318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2" w:hRule="atLeast"/>
        </w:trPr>
        <w:tc>
          <w:tcPr>
            <w:tcW w:w="705" w:type="dxa"/>
            <w:vMerge w:val="continue"/>
            <w:tcBorders>
              <w:top w:val="single" w:color="000000" w:sz="2" w:space="0"/>
              <w:left w:val="single" w:color="000000" w:sz="2" w:space="0"/>
              <w:bottom w:val="nil"/>
              <w:right w:val="single" w:color="000000" w:sz="2" w:space="0"/>
            </w:tcBorders>
            <w:noWrap w:val="0"/>
            <w:vAlign w:val="top"/>
          </w:tcPr>
          <w:p w14:paraId="090C2BCD">
            <w:pPr>
              <w:rPr>
                <w:color w:val="auto"/>
                <w:sz w:val="20"/>
                <w:szCs w:val="20"/>
                <w:highlight w:val="none"/>
              </w:rPr>
            </w:pPr>
          </w:p>
        </w:tc>
        <w:tc>
          <w:tcPr>
            <w:tcW w:w="1412" w:type="dxa"/>
            <w:vMerge w:val="continue"/>
            <w:tcBorders>
              <w:top w:val="single" w:color="000000" w:sz="2" w:space="0"/>
              <w:left w:val="single" w:color="000000" w:sz="2" w:space="0"/>
              <w:bottom w:val="nil"/>
              <w:right w:val="single" w:color="000000" w:sz="2" w:space="0"/>
            </w:tcBorders>
            <w:noWrap w:val="0"/>
            <w:vAlign w:val="top"/>
          </w:tcPr>
          <w:p w14:paraId="21CE71F3">
            <w:pPr>
              <w:rPr>
                <w:color w:val="auto"/>
                <w:sz w:val="20"/>
                <w:szCs w:val="20"/>
                <w:highlight w:val="none"/>
              </w:rPr>
            </w:pPr>
          </w:p>
        </w:tc>
        <w:tc>
          <w:tcPr>
            <w:tcW w:w="702" w:type="dxa"/>
            <w:vMerge w:val="continue"/>
            <w:tcBorders>
              <w:top w:val="single" w:color="000000" w:sz="2" w:space="0"/>
              <w:left w:val="single" w:color="000000" w:sz="2" w:space="0"/>
              <w:bottom w:val="nil"/>
              <w:right w:val="single" w:color="000000" w:sz="2" w:space="0"/>
            </w:tcBorders>
            <w:noWrap w:val="0"/>
            <w:vAlign w:val="top"/>
          </w:tcPr>
          <w:p w14:paraId="5DA3705F">
            <w:pPr>
              <w:rPr>
                <w:color w:val="auto"/>
                <w:sz w:val="20"/>
                <w:szCs w:val="20"/>
                <w:highlight w:val="none"/>
              </w:rPr>
            </w:pPr>
          </w:p>
        </w:tc>
        <w:tc>
          <w:tcPr>
            <w:tcW w:w="702" w:type="dxa"/>
            <w:vMerge w:val="continue"/>
            <w:tcBorders>
              <w:top w:val="single" w:color="000000" w:sz="2" w:space="0"/>
              <w:left w:val="single" w:color="000000" w:sz="2" w:space="0"/>
              <w:bottom w:val="nil"/>
              <w:right w:val="single" w:color="000000" w:sz="2" w:space="0"/>
            </w:tcBorders>
            <w:noWrap w:val="0"/>
            <w:vAlign w:val="top"/>
          </w:tcPr>
          <w:p w14:paraId="7188A7B4">
            <w:pPr>
              <w:rPr>
                <w:color w:val="auto"/>
                <w:sz w:val="20"/>
                <w:szCs w:val="20"/>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386F0598">
            <w:pPr>
              <w:pStyle w:val="12"/>
              <w:spacing w:before="251" w:line="242" w:lineRule="auto"/>
              <w:ind w:left="260" w:right="138" w:hanging="100"/>
              <w:rPr>
                <w:rFonts w:ascii="仿宋" w:hAnsi="仿宋" w:eastAsia="仿宋" w:cs="仿宋"/>
                <w:color w:val="auto"/>
                <w:highlight w:val="none"/>
              </w:rPr>
            </w:pPr>
            <w:r>
              <w:rPr>
                <w:rFonts w:hint="eastAsia" w:ascii="仿宋" w:hAnsi="仿宋" w:eastAsia="仿宋" w:cs="仿宋"/>
                <w:color w:val="auto"/>
                <w:spacing w:val="-7"/>
                <w:highlight w:val="none"/>
                <w:lang w:bidi="ar"/>
              </w:rPr>
              <w:t>奖励标准</w:t>
            </w:r>
            <w:r>
              <w:rPr>
                <w:rFonts w:hint="eastAsia" w:ascii="仿宋" w:hAnsi="仿宋" w:eastAsia="仿宋" w:cs="仿宋"/>
                <w:color w:val="auto"/>
                <w:spacing w:val="-8"/>
                <w:highlight w:val="none"/>
                <w:lang w:bidi="ar"/>
              </w:rPr>
              <w:t>（</w:t>
            </w:r>
            <w:r>
              <w:rPr>
                <w:rFonts w:hint="eastAsia" w:ascii="仿宋" w:hAnsi="仿宋" w:eastAsia="仿宋" w:cs="仿宋"/>
                <w:color w:val="auto"/>
                <w:spacing w:val="-71"/>
                <w:highlight w:val="none"/>
                <w:lang w:bidi="ar"/>
              </w:rPr>
              <w:t xml:space="preserve"> </w:t>
            </w:r>
            <w:r>
              <w:rPr>
                <w:rFonts w:hint="eastAsia" w:ascii="仿宋" w:hAnsi="仿宋" w:eastAsia="仿宋" w:cs="仿宋"/>
                <w:color w:val="auto"/>
                <w:spacing w:val="-8"/>
                <w:highlight w:val="none"/>
                <w:lang w:bidi="ar"/>
              </w:rPr>
              <w:t>元）</w:t>
            </w: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3CFA2E9F">
            <w:pPr>
              <w:pStyle w:val="12"/>
              <w:spacing w:before="253"/>
              <w:ind w:left="262" w:right="136" w:hanging="100"/>
              <w:rPr>
                <w:rFonts w:ascii="仿宋" w:hAnsi="仿宋" w:eastAsia="仿宋" w:cs="仿宋"/>
                <w:color w:val="auto"/>
                <w:highlight w:val="none"/>
              </w:rPr>
            </w:pPr>
            <w:r>
              <w:rPr>
                <w:rFonts w:hint="eastAsia" w:ascii="仿宋" w:hAnsi="仿宋" w:eastAsia="仿宋" w:cs="仿宋"/>
                <w:color w:val="auto"/>
                <w:spacing w:val="-7"/>
                <w:highlight w:val="none"/>
                <w:lang w:bidi="ar"/>
              </w:rPr>
              <w:t>奖励数量</w:t>
            </w:r>
            <w:r>
              <w:rPr>
                <w:rFonts w:hint="eastAsia" w:ascii="仿宋" w:hAnsi="仿宋" w:eastAsia="仿宋" w:cs="仿宋"/>
                <w:color w:val="auto"/>
                <w:spacing w:val="8"/>
                <w:highlight w:val="none"/>
                <w:lang w:bidi="ar"/>
              </w:rPr>
              <w:t>（项）</w:t>
            </w:r>
          </w:p>
        </w:tc>
        <w:tc>
          <w:tcPr>
            <w:tcW w:w="753" w:type="dxa"/>
            <w:tcBorders>
              <w:top w:val="single" w:color="000000" w:sz="2" w:space="0"/>
              <w:left w:val="single" w:color="000000" w:sz="2" w:space="0"/>
              <w:bottom w:val="single" w:color="000000" w:sz="2" w:space="0"/>
              <w:right w:val="single" w:color="000000" w:sz="2" w:space="0"/>
            </w:tcBorders>
            <w:noWrap w:val="0"/>
            <w:vAlign w:val="top"/>
          </w:tcPr>
          <w:p w14:paraId="15B150B0">
            <w:pPr>
              <w:pStyle w:val="12"/>
              <w:spacing w:before="252"/>
              <w:ind w:left="121" w:firstLine="56"/>
              <w:rPr>
                <w:rFonts w:ascii="仿宋" w:hAnsi="仿宋" w:eastAsia="仿宋" w:cs="仿宋"/>
                <w:color w:val="auto"/>
                <w:highlight w:val="none"/>
              </w:rPr>
            </w:pPr>
            <w:r>
              <w:rPr>
                <w:rFonts w:hint="eastAsia" w:ascii="仿宋" w:hAnsi="仿宋" w:eastAsia="仿宋" w:cs="仿宋"/>
                <w:color w:val="auto"/>
                <w:spacing w:val="-11"/>
                <w:highlight w:val="none"/>
                <w:lang w:bidi="ar"/>
              </w:rPr>
              <w:t>奖励金</w:t>
            </w:r>
            <w:r>
              <w:rPr>
                <w:rFonts w:hint="eastAsia" w:ascii="仿宋" w:hAnsi="仿宋" w:eastAsia="仿宋" w:cs="仿宋"/>
                <w:color w:val="auto"/>
                <w:spacing w:val="-27"/>
                <w:highlight w:val="none"/>
                <w:lang w:bidi="ar"/>
              </w:rPr>
              <w:t>额（</w:t>
            </w:r>
            <w:r>
              <w:rPr>
                <w:rFonts w:hint="eastAsia" w:ascii="仿宋" w:hAnsi="仿宋" w:eastAsia="仿宋" w:cs="仿宋"/>
                <w:color w:val="auto"/>
                <w:spacing w:val="-71"/>
                <w:highlight w:val="none"/>
                <w:lang w:bidi="ar"/>
              </w:rPr>
              <w:t xml:space="preserve"> </w:t>
            </w:r>
            <w:r>
              <w:rPr>
                <w:rFonts w:hint="eastAsia" w:ascii="仿宋" w:hAnsi="仿宋" w:eastAsia="仿宋" w:cs="仿宋"/>
                <w:color w:val="auto"/>
                <w:spacing w:val="-27"/>
                <w:highlight w:val="none"/>
                <w:lang w:bidi="ar"/>
              </w:rPr>
              <w:t>元）</w:t>
            </w: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441DF466">
            <w:pPr>
              <w:pStyle w:val="12"/>
              <w:spacing w:before="253"/>
              <w:ind w:left="120" w:firstLine="22"/>
              <w:rPr>
                <w:rFonts w:ascii="仿宋" w:hAnsi="仿宋" w:eastAsia="仿宋" w:cs="仿宋"/>
                <w:color w:val="auto"/>
                <w:highlight w:val="none"/>
              </w:rPr>
            </w:pPr>
            <w:r>
              <w:rPr>
                <w:rFonts w:hint="eastAsia" w:ascii="仿宋" w:hAnsi="仿宋" w:eastAsia="仿宋" w:cs="仿宋"/>
                <w:color w:val="auto"/>
                <w:spacing w:val="-12"/>
                <w:highlight w:val="none"/>
                <w:lang w:bidi="ar"/>
              </w:rPr>
              <w:t>奖励标</w:t>
            </w:r>
            <w:r>
              <w:rPr>
                <w:rFonts w:hint="eastAsia" w:ascii="仿宋" w:hAnsi="仿宋" w:eastAsia="仿宋" w:cs="仿宋"/>
                <w:color w:val="auto"/>
                <w:spacing w:val="-44"/>
                <w:highlight w:val="none"/>
                <w:lang w:bidi="ar"/>
              </w:rPr>
              <w:t>准（</w:t>
            </w:r>
            <w:r>
              <w:rPr>
                <w:rFonts w:hint="eastAsia" w:ascii="仿宋" w:hAnsi="仿宋" w:eastAsia="仿宋" w:cs="仿宋"/>
                <w:color w:val="auto"/>
                <w:spacing w:val="-71"/>
                <w:highlight w:val="none"/>
                <w:lang w:bidi="ar"/>
              </w:rPr>
              <w:t xml:space="preserve"> </w:t>
            </w:r>
            <w:r>
              <w:rPr>
                <w:rFonts w:hint="eastAsia" w:ascii="仿宋" w:hAnsi="仿宋" w:eastAsia="仿宋" w:cs="仿宋"/>
                <w:color w:val="auto"/>
                <w:spacing w:val="-44"/>
                <w:highlight w:val="none"/>
                <w:lang w:bidi="ar"/>
              </w:rPr>
              <w:t>元）</w:t>
            </w: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1C7C78D2">
            <w:pPr>
              <w:pStyle w:val="12"/>
              <w:spacing w:before="253"/>
              <w:ind w:left="121" w:firstLine="21"/>
              <w:rPr>
                <w:rFonts w:ascii="仿宋" w:hAnsi="仿宋" w:eastAsia="仿宋" w:cs="仿宋"/>
                <w:color w:val="auto"/>
                <w:highlight w:val="none"/>
              </w:rPr>
            </w:pPr>
            <w:r>
              <w:rPr>
                <w:rFonts w:hint="eastAsia" w:ascii="仿宋" w:hAnsi="仿宋" w:eastAsia="仿宋" w:cs="仿宋"/>
                <w:color w:val="auto"/>
                <w:spacing w:val="-12"/>
                <w:highlight w:val="none"/>
                <w:lang w:bidi="ar"/>
              </w:rPr>
              <w:t>奖励数</w:t>
            </w:r>
            <w:r>
              <w:rPr>
                <w:rFonts w:hint="eastAsia" w:ascii="仿宋" w:hAnsi="仿宋" w:eastAsia="仿宋" w:cs="仿宋"/>
                <w:color w:val="auto"/>
                <w:spacing w:val="-32"/>
                <w:highlight w:val="none"/>
                <w:lang w:bidi="ar"/>
              </w:rPr>
              <w:t>量（项）</w:t>
            </w: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1B0F84DF">
            <w:pPr>
              <w:pStyle w:val="12"/>
              <w:spacing w:before="252"/>
              <w:ind w:left="121" w:firstLine="21"/>
              <w:rPr>
                <w:rFonts w:ascii="仿宋" w:hAnsi="仿宋" w:eastAsia="仿宋" w:cs="仿宋"/>
                <w:color w:val="auto"/>
                <w:highlight w:val="none"/>
              </w:rPr>
            </w:pPr>
            <w:r>
              <w:rPr>
                <w:rFonts w:hint="eastAsia" w:ascii="仿宋" w:hAnsi="仿宋" w:eastAsia="仿宋" w:cs="仿宋"/>
                <w:color w:val="auto"/>
                <w:spacing w:val="-12"/>
                <w:highlight w:val="none"/>
                <w:lang w:bidi="ar"/>
              </w:rPr>
              <w:t>奖励金</w:t>
            </w:r>
            <w:r>
              <w:rPr>
                <w:rFonts w:hint="eastAsia" w:ascii="仿宋" w:hAnsi="仿宋" w:eastAsia="仿宋" w:cs="仿宋"/>
                <w:color w:val="auto"/>
                <w:spacing w:val="-44"/>
                <w:highlight w:val="none"/>
                <w:lang w:bidi="ar"/>
              </w:rPr>
              <w:t>额（</w:t>
            </w:r>
            <w:r>
              <w:rPr>
                <w:rFonts w:hint="eastAsia" w:ascii="仿宋" w:hAnsi="仿宋" w:eastAsia="仿宋" w:cs="仿宋"/>
                <w:color w:val="auto"/>
                <w:spacing w:val="-72"/>
                <w:highlight w:val="none"/>
                <w:lang w:bidi="ar"/>
              </w:rPr>
              <w:t xml:space="preserve"> </w:t>
            </w:r>
            <w:r>
              <w:rPr>
                <w:rFonts w:hint="eastAsia" w:ascii="仿宋" w:hAnsi="仿宋" w:eastAsia="仿宋" w:cs="仿宋"/>
                <w:color w:val="auto"/>
                <w:spacing w:val="-44"/>
                <w:highlight w:val="none"/>
                <w:lang w:bidi="ar"/>
              </w:rPr>
              <w:t>元）</w:t>
            </w:r>
          </w:p>
        </w:tc>
        <w:tc>
          <w:tcPr>
            <w:tcW w:w="702" w:type="dxa"/>
            <w:vMerge w:val="continue"/>
            <w:tcBorders>
              <w:top w:val="single" w:color="000000" w:sz="2" w:space="0"/>
              <w:left w:val="single" w:color="000000" w:sz="2" w:space="0"/>
              <w:bottom w:val="nil"/>
              <w:right w:val="single" w:color="000000" w:sz="2" w:space="0"/>
            </w:tcBorders>
            <w:noWrap w:val="0"/>
            <w:vAlign w:val="top"/>
          </w:tcPr>
          <w:p w14:paraId="211AAD11">
            <w:pPr>
              <w:rPr>
                <w:color w:val="auto"/>
                <w:sz w:val="20"/>
                <w:szCs w:val="20"/>
                <w:highlight w:val="none"/>
              </w:rPr>
            </w:pPr>
          </w:p>
        </w:tc>
        <w:tc>
          <w:tcPr>
            <w:tcW w:w="705" w:type="dxa"/>
            <w:vMerge w:val="continue"/>
            <w:tcBorders>
              <w:top w:val="single" w:color="000000" w:sz="2" w:space="0"/>
              <w:left w:val="single" w:color="000000" w:sz="2" w:space="0"/>
              <w:bottom w:val="nil"/>
              <w:right w:val="single" w:color="000000" w:sz="2" w:space="0"/>
            </w:tcBorders>
            <w:noWrap w:val="0"/>
            <w:vAlign w:val="top"/>
          </w:tcPr>
          <w:p w14:paraId="28D64862">
            <w:pPr>
              <w:rPr>
                <w:color w:val="auto"/>
                <w:sz w:val="20"/>
                <w:szCs w:val="20"/>
                <w:highlight w:val="none"/>
              </w:rPr>
            </w:pPr>
          </w:p>
        </w:tc>
      </w:tr>
      <w:tr w14:paraId="01684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705" w:type="dxa"/>
            <w:tcBorders>
              <w:top w:val="single" w:color="000000" w:sz="2" w:space="0"/>
              <w:left w:val="single" w:color="000000" w:sz="2" w:space="0"/>
              <w:bottom w:val="single" w:color="000000" w:sz="2" w:space="0"/>
              <w:right w:val="single" w:color="000000" w:sz="2" w:space="0"/>
            </w:tcBorders>
            <w:noWrap w:val="0"/>
            <w:vAlign w:val="top"/>
          </w:tcPr>
          <w:p w14:paraId="1FE587C5">
            <w:pPr>
              <w:rPr>
                <w:rFonts w:ascii="Arial" w:hAnsi="Calibri"/>
                <w:color w:val="auto"/>
                <w:szCs w:val="21"/>
                <w:highlight w:val="none"/>
              </w:rPr>
            </w:pPr>
          </w:p>
        </w:tc>
        <w:tc>
          <w:tcPr>
            <w:tcW w:w="1412" w:type="dxa"/>
            <w:tcBorders>
              <w:top w:val="single" w:color="000000" w:sz="2" w:space="0"/>
              <w:left w:val="single" w:color="000000" w:sz="2" w:space="0"/>
              <w:bottom w:val="single" w:color="000000" w:sz="2" w:space="0"/>
              <w:right w:val="single" w:color="000000" w:sz="2" w:space="0"/>
            </w:tcBorders>
            <w:noWrap w:val="0"/>
            <w:vAlign w:val="top"/>
          </w:tcPr>
          <w:p w14:paraId="1BB4879A">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49AD46F3">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37EEFAD4">
            <w:pPr>
              <w:rPr>
                <w:rFonts w:ascii="Arial" w:hAnsi="Calibri"/>
                <w:color w:val="auto"/>
                <w:szCs w:val="21"/>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1D1306AA">
            <w:pPr>
              <w:rPr>
                <w:rFonts w:ascii="Arial" w:hAnsi="Calibri"/>
                <w:color w:val="auto"/>
                <w:szCs w:val="21"/>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2049F0EB">
            <w:pPr>
              <w:rPr>
                <w:rFonts w:ascii="Arial" w:hAnsi="Calibri"/>
                <w:color w:val="auto"/>
                <w:szCs w:val="21"/>
                <w:highlight w:val="none"/>
              </w:rPr>
            </w:pPr>
          </w:p>
        </w:tc>
        <w:tc>
          <w:tcPr>
            <w:tcW w:w="753" w:type="dxa"/>
            <w:tcBorders>
              <w:top w:val="single" w:color="000000" w:sz="2" w:space="0"/>
              <w:left w:val="single" w:color="000000" w:sz="2" w:space="0"/>
              <w:bottom w:val="single" w:color="000000" w:sz="2" w:space="0"/>
              <w:right w:val="single" w:color="000000" w:sz="2" w:space="0"/>
            </w:tcBorders>
            <w:noWrap w:val="0"/>
            <w:vAlign w:val="top"/>
          </w:tcPr>
          <w:p w14:paraId="60F4008E">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5474F4EE">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0B2098F4">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26E5AEA4">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33CA968C">
            <w:pPr>
              <w:rPr>
                <w:rFonts w:ascii="Arial" w:hAnsi="Calibri"/>
                <w:color w:val="auto"/>
                <w:szCs w:val="21"/>
                <w:highlight w:val="none"/>
              </w:rPr>
            </w:pPr>
          </w:p>
        </w:tc>
        <w:tc>
          <w:tcPr>
            <w:tcW w:w="705" w:type="dxa"/>
            <w:tcBorders>
              <w:top w:val="single" w:color="000000" w:sz="2" w:space="0"/>
              <w:left w:val="single" w:color="000000" w:sz="2" w:space="0"/>
              <w:bottom w:val="single" w:color="000000" w:sz="2" w:space="0"/>
              <w:right w:val="single" w:color="000000" w:sz="2" w:space="0"/>
            </w:tcBorders>
            <w:noWrap w:val="0"/>
            <w:vAlign w:val="top"/>
          </w:tcPr>
          <w:p w14:paraId="7AD925E3">
            <w:pPr>
              <w:rPr>
                <w:rFonts w:ascii="Arial" w:hAnsi="Calibri"/>
                <w:color w:val="auto"/>
                <w:szCs w:val="21"/>
                <w:highlight w:val="none"/>
              </w:rPr>
            </w:pPr>
          </w:p>
        </w:tc>
      </w:tr>
      <w:tr w14:paraId="025FF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705" w:type="dxa"/>
            <w:tcBorders>
              <w:top w:val="single" w:color="000000" w:sz="2" w:space="0"/>
              <w:left w:val="single" w:color="000000" w:sz="2" w:space="0"/>
              <w:bottom w:val="single" w:color="000000" w:sz="2" w:space="0"/>
              <w:right w:val="single" w:color="000000" w:sz="2" w:space="0"/>
            </w:tcBorders>
            <w:noWrap w:val="0"/>
            <w:vAlign w:val="top"/>
          </w:tcPr>
          <w:p w14:paraId="667C098A">
            <w:pPr>
              <w:rPr>
                <w:rFonts w:ascii="Arial" w:hAnsi="Calibri"/>
                <w:color w:val="auto"/>
                <w:szCs w:val="21"/>
                <w:highlight w:val="none"/>
              </w:rPr>
            </w:pPr>
          </w:p>
        </w:tc>
        <w:tc>
          <w:tcPr>
            <w:tcW w:w="1412" w:type="dxa"/>
            <w:tcBorders>
              <w:top w:val="single" w:color="000000" w:sz="2" w:space="0"/>
              <w:left w:val="single" w:color="000000" w:sz="2" w:space="0"/>
              <w:bottom w:val="single" w:color="000000" w:sz="2" w:space="0"/>
              <w:right w:val="single" w:color="000000" w:sz="2" w:space="0"/>
            </w:tcBorders>
            <w:noWrap w:val="0"/>
            <w:vAlign w:val="top"/>
          </w:tcPr>
          <w:p w14:paraId="411B91BC">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21A27D6D">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091AE42A">
            <w:pPr>
              <w:rPr>
                <w:rFonts w:ascii="Arial" w:hAnsi="Calibri"/>
                <w:color w:val="auto"/>
                <w:szCs w:val="21"/>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7E11012E">
            <w:pPr>
              <w:rPr>
                <w:rFonts w:ascii="Arial" w:hAnsi="Calibri"/>
                <w:color w:val="auto"/>
                <w:szCs w:val="21"/>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1E548544">
            <w:pPr>
              <w:rPr>
                <w:rFonts w:ascii="Arial" w:hAnsi="Calibri"/>
                <w:color w:val="auto"/>
                <w:szCs w:val="21"/>
                <w:highlight w:val="none"/>
              </w:rPr>
            </w:pPr>
          </w:p>
        </w:tc>
        <w:tc>
          <w:tcPr>
            <w:tcW w:w="753" w:type="dxa"/>
            <w:tcBorders>
              <w:top w:val="single" w:color="000000" w:sz="2" w:space="0"/>
              <w:left w:val="single" w:color="000000" w:sz="2" w:space="0"/>
              <w:bottom w:val="single" w:color="000000" w:sz="2" w:space="0"/>
              <w:right w:val="single" w:color="000000" w:sz="2" w:space="0"/>
            </w:tcBorders>
            <w:noWrap w:val="0"/>
            <w:vAlign w:val="top"/>
          </w:tcPr>
          <w:p w14:paraId="65581CDA">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6256BF12">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41F4275B">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33471F07">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73F63B9B">
            <w:pPr>
              <w:rPr>
                <w:rFonts w:ascii="Arial" w:hAnsi="Calibri"/>
                <w:color w:val="auto"/>
                <w:szCs w:val="21"/>
                <w:highlight w:val="none"/>
              </w:rPr>
            </w:pPr>
          </w:p>
        </w:tc>
        <w:tc>
          <w:tcPr>
            <w:tcW w:w="705" w:type="dxa"/>
            <w:tcBorders>
              <w:top w:val="single" w:color="000000" w:sz="2" w:space="0"/>
              <w:left w:val="single" w:color="000000" w:sz="2" w:space="0"/>
              <w:bottom w:val="single" w:color="000000" w:sz="2" w:space="0"/>
              <w:right w:val="single" w:color="000000" w:sz="2" w:space="0"/>
            </w:tcBorders>
            <w:noWrap w:val="0"/>
            <w:vAlign w:val="top"/>
          </w:tcPr>
          <w:p w14:paraId="57C933EB">
            <w:pPr>
              <w:rPr>
                <w:rFonts w:ascii="Arial" w:hAnsi="Calibri"/>
                <w:color w:val="auto"/>
                <w:szCs w:val="21"/>
                <w:highlight w:val="none"/>
              </w:rPr>
            </w:pPr>
          </w:p>
        </w:tc>
      </w:tr>
      <w:tr w14:paraId="56C20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705" w:type="dxa"/>
            <w:tcBorders>
              <w:top w:val="single" w:color="000000" w:sz="2" w:space="0"/>
              <w:left w:val="single" w:color="000000" w:sz="2" w:space="0"/>
              <w:bottom w:val="single" w:color="000000" w:sz="2" w:space="0"/>
              <w:right w:val="single" w:color="000000" w:sz="2" w:space="0"/>
            </w:tcBorders>
            <w:noWrap w:val="0"/>
            <w:vAlign w:val="top"/>
          </w:tcPr>
          <w:p w14:paraId="2DE86183">
            <w:pPr>
              <w:rPr>
                <w:rFonts w:ascii="Arial" w:hAnsi="Calibri"/>
                <w:color w:val="auto"/>
                <w:szCs w:val="21"/>
                <w:highlight w:val="none"/>
              </w:rPr>
            </w:pPr>
          </w:p>
        </w:tc>
        <w:tc>
          <w:tcPr>
            <w:tcW w:w="1412" w:type="dxa"/>
            <w:tcBorders>
              <w:top w:val="single" w:color="000000" w:sz="2" w:space="0"/>
              <w:left w:val="single" w:color="000000" w:sz="2" w:space="0"/>
              <w:bottom w:val="single" w:color="000000" w:sz="2" w:space="0"/>
              <w:right w:val="single" w:color="000000" w:sz="2" w:space="0"/>
            </w:tcBorders>
            <w:noWrap w:val="0"/>
            <w:vAlign w:val="top"/>
          </w:tcPr>
          <w:p w14:paraId="71F3841D">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58BDDC04">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13C0B7A1">
            <w:pPr>
              <w:rPr>
                <w:rFonts w:ascii="Arial" w:hAnsi="Calibri"/>
                <w:color w:val="auto"/>
                <w:szCs w:val="21"/>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09BB2A41">
            <w:pPr>
              <w:rPr>
                <w:rFonts w:ascii="Arial" w:hAnsi="Calibri"/>
                <w:color w:val="auto"/>
                <w:szCs w:val="21"/>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0AB21593">
            <w:pPr>
              <w:rPr>
                <w:rFonts w:ascii="Arial" w:hAnsi="Calibri"/>
                <w:color w:val="auto"/>
                <w:szCs w:val="21"/>
                <w:highlight w:val="none"/>
              </w:rPr>
            </w:pPr>
          </w:p>
        </w:tc>
        <w:tc>
          <w:tcPr>
            <w:tcW w:w="753" w:type="dxa"/>
            <w:tcBorders>
              <w:top w:val="single" w:color="000000" w:sz="2" w:space="0"/>
              <w:left w:val="single" w:color="000000" w:sz="2" w:space="0"/>
              <w:bottom w:val="single" w:color="000000" w:sz="2" w:space="0"/>
              <w:right w:val="single" w:color="000000" w:sz="2" w:space="0"/>
            </w:tcBorders>
            <w:noWrap w:val="0"/>
            <w:vAlign w:val="top"/>
          </w:tcPr>
          <w:p w14:paraId="02D62792">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16C0748A">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09221295">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394375D8">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29D5B473">
            <w:pPr>
              <w:rPr>
                <w:rFonts w:ascii="Arial" w:hAnsi="Calibri"/>
                <w:color w:val="auto"/>
                <w:szCs w:val="21"/>
                <w:highlight w:val="none"/>
              </w:rPr>
            </w:pPr>
          </w:p>
        </w:tc>
        <w:tc>
          <w:tcPr>
            <w:tcW w:w="705" w:type="dxa"/>
            <w:tcBorders>
              <w:top w:val="single" w:color="000000" w:sz="2" w:space="0"/>
              <w:left w:val="single" w:color="000000" w:sz="2" w:space="0"/>
              <w:bottom w:val="single" w:color="000000" w:sz="2" w:space="0"/>
              <w:right w:val="single" w:color="000000" w:sz="2" w:space="0"/>
            </w:tcBorders>
            <w:noWrap w:val="0"/>
            <w:vAlign w:val="top"/>
          </w:tcPr>
          <w:p w14:paraId="7B62E399">
            <w:pPr>
              <w:rPr>
                <w:rFonts w:ascii="Arial" w:hAnsi="Calibri"/>
                <w:color w:val="auto"/>
                <w:szCs w:val="21"/>
                <w:highlight w:val="none"/>
              </w:rPr>
            </w:pPr>
          </w:p>
        </w:tc>
      </w:tr>
      <w:tr w14:paraId="1F1F0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1" w:hRule="atLeast"/>
        </w:trPr>
        <w:tc>
          <w:tcPr>
            <w:tcW w:w="4431" w:type="dxa"/>
            <w:gridSpan w:val="5"/>
            <w:tcBorders>
              <w:top w:val="single" w:color="000000" w:sz="2" w:space="0"/>
              <w:left w:val="single" w:color="000000" w:sz="2" w:space="0"/>
              <w:bottom w:val="single" w:color="000000" w:sz="2" w:space="0"/>
              <w:right w:val="single" w:color="000000" w:sz="2" w:space="0"/>
            </w:tcBorders>
            <w:noWrap w:val="0"/>
            <w:vAlign w:val="top"/>
          </w:tcPr>
          <w:p w14:paraId="3DCFECA3">
            <w:pPr>
              <w:spacing w:line="285" w:lineRule="auto"/>
              <w:rPr>
                <w:rFonts w:ascii="Arial" w:hAnsi="Calibri"/>
                <w:color w:val="auto"/>
                <w:szCs w:val="21"/>
                <w:highlight w:val="none"/>
              </w:rPr>
            </w:pPr>
          </w:p>
          <w:p w14:paraId="1F2F22A7">
            <w:pPr>
              <w:pStyle w:val="12"/>
              <w:spacing w:before="78"/>
              <w:ind w:left="2796"/>
              <w:rPr>
                <w:rFonts w:ascii="仿宋" w:hAnsi="仿宋" w:eastAsia="仿宋" w:cs="仿宋"/>
                <w:color w:val="auto"/>
                <w:highlight w:val="none"/>
              </w:rPr>
            </w:pPr>
            <w:r>
              <w:rPr>
                <w:rFonts w:hint="eastAsia" w:ascii="仿宋" w:hAnsi="仿宋" w:eastAsia="仿宋" w:cs="仿宋"/>
                <w:color w:val="auto"/>
                <w:spacing w:val="-7"/>
                <w:highlight w:val="none"/>
                <w:lang w:bidi="ar"/>
              </w:rPr>
              <w:t>合计</w:t>
            </w: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16CCF587">
            <w:pPr>
              <w:rPr>
                <w:rFonts w:ascii="Arial" w:hAnsi="Calibri"/>
                <w:color w:val="auto"/>
                <w:szCs w:val="21"/>
                <w:highlight w:val="none"/>
              </w:rPr>
            </w:pPr>
          </w:p>
        </w:tc>
        <w:tc>
          <w:tcPr>
            <w:tcW w:w="753" w:type="dxa"/>
            <w:tcBorders>
              <w:top w:val="single" w:color="000000" w:sz="2" w:space="0"/>
              <w:left w:val="single" w:color="000000" w:sz="2" w:space="0"/>
              <w:bottom w:val="single" w:color="000000" w:sz="2" w:space="0"/>
              <w:right w:val="single" w:color="000000" w:sz="2" w:space="0"/>
            </w:tcBorders>
            <w:noWrap w:val="0"/>
            <w:vAlign w:val="top"/>
          </w:tcPr>
          <w:p w14:paraId="54F88E06">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38B24CF7">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5F613283">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4078153E">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26455D7B">
            <w:pPr>
              <w:rPr>
                <w:rFonts w:ascii="Arial" w:hAnsi="Calibri"/>
                <w:color w:val="auto"/>
                <w:szCs w:val="21"/>
                <w:highlight w:val="none"/>
              </w:rPr>
            </w:pPr>
          </w:p>
        </w:tc>
        <w:tc>
          <w:tcPr>
            <w:tcW w:w="705" w:type="dxa"/>
            <w:tcBorders>
              <w:top w:val="single" w:color="000000" w:sz="2" w:space="0"/>
              <w:left w:val="single" w:color="000000" w:sz="2" w:space="0"/>
              <w:bottom w:val="single" w:color="000000" w:sz="2" w:space="0"/>
              <w:right w:val="single" w:color="000000" w:sz="2" w:space="0"/>
            </w:tcBorders>
            <w:noWrap w:val="0"/>
            <w:vAlign w:val="top"/>
          </w:tcPr>
          <w:p w14:paraId="01169F96">
            <w:pPr>
              <w:rPr>
                <w:rFonts w:ascii="Arial" w:hAnsi="Calibri"/>
                <w:color w:val="auto"/>
                <w:szCs w:val="21"/>
                <w:highlight w:val="none"/>
              </w:rPr>
            </w:pPr>
          </w:p>
        </w:tc>
      </w:tr>
    </w:tbl>
    <w:p w14:paraId="09A8AB34">
      <w:pPr>
        <w:pStyle w:val="12"/>
        <w:spacing w:before="38"/>
        <w:ind w:left="504"/>
        <w:rPr>
          <w:rFonts w:ascii="仿宋" w:hAnsi="仿宋" w:eastAsia="仿宋" w:cs="仿宋"/>
          <w:color w:val="auto"/>
          <w:highlight w:val="none"/>
        </w:rPr>
      </w:pPr>
      <w:r>
        <w:rPr>
          <w:rFonts w:hint="eastAsia" w:ascii="仿宋" w:hAnsi="仿宋" w:eastAsia="仿宋" w:cs="仿宋"/>
          <w:color w:val="auto"/>
          <w:spacing w:val="-2"/>
          <w:highlight w:val="none"/>
          <w:lang w:bidi="ar"/>
        </w:rPr>
        <w:t>填表说明：</w:t>
      </w:r>
    </w:p>
    <w:p w14:paraId="2880FB04">
      <w:pPr>
        <w:pStyle w:val="12"/>
        <w:spacing w:before="29"/>
        <w:ind w:left="519"/>
        <w:rPr>
          <w:rFonts w:ascii="仿宋" w:hAnsi="仿宋" w:eastAsia="仿宋" w:cs="仿宋"/>
          <w:color w:val="auto"/>
          <w:highlight w:val="none"/>
        </w:rPr>
      </w:pPr>
      <w:r>
        <w:rPr>
          <w:rFonts w:hint="eastAsia" w:ascii="仿宋" w:hAnsi="仿宋" w:eastAsia="仿宋" w:cs="仿宋"/>
          <w:color w:val="auto"/>
          <w:spacing w:val="-2"/>
          <w:highlight w:val="none"/>
          <w:lang w:bidi="ar"/>
        </w:rPr>
        <w:t>1.本表用于统计承包商在其自身内部执行</w:t>
      </w:r>
      <w:r>
        <w:rPr>
          <w:rFonts w:hint="eastAsia" w:ascii="仿宋" w:hAnsi="仿宋" w:eastAsia="仿宋" w:cs="仿宋"/>
          <w:color w:val="auto"/>
          <w:spacing w:val="-72"/>
          <w:highlight w:val="none"/>
          <w:lang w:bidi="ar"/>
        </w:rPr>
        <w:t xml:space="preserve"> </w:t>
      </w:r>
      <w:r>
        <w:rPr>
          <w:rFonts w:hint="eastAsia" w:ascii="仿宋" w:hAnsi="仿宋" w:eastAsia="仿宋" w:cs="仿宋"/>
          <w:color w:val="auto"/>
          <w:spacing w:val="-2"/>
          <w:highlight w:val="none"/>
          <w:lang w:bidi="ar"/>
        </w:rPr>
        <w:t>“吹哨人”及隐患报告奖励制度的情况。</w:t>
      </w:r>
    </w:p>
    <w:p w14:paraId="32891366">
      <w:pPr>
        <w:pStyle w:val="12"/>
        <w:spacing w:before="33"/>
        <w:ind w:left="513"/>
        <w:rPr>
          <w:rFonts w:ascii="仿宋" w:hAnsi="仿宋" w:eastAsia="仿宋" w:cs="仿宋"/>
          <w:color w:val="auto"/>
          <w:highlight w:val="none"/>
        </w:rPr>
      </w:pPr>
      <w:r>
        <w:rPr>
          <w:rFonts w:hint="eastAsia" w:ascii="仿宋" w:hAnsi="仿宋" w:eastAsia="仿宋" w:cs="仿宋"/>
          <w:color w:val="auto"/>
          <w:spacing w:val="-3"/>
          <w:highlight w:val="none"/>
          <w:lang w:bidi="ar"/>
        </w:rPr>
        <w:t>2.</w:t>
      </w:r>
      <w:r>
        <w:rPr>
          <w:rFonts w:hint="eastAsia" w:ascii="仿宋" w:hAnsi="仿宋" w:eastAsia="仿宋" w:cs="仿宋"/>
          <w:color w:val="auto"/>
          <w:spacing w:val="-68"/>
          <w:highlight w:val="none"/>
          <w:lang w:bidi="ar"/>
        </w:rPr>
        <w:t xml:space="preserve"> </w:t>
      </w:r>
      <w:r>
        <w:rPr>
          <w:rFonts w:hint="eastAsia" w:ascii="仿宋" w:hAnsi="仿宋" w:eastAsia="仿宋" w:cs="仿宋"/>
          <w:color w:val="auto"/>
          <w:spacing w:val="-3"/>
          <w:highlight w:val="none"/>
          <w:lang w:bidi="ar"/>
        </w:rPr>
        <w:t>“奖励数量（项）”指获得奖励的隐患报告项数。</w:t>
      </w:r>
    </w:p>
    <w:p w14:paraId="24087EAB">
      <w:pPr>
        <w:pStyle w:val="12"/>
        <w:spacing w:before="30"/>
        <w:ind w:left="522"/>
        <w:rPr>
          <w:rFonts w:ascii="仿宋" w:hAnsi="仿宋" w:eastAsia="仿宋" w:cs="仿宋"/>
          <w:color w:val="auto"/>
          <w:highlight w:val="none"/>
        </w:rPr>
      </w:pPr>
      <w:r>
        <w:rPr>
          <w:rFonts w:hint="eastAsia" w:ascii="仿宋" w:hAnsi="仿宋" w:eastAsia="仿宋" w:cs="仿宋"/>
          <w:color w:val="auto"/>
          <w:spacing w:val="-4"/>
          <w:highlight w:val="none"/>
          <w:lang w:bidi="ar"/>
        </w:rPr>
        <w:t>3.</w:t>
      </w:r>
      <w:r>
        <w:rPr>
          <w:rFonts w:hint="eastAsia" w:ascii="仿宋" w:hAnsi="仿宋" w:eastAsia="仿宋" w:cs="仿宋"/>
          <w:color w:val="auto"/>
          <w:spacing w:val="-86"/>
          <w:highlight w:val="none"/>
          <w:lang w:bidi="ar"/>
        </w:rPr>
        <w:t xml:space="preserve"> </w:t>
      </w:r>
      <w:r>
        <w:rPr>
          <w:rFonts w:hint="eastAsia" w:ascii="仿宋" w:hAnsi="仿宋" w:eastAsia="仿宋" w:cs="仿宋"/>
          <w:color w:val="auto"/>
          <w:spacing w:val="-4"/>
          <w:highlight w:val="none"/>
          <w:lang w:bidi="ar"/>
        </w:rPr>
        <w:t>“奖励费用出处”请填写如</w:t>
      </w:r>
      <w:r>
        <w:rPr>
          <w:rFonts w:hint="eastAsia" w:ascii="仿宋" w:hAnsi="仿宋" w:eastAsia="仿宋" w:cs="仿宋"/>
          <w:color w:val="auto"/>
          <w:spacing w:val="-85"/>
          <w:highlight w:val="none"/>
          <w:lang w:bidi="ar"/>
        </w:rPr>
        <w:t xml:space="preserve"> </w:t>
      </w:r>
      <w:r>
        <w:rPr>
          <w:rFonts w:hint="eastAsia" w:ascii="仿宋" w:hAnsi="仿宋" w:eastAsia="仿宋" w:cs="仿宋"/>
          <w:color w:val="auto"/>
          <w:spacing w:val="-4"/>
          <w:highlight w:val="none"/>
          <w:lang w:bidi="ar"/>
        </w:rPr>
        <w:t>“安全生产费用”</w:t>
      </w:r>
      <w:r>
        <w:rPr>
          <w:rFonts w:hint="eastAsia" w:ascii="仿宋" w:hAnsi="仿宋" w:eastAsia="仿宋" w:cs="仿宋"/>
          <w:color w:val="auto"/>
          <w:spacing w:val="-86"/>
          <w:highlight w:val="none"/>
          <w:lang w:bidi="ar"/>
        </w:rPr>
        <w:t xml:space="preserve"> </w:t>
      </w:r>
      <w:r>
        <w:rPr>
          <w:rFonts w:hint="eastAsia" w:ascii="仿宋" w:hAnsi="仿宋" w:eastAsia="仿宋" w:cs="仿宋"/>
          <w:color w:val="auto"/>
          <w:spacing w:val="-4"/>
          <w:highlight w:val="none"/>
          <w:lang w:bidi="ar"/>
        </w:rPr>
        <w:t>“专项奖励</w:t>
      </w:r>
      <w:r>
        <w:rPr>
          <w:rFonts w:hint="eastAsia" w:ascii="仿宋" w:hAnsi="仿宋" w:eastAsia="仿宋" w:cs="仿宋"/>
          <w:color w:val="auto"/>
          <w:spacing w:val="-5"/>
          <w:highlight w:val="none"/>
          <w:lang w:bidi="ar"/>
        </w:rPr>
        <w:t>基金”等。</w:t>
      </w:r>
    </w:p>
    <w:p w14:paraId="3B2D2BAD">
      <w:pPr>
        <w:widowControl/>
        <w:jc w:val="left"/>
        <w:rPr>
          <w:color w:val="auto"/>
          <w:highlight w:val="none"/>
        </w:rPr>
      </w:pPr>
      <w:r>
        <w:rPr>
          <w:rFonts w:ascii="Calibri" w:hAnsi="Calibri"/>
          <w:color w:val="auto"/>
          <w:spacing w:val="-1"/>
          <w:kern w:val="0"/>
          <w:sz w:val="24"/>
          <w:highlight w:val="none"/>
          <w:lang w:bidi="ar"/>
        </w:rPr>
        <w:t>4.</w:t>
      </w:r>
      <w:r>
        <w:rPr>
          <w:rFonts w:hint="eastAsia" w:ascii="宋体" w:hAnsi="宋体" w:cs="宋体"/>
          <w:color w:val="auto"/>
          <w:spacing w:val="-1"/>
          <w:kern w:val="0"/>
          <w:sz w:val="24"/>
          <w:highlight w:val="none"/>
          <w:lang w:bidi="ar"/>
        </w:rPr>
        <w:t>本表由发包人安全环保管理部门负责收集、审核并存档。</w:t>
      </w:r>
    </w:p>
    <w:p w14:paraId="42A1F8A3">
      <w:pPr>
        <w:pStyle w:val="7"/>
        <w:spacing w:before="33" w:line="214" w:lineRule="auto"/>
        <w:ind w:left="63" w:right="63"/>
        <w:rPr>
          <w:color w:val="auto"/>
          <w:sz w:val="24"/>
          <w:highlight w:val="none"/>
        </w:rPr>
      </w:pPr>
    </w:p>
    <w:p w14:paraId="24D6126B">
      <w:pPr>
        <w:rPr>
          <w:color w:val="auto"/>
          <w:highlight w:val="none"/>
        </w:rPr>
      </w:pPr>
    </w:p>
    <w:p w14:paraId="466D24C3">
      <w:pPr>
        <w:pStyle w:val="24"/>
        <w:rPr>
          <w:color w:val="auto"/>
          <w:highlight w:val="none"/>
        </w:rPr>
      </w:pPr>
      <w:r>
        <w:rPr>
          <w:rFonts w:ascii="Times New Roman" w:eastAsia="仿宋_GB2312"/>
          <w:color w:val="auto"/>
          <w:sz w:val="30"/>
          <w:szCs w:val="30"/>
          <w:highlight w:val="none"/>
        </w:rPr>
        <w:t>附件</w:t>
      </w:r>
      <w:r>
        <w:rPr>
          <w:rFonts w:hint="eastAsia" w:ascii="Times New Roman" w:eastAsia="仿宋_GB2312"/>
          <w:color w:val="auto"/>
          <w:sz w:val="30"/>
          <w:szCs w:val="30"/>
          <w:highlight w:val="none"/>
        </w:rPr>
        <w:t>5</w:t>
      </w:r>
      <w:r>
        <w:rPr>
          <w:rFonts w:ascii="Times New Roman" w:eastAsia="仿宋_GB2312"/>
          <w:color w:val="auto"/>
          <w:sz w:val="30"/>
          <w:szCs w:val="30"/>
          <w:highlight w:val="none"/>
        </w:rPr>
        <w:t>：</w:t>
      </w:r>
      <w:r>
        <w:rPr>
          <w:color w:val="auto"/>
          <w:highlight w:val="none"/>
        </w:rPr>
        <w:br w:type="textWrapping"/>
      </w:r>
      <w:r>
        <w:rPr>
          <w:rFonts w:hint="eastAsia"/>
          <w:color w:val="auto"/>
          <w:highlight w:val="none"/>
        </w:rPr>
        <w:t>工</w:t>
      </w:r>
      <w:bookmarkStart w:id="453" w:name="StandardName"/>
      <w:r>
        <w:rPr>
          <w:rFonts w:hint="eastAsia"/>
          <w:color w:val="auto"/>
          <w:highlight w:val="none"/>
        </w:rPr>
        <w:t>程经济资料管理</w:t>
      </w:r>
      <w:bookmarkEnd w:id="453"/>
      <w:r>
        <w:rPr>
          <w:rFonts w:hint="eastAsia"/>
          <w:color w:val="auto"/>
          <w:highlight w:val="none"/>
        </w:rPr>
        <w:t>办法</w:t>
      </w:r>
    </w:p>
    <w:p w14:paraId="33E0CAEF">
      <w:pPr>
        <w:pStyle w:val="25"/>
        <w:spacing w:before="312" w:after="312"/>
        <w:rPr>
          <w:color w:val="auto"/>
          <w:highlight w:val="none"/>
        </w:rPr>
      </w:pPr>
      <w:r>
        <w:rPr>
          <w:rFonts w:hint="eastAsia"/>
          <w:color w:val="auto"/>
          <w:highlight w:val="none"/>
        </w:rPr>
        <w:t>目的</w:t>
      </w:r>
    </w:p>
    <w:p w14:paraId="2E52D21F">
      <w:pPr>
        <w:pStyle w:val="22"/>
        <w:rPr>
          <w:color w:val="auto"/>
          <w:highlight w:val="none"/>
        </w:rPr>
      </w:pPr>
      <w:r>
        <w:rPr>
          <w:color w:val="auto"/>
          <w:highlight w:val="none"/>
        </w:rPr>
        <w:t>为了规范工程项目中经济资料办理的程序和流程，确保经济资料的真实性、准确性、完整性、时效性，明确相关人员的责任和义务</w:t>
      </w:r>
      <w:r>
        <w:rPr>
          <w:rFonts w:hint="eastAsia"/>
          <w:color w:val="auto"/>
          <w:highlight w:val="none"/>
        </w:rPr>
        <w:t>。</w:t>
      </w:r>
    </w:p>
    <w:p w14:paraId="62C9E76E">
      <w:pPr>
        <w:pStyle w:val="25"/>
        <w:spacing w:before="312" w:after="312"/>
        <w:rPr>
          <w:color w:val="auto"/>
          <w:highlight w:val="none"/>
        </w:rPr>
      </w:pPr>
      <w:r>
        <w:rPr>
          <w:rFonts w:hint="eastAsia"/>
          <w:color w:val="auto"/>
          <w:highlight w:val="none"/>
        </w:rPr>
        <w:t>范围</w:t>
      </w:r>
    </w:p>
    <w:p w14:paraId="09F13A1A">
      <w:pPr>
        <w:pStyle w:val="22"/>
        <w:rPr>
          <w:color w:val="auto"/>
          <w:highlight w:val="none"/>
        </w:rPr>
      </w:pPr>
      <w:r>
        <w:rPr>
          <w:rFonts w:hint="eastAsia"/>
          <w:color w:val="auto"/>
          <w:highlight w:val="none"/>
        </w:rPr>
        <w:t>本标准规定了工程建设过程中经济签证、技术联系的管理要求。</w:t>
      </w:r>
    </w:p>
    <w:p w14:paraId="515C9445">
      <w:pPr>
        <w:pStyle w:val="22"/>
        <w:rPr>
          <w:rFonts w:cs="宋体"/>
          <w:color w:val="auto"/>
          <w:highlight w:val="none"/>
        </w:rPr>
      </w:pPr>
      <w:r>
        <w:rPr>
          <w:rFonts w:hint="eastAsia"/>
          <w:color w:val="auto"/>
          <w:highlight w:val="none"/>
        </w:rPr>
        <w:t>本办法适用于国际复材、重庆庹展新材料科技有限公司、重庆天泽新材料有限公司的制度管理工作，其他分公司、全资子公司、控股子公司及相关单位的新建、扩建、改建、维修</w:t>
      </w:r>
      <w:r>
        <w:rPr>
          <w:rFonts w:hint="eastAsia" w:cs="宋体"/>
          <w:color w:val="auto"/>
          <w:highlight w:val="none"/>
        </w:rPr>
        <w:t>工程中发生的经济签证管理。</w:t>
      </w:r>
    </w:p>
    <w:p w14:paraId="2E31FA6B">
      <w:pPr>
        <w:pStyle w:val="25"/>
        <w:spacing w:before="312" w:after="312"/>
        <w:rPr>
          <w:color w:val="auto"/>
          <w:highlight w:val="none"/>
        </w:rPr>
      </w:pPr>
      <w:r>
        <w:rPr>
          <w:rFonts w:hint="eastAsia"/>
          <w:color w:val="auto"/>
          <w:highlight w:val="none"/>
        </w:rPr>
        <w:t>规范性引用文件</w:t>
      </w:r>
    </w:p>
    <w:p w14:paraId="43102C03">
      <w:pPr>
        <w:pStyle w:val="22"/>
        <w:rPr>
          <w:color w:val="auto"/>
          <w:highlight w:val="none"/>
        </w:rPr>
      </w:pPr>
      <w:r>
        <w:rPr>
          <w:rFonts w:hint="eastAsia"/>
          <w:color w:val="auto"/>
          <w:highlight w:val="none"/>
        </w:rPr>
        <w:t>下列文件对于本文件的应用是必不可少的。凡是注日期的引用文件，仅所注日期的版本适用于本文件。凡是不注日期的引用文件，其最新版本（包括所有的修改单）适用于本文件。</w:t>
      </w:r>
    </w:p>
    <w:p w14:paraId="43CD4C2A">
      <w:pPr>
        <w:pStyle w:val="22"/>
        <w:rPr>
          <w:color w:val="auto"/>
          <w:highlight w:val="none"/>
        </w:rPr>
      </w:pPr>
      <w:r>
        <w:rPr>
          <w:rFonts w:hint="eastAsia"/>
          <w:color w:val="auto"/>
          <w:highlight w:val="none"/>
        </w:rPr>
        <w:t>建筑工程施工发包与承包计价管理办法</w:t>
      </w:r>
    </w:p>
    <w:p w14:paraId="32D43C08">
      <w:pPr>
        <w:pStyle w:val="22"/>
        <w:rPr>
          <w:color w:val="auto"/>
          <w:highlight w:val="none"/>
        </w:rPr>
      </w:pPr>
      <w:r>
        <w:rPr>
          <w:rFonts w:hint="eastAsia"/>
          <w:color w:val="auto"/>
          <w:highlight w:val="none"/>
        </w:rPr>
        <w:t>建设工程价款结算暂行办法</w:t>
      </w:r>
    </w:p>
    <w:p w14:paraId="18E168EC">
      <w:pPr>
        <w:pStyle w:val="22"/>
        <w:rPr>
          <w:rFonts w:cs="宋体"/>
          <w:color w:val="auto"/>
          <w:highlight w:val="none"/>
        </w:rPr>
      </w:pPr>
      <w:r>
        <w:rPr>
          <w:rFonts w:hint="eastAsia"/>
          <w:color w:val="auto"/>
          <w:highlight w:val="none"/>
        </w:rPr>
        <w:t>重庆市建设工程造价管理规定</w:t>
      </w:r>
    </w:p>
    <w:p w14:paraId="365B5A64">
      <w:pPr>
        <w:pStyle w:val="22"/>
        <w:rPr>
          <w:color w:val="auto"/>
          <w:highlight w:val="none"/>
        </w:rPr>
      </w:pPr>
      <w:r>
        <w:rPr>
          <w:rFonts w:hint="eastAsia"/>
          <w:color w:val="auto"/>
          <w:highlight w:val="none"/>
        </w:rPr>
        <w:t>云天化集团有限责任公司招标投标管理办法</w:t>
      </w:r>
    </w:p>
    <w:p w14:paraId="4D54A9CC">
      <w:pPr>
        <w:pStyle w:val="25"/>
        <w:spacing w:before="312" w:after="312"/>
        <w:rPr>
          <w:color w:val="auto"/>
          <w:highlight w:val="none"/>
        </w:rPr>
      </w:pPr>
      <w:r>
        <w:rPr>
          <w:rFonts w:hint="eastAsia"/>
          <w:color w:val="auto"/>
          <w:highlight w:val="none"/>
        </w:rPr>
        <w:t>经济签证单管理</w:t>
      </w:r>
    </w:p>
    <w:p w14:paraId="45069C56">
      <w:pPr>
        <w:pStyle w:val="26"/>
        <w:numPr>
          <w:ilvl w:val="1"/>
          <w:numId w:val="1"/>
        </w:numPr>
        <w:ind w:left="0"/>
        <w:rPr>
          <w:color w:val="auto"/>
          <w:highlight w:val="none"/>
        </w:rPr>
      </w:pPr>
      <w:r>
        <w:rPr>
          <w:rFonts w:hint="eastAsia"/>
          <w:color w:val="auto"/>
          <w:highlight w:val="none"/>
        </w:rPr>
        <w:t>原则：实事求是，办理与审查及时；谁参加谁签；一事一单，工完签完。</w:t>
      </w:r>
    </w:p>
    <w:p w14:paraId="63E08600">
      <w:pPr>
        <w:pStyle w:val="26"/>
        <w:numPr>
          <w:ilvl w:val="1"/>
          <w:numId w:val="1"/>
        </w:numPr>
        <w:ind w:left="0"/>
        <w:rPr>
          <w:color w:val="auto"/>
          <w:highlight w:val="none"/>
        </w:rPr>
      </w:pPr>
      <w:r>
        <w:rPr>
          <w:rFonts w:hint="eastAsia"/>
          <w:color w:val="auto"/>
          <w:highlight w:val="none"/>
        </w:rPr>
        <w:t>范围：施工图纸、设计变更所确定的工程内容之外，施工图预算、工程量清单计费、消耗量定额或费用定额（计价规则）取费中未含有，而施工过程中又实际发生费用的施工内容所办理的签证。包含经济签证、清单计价工程的计日工，以及由设计变更、工程洽商记录、施工组织设计、施工方案和特殊技术措施等转换而成的经济签证。</w:t>
      </w:r>
    </w:p>
    <w:p w14:paraId="3736C61F">
      <w:pPr>
        <w:pStyle w:val="26"/>
        <w:numPr>
          <w:ilvl w:val="1"/>
          <w:numId w:val="1"/>
        </w:numPr>
        <w:ind w:left="0"/>
        <w:rPr>
          <w:color w:val="auto"/>
          <w:highlight w:val="none"/>
        </w:rPr>
      </w:pPr>
      <w:r>
        <w:rPr>
          <w:rFonts w:hint="eastAsia"/>
          <w:color w:val="auto"/>
          <w:highlight w:val="none"/>
        </w:rPr>
        <w:t>签证事由：此栏应由应现场专业负责人负责手写，字迹应工整、清晰，须详细说明发生签证事由的原因、依据。</w:t>
      </w:r>
    </w:p>
    <w:p w14:paraId="16218C9A">
      <w:pPr>
        <w:pStyle w:val="26"/>
        <w:numPr>
          <w:ilvl w:val="1"/>
          <w:numId w:val="1"/>
        </w:numPr>
        <w:ind w:left="0"/>
        <w:rPr>
          <w:color w:val="auto"/>
          <w:highlight w:val="none"/>
        </w:rPr>
      </w:pPr>
      <w:r>
        <w:rPr>
          <w:rFonts w:hint="eastAsia"/>
          <w:color w:val="auto"/>
          <w:highlight w:val="none"/>
        </w:rPr>
        <w:t>方式：办理经济签证时，原则上应附施工简图，不能附图的应注明工程量计算式，工程量很小可以直接签认工程量。对无法套用定额的、或虽能套用定额但比较繁琐且量小的签证事由，方可签认人工工日数量或机械台班数量，但应明确所使用的甲供材明细。经济签证不得直接签认费用金额，确须签认的，须经</w:t>
      </w:r>
      <w:r>
        <w:rPr>
          <w:rFonts w:hint="eastAsia"/>
          <w:color w:val="auto"/>
          <w:szCs w:val="18"/>
          <w:highlight w:val="none"/>
        </w:rPr>
        <w:t>主管部门领导</w:t>
      </w:r>
      <w:r>
        <w:rPr>
          <w:rFonts w:hint="eastAsia"/>
          <w:color w:val="auto"/>
          <w:highlight w:val="none"/>
        </w:rPr>
        <w:t>(或公司分管领导）对费用金额签署审核意见。</w:t>
      </w:r>
    </w:p>
    <w:p w14:paraId="2EF88D26">
      <w:pPr>
        <w:pStyle w:val="26"/>
        <w:numPr>
          <w:ilvl w:val="1"/>
          <w:numId w:val="1"/>
        </w:numPr>
        <w:ind w:left="0"/>
        <w:rPr>
          <w:color w:val="auto"/>
          <w:highlight w:val="none"/>
        </w:rPr>
      </w:pPr>
      <w:r>
        <w:rPr>
          <w:rFonts w:hint="eastAsia"/>
          <w:color w:val="auto"/>
          <w:highlight w:val="none"/>
        </w:rPr>
        <w:t>内容: 必须明确工程名称(与施工合同中名称一致)、单项工程名称、专业、施工部位、施工简图或工程量计算式、签证日期、参加单位(含建设单位、施工单位、监理单位)有关人员签名并加盖公章（或经授权的项目章）等。</w:t>
      </w:r>
    </w:p>
    <w:p w14:paraId="0CD7E168">
      <w:pPr>
        <w:pStyle w:val="27"/>
        <w:spacing w:before="156" w:after="156"/>
        <w:rPr>
          <w:rFonts w:ascii="宋体" w:hAnsi="宋体" w:eastAsia="宋体"/>
          <w:color w:val="auto"/>
          <w:highlight w:val="none"/>
        </w:rPr>
      </w:pPr>
      <w:r>
        <w:rPr>
          <w:rFonts w:hint="eastAsia" w:ascii="宋体" w:hAnsi="宋体" w:eastAsia="宋体"/>
          <w:color w:val="auto"/>
          <w:highlight w:val="none"/>
        </w:rPr>
        <w:t>程序</w:t>
      </w:r>
      <w:r>
        <w:rPr>
          <w:rFonts w:ascii="宋体" w:hAnsi="宋体" w:eastAsia="宋体"/>
          <w:color w:val="auto"/>
          <w:highlight w:val="none"/>
        </w:rPr>
        <w:br w:type="textWrapping"/>
      </w:r>
      <w:r>
        <w:rPr>
          <w:rFonts w:ascii="宋体" w:hAnsi="宋体" w:eastAsia="宋体"/>
          <w:color w:val="auto"/>
          <w:highlight w:val="none"/>
        </w:rPr>
        <w:t xml:space="preserve">    1</w:t>
      </w:r>
      <w:r>
        <w:rPr>
          <w:rFonts w:hint="eastAsia" w:ascii="宋体" w:hAnsi="宋体" w:eastAsia="宋体"/>
          <w:color w:val="auto"/>
          <w:highlight w:val="none"/>
        </w:rPr>
        <w:t>、施工单位应于签证事由施工完毕后7日内向现场专业负责人提交经济签证单(签证事由施工时间较长的或签证事由施工完毕后不能准确确定签证内容的，施工单位应在施工过程中提请监理单位和现场专业负责人组织预勘验，需进行现场收方的应提前24小时通知监理单位、现场专业负责人、造价管理人员)，否则，超过规定时限的一律不予办理；</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2、现场专业负责人收到后72小时内组织造价管理人员、施工单位人员、监理人员及其他相关人员进行现场勘验；</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3、现场专业负责人在勘验后72小时内审核完毕后移交监理人员；</w:t>
      </w:r>
      <w:r>
        <w:rPr>
          <w:rFonts w:ascii="宋体" w:hAnsi="宋体" w:eastAsia="宋体"/>
          <w:color w:val="auto"/>
          <w:highlight w:val="none"/>
        </w:rPr>
        <w:br w:type="textWrapping"/>
      </w:r>
      <w:r>
        <w:rPr>
          <w:rFonts w:ascii="宋体" w:hAnsi="宋体" w:eastAsia="宋体"/>
          <w:color w:val="auto"/>
          <w:highlight w:val="none"/>
        </w:rPr>
        <w:t xml:space="preserve">    4</w:t>
      </w:r>
      <w:r>
        <w:rPr>
          <w:rFonts w:hint="eastAsia" w:ascii="宋体" w:hAnsi="宋体" w:eastAsia="宋体"/>
          <w:color w:val="auto"/>
          <w:highlight w:val="none"/>
        </w:rPr>
        <w:t>、监理人员在收到后72小时内审核完毕并移交造价管理人员；</w:t>
      </w:r>
      <w:r>
        <w:rPr>
          <w:rFonts w:ascii="宋体" w:hAnsi="宋体" w:eastAsia="宋体"/>
          <w:color w:val="auto"/>
          <w:highlight w:val="none"/>
        </w:rPr>
        <w:br w:type="textWrapping"/>
      </w:r>
      <w:r>
        <w:rPr>
          <w:rFonts w:ascii="宋体" w:hAnsi="宋体" w:eastAsia="宋体"/>
          <w:color w:val="auto"/>
          <w:highlight w:val="none"/>
        </w:rPr>
        <w:t xml:space="preserve">    5</w:t>
      </w:r>
      <w:r>
        <w:rPr>
          <w:rFonts w:hint="eastAsia" w:ascii="宋体" w:hAnsi="宋体" w:eastAsia="宋体"/>
          <w:color w:val="auto"/>
          <w:highlight w:val="none"/>
        </w:rPr>
        <w:t>、造价管理人员在收到后72小时内审核完毕并提交项目负责人、主管部门领导签字（超过5万元需公司分管领导签字）并于次日内分发给建设单位、监理公司、施工单位各一份，造价管理人员须做签证登记；</w:t>
      </w:r>
      <w:r>
        <w:rPr>
          <w:rFonts w:ascii="宋体" w:hAnsi="宋体" w:eastAsia="宋体"/>
          <w:color w:val="auto"/>
          <w:highlight w:val="none"/>
        </w:rPr>
        <w:br w:type="textWrapping"/>
      </w:r>
      <w:r>
        <w:rPr>
          <w:rFonts w:ascii="宋体" w:hAnsi="宋体" w:eastAsia="宋体"/>
          <w:color w:val="auto"/>
          <w:highlight w:val="none"/>
        </w:rPr>
        <w:t xml:space="preserve">    6、</w:t>
      </w:r>
      <w:r>
        <w:rPr>
          <w:rFonts w:hint="eastAsia" w:ascii="宋体" w:hAnsi="宋体" w:eastAsia="宋体"/>
          <w:color w:val="auto"/>
          <w:highlight w:val="none"/>
        </w:rPr>
        <w:t>现场专业负责人、造价管理人员（包含造价咨询公司审核时间）未分别在72小时内完成审核则由主管部门在对应人员当月绩效考核时减发绩效200元/人.次。</w:t>
      </w:r>
    </w:p>
    <w:p w14:paraId="2A0E2931">
      <w:pPr>
        <w:pStyle w:val="26"/>
        <w:numPr>
          <w:ilvl w:val="1"/>
          <w:numId w:val="1"/>
        </w:numPr>
        <w:ind w:left="0"/>
        <w:rPr>
          <w:color w:val="auto"/>
          <w:highlight w:val="none"/>
        </w:rPr>
      </w:pPr>
      <w:r>
        <w:rPr>
          <w:rFonts w:hint="eastAsia"/>
          <w:color w:val="auto"/>
          <w:highlight w:val="none"/>
        </w:rPr>
        <w:t>经济签证单办理流程</w:t>
      </w:r>
      <w:bookmarkStart w:id="454" w:name="OLE_LINK2"/>
      <w:bookmarkStart w:id="455" w:name="OLE_LINK3"/>
      <w:r>
        <w:rPr>
          <w:rFonts w:hint="eastAsia"/>
          <w:color w:val="auto"/>
          <w:highlight w:val="none"/>
        </w:rPr>
        <w:t>见附录C</w:t>
      </w:r>
      <w:bookmarkEnd w:id="454"/>
      <w:bookmarkEnd w:id="455"/>
    </w:p>
    <w:p w14:paraId="03F03836">
      <w:pPr>
        <w:pStyle w:val="26"/>
        <w:numPr>
          <w:ilvl w:val="1"/>
          <w:numId w:val="1"/>
        </w:numPr>
        <w:ind w:left="0"/>
        <w:rPr>
          <w:color w:val="auto"/>
          <w:highlight w:val="none"/>
        </w:rPr>
      </w:pPr>
      <w:r>
        <w:rPr>
          <w:rFonts w:hint="eastAsia"/>
          <w:color w:val="auto"/>
          <w:highlight w:val="none"/>
        </w:rPr>
        <w:t>对于现场收方的情况，施工单位应先作原始记录单，在现场收方时根据参加人员商定的结果，在原始记录单上做好记录，所有参加人员必须签字认可，原件由造价管理人员保管。施工单位报送正式的经济签证单时，应提供该原始记录单。</w:t>
      </w:r>
    </w:p>
    <w:p w14:paraId="6DD12B56">
      <w:pPr>
        <w:pStyle w:val="26"/>
        <w:numPr>
          <w:ilvl w:val="1"/>
          <w:numId w:val="1"/>
        </w:numPr>
        <w:ind w:left="0"/>
        <w:rPr>
          <w:color w:val="auto"/>
          <w:highlight w:val="none"/>
        </w:rPr>
      </w:pPr>
      <w:r>
        <w:rPr>
          <w:rFonts w:hint="eastAsia"/>
          <w:color w:val="auto"/>
          <w:highlight w:val="none"/>
        </w:rPr>
        <w:t>办理经济签证时，建设单位及监理公司现场代表应认真、仔细确定签证内容的真实性、准确性、完整性，严禁虚增经济签证的内容；造价管理人员根据造价计算相关规定，结合工程建设的实际情况确定费用划分、是否单列计算或不计算等。</w:t>
      </w:r>
    </w:p>
    <w:p w14:paraId="4FC2B581">
      <w:pPr>
        <w:pStyle w:val="26"/>
        <w:numPr>
          <w:ilvl w:val="1"/>
          <w:numId w:val="1"/>
        </w:numPr>
        <w:ind w:left="0"/>
        <w:rPr>
          <w:color w:val="auto"/>
          <w:highlight w:val="none"/>
        </w:rPr>
      </w:pPr>
      <w:r>
        <w:rPr>
          <w:rFonts w:hint="eastAsia"/>
          <w:color w:val="auto"/>
          <w:highlight w:val="none"/>
        </w:rPr>
        <w:t>在经济签证单中，设备、材料需要回收的，施工单位在工程结算时应出具回收单位(部门）的相关证明，否则，我公司将在工程结算中扣除应回收部分的价款。</w:t>
      </w:r>
    </w:p>
    <w:p w14:paraId="5D5707F3">
      <w:pPr>
        <w:pStyle w:val="26"/>
        <w:numPr>
          <w:ilvl w:val="1"/>
          <w:numId w:val="1"/>
        </w:numPr>
        <w:ind w:left="0"/>
        <w:rPr>
          <w:color w:val="auto"/>
          <w:highlight w:val="none"/>
        </w:rPr>
      </w:pPr>
      <w:r>
        <w:rPr>
          <w:rFonts w:hint="eastAsia"/>
          <w:color w:val="auto"/>
          <w:highlight w:val="none"/>
        </w:rPr>
        <w:t>建设单位有关人员因特殊原因不能参加的，由部门领导(或专业组负责人）安排其他人员参加，没有其他人员代为参加的，可在三天内补签。超过时限补签的应注明“补”，并签注补签日期。</w:t>
      </w:r>
    </w:p>
    <w:p w14:paraId="15341732">
      <w:pPr>
        <w:pStyle w:val="26"/>
        <w:numPr>
          <w:ilvl w:val="1"/>
          <w:numId w:val="1"/>
        </w:numPr>
        <w:ind w:left="0"/>
        <w:rPr>
          <w:color w:val="auto"/>
          <w:highlight w:val="none"/>
        </w:rPr>
      </w:pPr>
      <w:r>
        <w:rPr>
          <w:rFonts w:hint="eastAsia"/>
          <w:color w:val="auto"/>
          <w:highlight w:val="none"/>
        </w:rPr>
        <w:t>工程竣工验收前的施工内容必须在工程竣工验收前办理完毕。</w:t>
      </w:r>
    </w:p>
    <w:p w14:paraId="3D0A4660">
      <w:pPr>
        <w:pStyle w:val="27"/>
        <w:spacing w:before="156" w:after="156"/>
        <w:rPr>
          <w:color w:val="auto"/>
          <w:highlight w:val="none"/>
        </w:rPr>
      </w:pPr>
      <w:r>
        <w:rPr>
          <w:rFonts w:hint="eastAsia" w:ascii="宋体" w:eastAsia="宋体"/>
          <w:color w:val="auto"/>
          <w:highlight w:val="none"/>
        </w:rPr>
        <w:t>经济签证单上必须具备建设单位的现场专业负责人员、造价管理人员、项目负责人和主管部门领导签字方为有效</w:t>
      </w:r>
      <w:r>
        <w:rPr>
          <w:rFonts w:hint="eastAsia"/>
          <w:color w:val="auto"/>
          <w:highlight w:val="none"/>
        </w:rPr>
        <w:t>。</w:t>
      </w:r>
    </w:p>
    <w:p w14:paraId="3DE8D227">
      <w:pPr>
        <w:pStyle w:val="26"/>
        <w:numPr>
          <w:ilvl w:val="1"/>
          <w:numId w:val="1"/>
        </w:numPr>
        <w:ind w:left="0"/>
        <w:rPr>
          <w:color w:val="auto"/>
          <w:highlight w:val="none"/>
        </w:rPr>
      </w:pPr>
      <w:r>
        <w:rPr>
          <w:rFonts w:hint="eastAsia"/>
          <w:color w:val="auto"/>
          <w:highlight w:val="none"/>
        </w:rPr>
        <w:t>单份经济签证单涉及的变更金额在五万元以下（含五万元）的，须经</w:t>
      </w:r>
      <w:r>
        <w:rPr>
          <w:rFonts w:hint="eastAsia"/>
          <w:color w:val="auto"/>
          <w:szCs w:val="18"/>
          <w:highlight w:val="none"/>
        </w:rPr>
        <w:t>主管部门领导</w:t>
      </w:r>
      <w:r>
        <w:rPr>
          <w:rFonts w:hint="eastAsia"/>
          <w:color w:val="auto"/>
          <w:highlight w:val="none"/>
        </w:rPr>
        <w:t>审核认可；单份经济签证单涉及的变更金额在五万元以上的，须经公司分管领导审核认可。</w:t>
      </w:r>
    </w:p>
    <w:p w14:paraId="5119330C">
      <w:pPr>
        <w:pStyle w:val="26"/>
        <w:numPr>
          <w:ilvl w:val="1"/>
          <w:numId w:val="1"/>
        </w:numPr>
        <w:ind w:left="0"/>
        <w:rPr>
          <w:color w:val="auto"/>
          <w:highlight w:val="none"/>
        </w:rPr>
      </w:pPr>
      <w:r>
        <w:rPr>
          <w:rFonts w:hint="eastAsia"/>
          <w:color w:val="auto"/>
          <w:highlight w:val="none"/>
        </w:rPr>
        <w:t>施工单位提交的经济签证单不得有涂抹和更改，否则，一律不予受理；建设单位、监理单位的审核意见须及时反馈施工单位重新编制签证，不得以任何方式直接在签证单上进行修改。</w:t>
      </w:r>
    </w:p>
    <w:p w14:paraId="29132A05">
      <w:pPr>
        <w:pStyle w:val="26"/>
        <w:numPr>
          <w:ilvl w:val="1"/>
          <w:numId w:val="1"/>
        </w:numPr>
        <w:ind w:left="0"/>
        <w:rPr>
          <w:color w:val="auto"/>
          <w:highlight w:val="none"/>
        </w:rPr>
      </w:pPr>
      <w:r>
        <w:rPr>
          <w:rFonts w:hint="eastAsia"/>
          <w:color w:val="auto"/>
          <w:highlight w:val="none"/>
        </w:rPr>
        <w:t>经济签证单一式二份(原件）；</w:t>
      </w:r>
      <w:r>
        <w:rPr>
          <w:color w:val="auto"/>
          <w:highlight w:val="none"/>
        </w:rPr>
        <w:br w:type="textWrapping"/>
      </w:r>
      <w:r>
        <w:rPr>
          <w:color w:val="auto"/>
          <w:highlight w:val="none"/>
        </w:rPr>
        <w:t xml:space="preserve">    </w:t>
      </w:r>
      <w:r>
        <w:rPr>
          <w:rFonts w:hint="eastAsia"/>
          <w:color w:val="auto"/>
          <w:highlight w:val="none"/>
        </w:rPr>
        <w:t>编号：专业代码－××号；</w:t>
      </w:r>
      <w:r>
        <w:rPr>
          <w:color w:val="auto"/>
          <w:highlight w:val="none"/>
        </w:rPr>
        <w:br w:type="textWrapping"/>
      </w:r>
      <w:r>
        <w:rPr>
          <w:color w:val="auto"/>
          <w:highlight w:val="none"/>
        </w:rPr>
        <w:t xml:space="preserve">    </w:t>
      </w:r>
      <w:r>
        <w:rPr>
          <w:rFonts w:hint="eastAsia"/>
          <w:color w:val="auto"/>
          <w:highlight w:val="none"/>
        </w:rPr>
        <w:t>专业代码：土建－TJ；工艺管道－GD；设备－SB；仪表－YB；暖通—NT；电气－DQ；绝热防腐－FF；给排水－GPS；消防—XF；钢结构－GG；其它－QT；</w:t>
      </w:r>
      <w:r>
        <w:rPr>
          <w:color w:val="auto"/>
          <w:highlight w:val="none"/>
        </w:rPr>
        <w:br w:type="textWrapping"/>
      </w:r>
      <w:r>
        <w:rPr>
          <w:color w:val="auto"/>
          <w:highlight w:val="none"/>
        </w:rPr>
        <w:t xml:space="preserve">    </w:t>
      </w:r>
      <w:r>
        <w:rPr>
          <w:rFonts w:hint="eastAsia"/>
          <w:color w:val="auto"/>
          <w:highlight w:val="none"/>
        </w:rPr>
        <w:t>连续编号，不得重号、空号、跳号。对于审核后不予确认的，仍应保留该编号的签证单，结算时依据的签证单必须编号连续。</w:t>
      </w:r>
    </w:p>
    <w:p w14:paraId="1F326109">
      <w:pPr>
        <w:pStyle w:val="26"/>
        <w:numPr>
          <w:ilvl w:val="1"/>
          <w:numId w:val="1"/>
        </w:numPr>
        <w:ind w:left="0"/>
        <w:rPr>
          <w:color w:val="auto"/>
          <w:highlight w:val="none"/>
        </w:rPr>
      </w:pPr>
      <w:r>
        <w:rPr>
          <w:rFonts w:hint="eastAsia"/>
          <w:color w:val="auto"/>
          <w:highlight w:val="none"/>
        </w:rPr>
        <w:t>主管部门应加强工程内容和工程量减少的签证管理。对工程内容和工程量减少的，现场专业人员或监理工程师应督促施工单位办理相关经济签证。对拒不办理的，由现场专业人员或监理工程师发出督办通知，督办通知发出后仍未办理的，按所减少工程费用的2倍在工程竣工结算时扣减。</w:t>
      </w:r>
    </w:p>
    <w:p w14:paraId="3384B88A">
      <w:pPr>
        <w:pStyle w:val="27"/>
        <w:spacing w:before="156" w:after="156"/>
        <w:rPr>
          <w:color w:val="auto"/>
          <w:highlight w:val="none"/>
        </w:rPr>
      </w:pPr>
      <w:r>
        <w:rPr>
          <w:rFonts w:hint="eastAsia" w:ascii="宋体" w:hAnsi="宋体" w:eastAsia="宋体"/>
          <w:color w:val="auto"/>
          <w:highlight w:val="none"/>
        </w:rPr>
        <w:t>签证抽查：</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ascii="宋体" w:eastAsia="宋体"/>
          <w:color w:val="auto"/>
          <w:highlight w:val="none"/>
        </w:rPr>
        <w:t>主管部门派遣的其他专业负责人、造价管理人员每月对上月在建工程已完善签字盖章流程的签证中选取20%进行复核审查（抽查数量向上取整，当月完成签证不足10份的抽查2份，重点抽选金额较大的签证）。复核结果需形成现场抽查记录表（一式二份），如签证工程量与实际工程量不符或违背合同计价原则，则对相关签证经办专业负责人和造价管理人员进行考核。现场抽查记录表由参与抽查人员留底。</w:t>
      </w:r>
    </w:p>
    <w:p w14:paraId="0DBE8700">
      <w:pPr>
        <w:pStyle w:val="26"/>
        <w:numPr>
          <w:ilvl w:val="1"/>
          <w:numId w:val="1"/>
        </w:numPr>
        <w:ind w:left="0"/>
        <w:rPr>
          <w:color w:val="auto"/>
          <w:highlight w:val="none"/>
        </w:rPr>
      </w:pPr>
      <w:r>
        <w:rPr>
          <w:rFonts w:hint="eastAsia"/>
          <w:color w:val="auto"/>
          <w:highlight w:val="none"/>
        </w:rPr>
        <w:t>签证考核：</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color w:val="auto"/>
          <w:highlight w:val="none"/>
        </w:rPr>
        <w:t>当签证工程量与实际工程量不符或违背合同计价原则时，签证单按实进行修正；正偏差在3%以内不考核，正偏差大于3%时且单张签证金额偏差在5000元以内，对负责该签证的专业负责人、造价管理人员按250元/份签证进行绩效考核；正偏差大于3%时且单张签证金额偏差在5000元以上，对负责该签证的专业负责人、造价管理人员按500元/份签证进行绩效考核,当年次数达到3次,暂停工程管理相关工作，如发现恶意弄虚作假，按公司《员工违规行为处理规定》执行。</w:t>
      </w:r>
    </w:p>
    <w:p w14:paraId="4D77A024">
      <w:pPr>
        <w:pStyle w:val="25"/>
        <w:spacing w:before="312" w:after="312"/>
        <w:rPr>
          <w:color w:val="auto"/>
          <w:highlight w:val="none"/>
        </w:rPr>
      </w:pPr>
      <w:r>
        <w:rPr>
          <w:rFonts w:hint="eastAsia"/>
          <w:color w:val="auto"/>
          <w:highlight w:val="none"/>
        </w:rPr>
        <w:t>施工组织设计、专项施工方案和特殊技术措施管理</w:t>
      </w:r>
    </w:p>
    <w:p w14:paraId="487B1994">
      <w:pPr>
        <w:pStyle w:val="26"/>
        <w:numPr>
          <w:ilvl w:val="1"/>
          <w:numId w:val="1"/>
        </w:numPr>
        <w:ind w:left="0"/>
        <w:rPr>
          <w:color w:val="auto"/>
          <w:highlight w:val="none"/>
        </w:rPr>
      </w:pPr>
      <w:r>
        <w:rPr>
          <w:color w:val="auto"/>
          <w:highlight w:val="none"/>
        </w:rPr>
        <w:t>施工组织设计、施工方案和特殊技术措施的</w:t>
      </w:r>
      <w:r>
        <w:rPr>
          <w:rFonts w:hint="eastAsia"/>
          <w:color w:val="auto"/>
          <w:highlight w:val="none"/>
        </w:rPr>
        <w:t>书面批复意见内</w:t>
      </w:r>
      <w:r>
        <w:rPr>
          <w:color w:val="auto"/>
          <w:highlight w:val="none"/>
        </w:rPr>
        <w:t>明确</w:t>
      </w:r>
      <w:r>
        <w:rPr>
          <w:rFonts w:hint="eastAsia"/>
          <w:color w:val="auto"/>
          <w:highlight w:val="none"/>
        </w:rPr>
        <w:t>而具体的</w:t>
      </w:r>
      <w:r>
        <w:rPr>
          <w:color w:val="auto"/>
          <w:highlight w:val="none"/>
        </w:rPr>
        <w:t>批复内容</w:t>
      </w:r>
      <w:r>
        <w:rPr>
          <w:rFonts w:hint="eastAsia"/>
          <w:color w:val="auto"/>
          <w:highlight w:val="none"/>
        </w:rPr>
        <w:t>可</w:t>
      </w:r>
      <w:r>
        <w:rPr>
          <w:color w:val="auto"/>
          <w:highlight w:val="none"/>
        </w:rPr>
        <w:t>作为工程竣工结算依据</w:t>
      </w:r>
      <w:r>
        <w:rPr>
          <w:rFonts w:hint="eastAsia"/>
          <w:color w:val="auto"/>
          <w:highlight w:val="none"/>
        </w:rPr>
        <w:t>。而</w:t>
      </w:r>
      <w:r>
        <w:rPr>
          <w:color w:val="auto"/>
          <w:highlight w:val="none"/>
        </w:rPr>
        <w:t>批复</w:t>
      </w:r>
      <w:r>
        <w:rPr>
          <w:rFonts w:hint="eastAsia"/>
          <w:color w:val="auto"/>
          <w:highlight w:val="none"/>
        </w:rPr>
        <w:t>意见</w:t>
      </w:r>
      <w:r>
        <w:rPr>
          <w:color w:val="auto"/>
          <w:highlight w:val="none"/>
        </w:rPr>
        <w:t>内未明确的</w:t>
      </w:r>
      <w:r>
        <w:rPr>
          <w:rFonts w:hint="eastAsia"/>
          <w:color w:val="auto"/>
          <w:highlight w:val="none"/>
        </w:rPr>
        <w:t>，或概括性描述的，或对</w:t>
      </w:r>
      <w:r>
        <w:rPr>
          <w:color w:val="auto"/>
          <w:highlight w:val="none"/>
        </w:rPr>
        <w:t>明确的内容有更改的</w:t>
      </w:r>
      <w:r>
        <w:rPr>
          <w:rFonts w:hint="eastAsia"/>
          <w:color w:val="auto"/>
          <w:highlight w:val="none"/>
        </w:rPr>
        <w:t>，</w:t>
      </w:r>
      <w:r>
        <w:rPr>
          <w:color w:val="auto"/>
          <w:highlight w:val="none"/>
        </w:rPr>
        <w:t>应</w:t>
      </w:r>
      <w:r>
        <w:rPr>
          <w:rFonts w:hint="eastAsia"/>
          <w:color w:val="auto"/>
          <w:highlight w:val="none"/>
        </w:rPr>
        <w:t>根据工程实际实施情况</w:t>
      </w:r>
      <w:r>
        <w:rPr>
          <w:color w:val="auto"/>
          <w:highlight w:val="none"/>
        </w:rPr>
        <w:t>办理工程经济签证单后方可作为结算依据。</w:t>
      </w:r>
    </w:p>
    <w:p w14:paraId="0F7E7EA3">
      <w:pPr>
        <w:pStyle w:val="26"/>
        <w:numPr>
          <w:ilvl w:val="1"/>
          <w:numId w:val="1"/>
        </w:numPr>
        <w:ind w:left="0"/>
        <w:rPr>
          <w:color w:val="auto"/>
          <w:highlight w:val="none"/>
        </w:rPr>
      </w:pPr>
      <w:r>
        <w:rPr>
          <w:color w:val="auto"/>
          <w:highlight w:val="none"/>
        </w:rPr>
        <w:t>对于大型工程，</w:t>
      </w:r>
      <w:r>
        <w:rPr>
          <w:rFonts w:hint="eastAsia"/>
          <w:color w:val="auto"/>
          <w:highlight w:val="none"/>
        </w:rPr>
        <w:t>为便于造价管理，</w:t>
      </w:r>
      <w:r>
        <w:rPr>
          <w:color w:val="auto"/>
          <w:highlight w:val="none"/>
        </w:rPr>
        <w:t>可不</w:t>
      </w:r>
      <w:r>
        <w:rPr>
          <w:rFonts w:hint="eastAsia"/>
          <w:color w:val="auto"/>
          <w:highlight w:val="none"/>
        </w:rPr>
        <w:t>以</w:t>
      </w:r>
      <w:r>
        <w:rPr>
          <w:color w:val="auto"/>
          <w:highlight w:val="none"/>
        </w:rPr>
        <w:t>施工组织设计、施工方案和特殊技术措施的</w:t>
      </w:r>
      <w:r>
        <w:rPr>
          <w:rFonts w:hint="eastAsia"/>
          <w:color w:val="auto"/>
          <w:highlight w:val="none"/>
        </w:rPr>
        <w:t>书面批复意见</w:t>
      </w:r>
      <w:r>
        <w:rPr>
          <w:color w:val="auto"/>
          <w:highlight w:val="none"/>
        </w:rPr>
        <w:t>作为结算依据，而</w:t>
      </w:r>
      <w:r>
        <w:rPr>
          <w:rFonts w:hint="eastAsia"/>
          <w:color w:val="auto"/>
          <w:highlight w:val="none"/>
        </w:rPr>
        <w:t>是根据实际实施情况转化为</w:t>
      </w:r>
      <w:r>
        <w:rPr>
          <w:color w:val="auto"/>
          <w:highlight w:val="none"/>
        </w:rPr>
        <w:t>经济签证单</w:t>
      </w:r>
      <w:r>
        <w:rPr>
          <w:rFonts w:hint="eastAsia"/>
          <w:color w:val="auto"/>
          <w:highlight w:val="none"/>
        </w:rPr>
        <w:t>后</w:t>
      </w:r>
      <w:r>
        <w:rPr>
          <w:color w:val="auto"/>
          <w:highlight w:val="none"/>
        </w:rPr>
        <w:t>作为依据。</w:t>
      </w:r>
    </w:p>
    <w:p w14:paraId="00713AFB">
      <w:pPr>
        <w:pStyle w:val="26"/>
        <w:numPr>
          <w:ilvl w:val="1"/>
          <w:numId w:val="1"/>
        </w:numPr>
        <w:ind w:left="0"/>
        <w:rPr>
          <w:color w:val="auto"/>
          <w:highlight w:val="none"/>
        </w:rPr>
      </w:pPr>
      <w:r>
        <w:rPr>
          <w:color w:val="auto"/>
          <w:highlight w:val="none"/>
        </w:rPr>
        <w:t>未实行会审和会签的施工组织设计、施工方案和特殊技术措施，</w:t>
      </w:r>
      <w:r>
        <w:rPr>
          <w:rFonts w:hint="eastAsia"/>
          <w:color w:val="auto"/>
          <w:highlight w:val="none"/>
        </w:rPr>
        <w:t>为无效的技术经济文件，</w:t>
      </w:r>
      <w:r>
        <w:rPr>
          <w:color w:val="auto"/>
          <w:highlight w:val="none"/>
        </w:rPr>
        <w:t>一律不得作为工程施工和工程竣工结算的依据。</w:t>
      </w:r>
    </w:p>
    <w:p w14:paraId="0D565703">
      <w:pPr>
        <w:pStyle w:val="25"/>
        <w:spacing w:before="312" w:after="312"/>
        <w:rPr>
          <w:color w:val="auto"/>
          <w:highlight w:val="none"/>
        </w:rPr>
      </w:pPr>
      <w:r>
        <w:rPr>
          <w:rFonts w:hint="eastAsia"/>
          <w:color w:val="auto"/>
          <w:highlight w:val="none"/>
        </w:rPr>
        <w:t>附则</w:t>
      </w:r>
    </w:p>
    <w:p w14:paraId="062ABFD8">
      <w:pPr>
        <w:pStyle w:val="26"/>
        <w:numPr>
          <w:ilvl w:val="1"/>
          <w:numId w:val="1"/>
        </w:numPr>
        <w:ind w:left="0"/>
        <w:rPr>
          <w:color w:val="auto"/>
          <w:highlight w:val="none"/>
        </w:rPr>
      </w:pPr>
      <w:r>
        <w:rPr>
          <w:rFonts w:hint="eastAsia"/>
          <w:color w:val="auto"/>
          <w:highlight w:val="none"/>
        </w:rPr>
        <w:t>未按上述要求办理的，均为无效的技术经济文件。</w:t>
      </w:r>
    </w:p>
    <w:p w14:paraId="088D8B86">
      <w:pPr>
        <w:pStyle w:val="26"/>
        <w:numPr>
          <w:ilvl w:val="1"/>
          <w:numId w:val="1"/>
        </w:numPr>
        <w:ind w:left="0"/>
        <w:rPr>
          <w:color w:val="auto"/>
          <w:highlight w:val="none"/>
        </w:rPr>
      </w:pPr>
      <w:r>
        <w:rPr>
          <w:rFonts w:hint="eastAsia"/>
          <w:color w:val="auto"/>
          <w:highlight w:val="none"/>
        </w:rPr>
        <w:t>凡施工单位不提交费用减少的经济签证单，一经发现，由监理公司或建设单位发出通知，若通知后仍未提交的，我公司将在工程结算中双倍扣回所减少部分的费用。同时建设单位及监理公司现场代表应特别督促施工单位对涉及费用减少的项目办理经济签证。</w:t>
      </w:r>
    </w:p>
    <w:p w14:paraId="28826E08">
      <w:pPr>
        <w:pStyle w:val="26"/>
        <w:numPr>
          <w:ilvl w:val="1"/>
          <w:numId w:val="1"/>
        </w:numPr>
        <w:ind w:left="0"/>
        <w:rPr>
          <w:color w:val="auto"/>
          <w:highlight w:val="none"/>
        </w:rPr>
      </w:pPr>
      <w:r>
        <w:rPr>
          <w:color w:val="auto"/>
          <w:highlight w:val="none"/>
        </w:rPr>
        <w:t>其他部门业务涉及需要办理经济签证单可参照本管理办法执行。</w:t>
      </w:r>
      <w:r>
        <w:rPr>
          <w:color w:val="auto"/>
          <w:highlight w:val="none"/>
        </w:rPr>
        <w:br w:type="textWrapping"/>
      </w:r>
    </w:p>
    <w:p w14:paraId="52274567">
      <w:pPr>
        <w:widowControl/>
        <w:jc w:val="left"/>
        <w:rPr>
          <w:rFonts w:ascii="宋体"/>
          <w:color w:val="auto"/>
          <w:kern w:val="0"/>
          <w:szCs w:val="21"/>
          <w:highlight w:val="none"/>
        </w:rPr>
      </w:pPr>
      <w:r>
        <w:rPr>
          <w:color w:val="auto"/>
          <w:highlight w:val="none"/>
        </w:rPr>
        <w:br w:type="page"/>
      </w:r>
    </w:p>
    <w:p w14:paraId="775F014A">
      <w:pPr>
        <w:pStyle w:val="26"/>
        <w:jc w:val="center"/>
        <w:rPr>
          <w:color w:val="auto"/>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p>
    <w:p w14:paraId="47FCD19C">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254392A7">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（五万元以下适用）</w:t>
      </w:r>
    </w:p>
    <w:tbl>
      <w:tblPr>
        <w:tblStyle w:val="13"/>
        <w:tblW w:w="9056" w:type="dxa"/>
        <w:jc w:val="center"/>
        <w:tblLayout w:type="fixed"/>
        <w:tblCellMar>
          <w:top w:w="0" w:type="dxa"/>
          <w:left w:w="108" w:type="dxa"/>
          <w:bottom w:w="0" w:type="dxa"/>
          <w:right w:w="108" w:type="dxa"/>
        </w:tblCellMar>
      </w:tblPr>
      <w:tblGrid>
        <w:gridCol w:w="1694"/>
        <w:gridCol w:w="1843"/>
        <w:gridCol w:w="1760"/>
        <w:gridCol w:w="83"/>
        <w:gridCol w:w="1283"/>
        <w:gridCol w:w="559"/>
        <w:gridCol w:w="1834"/>
      </w:tblGrid>
      <w:tr w14:paraId="4D735BCE">
        <w:tblPrEx>
          <w:tblCellMar>
            <w:top w:w="0" w:type="dxa"/>
            <w:left w:w="108" w:type="dxa"/>
            <w:bottom w:w="0" w:type="dxa"/>
            <w:right w:w="108" w:type="dxa"/>
          </w:tblCellMar>
        </w:tblPrEx>
        <w:trPr>
          <w:trHeight w:val="356" w:hRule="atLeast"/>
          <w:jc w:val="center"/>
        </w:trPr>
        <w:tc>
          <w:tcPr>
            <w:tcW w:w="5297" w:type="dxa"/>
            <w:gridSpan w:val="3"/>
            <w:tcBorders>
              <w:top w:val="nil"/>
              <w:left w:val="nil"/>
              <w:bottom w:val="nil"/>
              <w:right w:val="nil"/>
            </w:tcBorders>
            <w:noWrap w:val="0"/>
            <w:vAlign w:val="center"/>
          </w:tcPr>
          <w:p w14:paraId="2E00B166">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noWrap w:val="0"/>
            <w:vAlign w:val="center"/>
          </w:tcPr>
          <w:p w14:paraId="5F20356A">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1B02B2B9">
        <w:tblPrEx>
          <w:tblCellMar>
            <w:top w:w="0" w:type="dxa"/>
            <w:left w:w="108" w:type="dxa"/>
            <w:bottom w:w="0" w:type="dxa"/>
            <w:right w:w="108" w:type="dxa"/>
          </w:tblCellMar>
        </w:tblPrEx>
        <w:trPr>
          <w:trHeight w:val="634" w:hRule="atLeast"/>
          <w:jc w:val="center"/>
        </w:trPr>
        <w:tc>
          <w:tcPr>
            <w:tcW w:w="5380" w:type="dxa"/>
            <w:gridSpan w:val="4"/>
            <w:tcBorders>
              <w:top w:val="single" w:color="auto" w:sz="4" w:space="0"/>
              <w:left w:val="single" w:color="auto" w:sz="4" w:space="0"/>
              <w:bottom w:val="single" w:color="auto" w:sz="4" w:space="0"/>
              <w:right w:val="single" w:color="auto" w:sz="4" w:space="0"/>
            </w:tcBorders>
            <w:noWrap w:val="0"/>
            <w:vAlign w:val="center"/>
          </w:tcPr>
          <w:p w14:paraId="50D401B2">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1283" w:type="dxa"/>
            <w:tcBorders>
              <w:top w:val="single" w:color="auto" w:sz="4" w:space="0"/>
              <w:left w:val="nil"/>
              <w:bottom w:val="single" w:color="auto" w:sz="4" w:space="0"/>
              <w:right w:val="single" w:color="auto" w:sz="4" w:space="0"/>
            </w:tcBorders>
            <w:noWrap w:val="0"/>
            <w:vAlign w:val="center"/>
          </w:tcPr>
          <w:p w14:paraId="261E2F49">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noWrap w:val="0"/>
            <w:vAlign w:val="center"/>
          </w:tcPr>
          <w:p w14:paraId="4033A943">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30335234">
        <w:tblPrEx>
          <w:tblCellMar>
            <w:top w:w="0" w:type="dxa"/>
            <w:left w:w="108" w:type="dxa"/>
            <w:bottom w:w="0" w:type="dxa"/>
            <w:right w:w="108" w:type="dxa"/>
          </w:tblCellMar>
        </w:tblPrEx>
        <w:trPr>
          <w:trHeight w:val="1656" w:hRule="atLeast"/>
          <w:jc w:val="center"/>
        </w:trPr>
        <w:tc>
          <w:tcPr>
            <w:tcW w:w="9056" w:type="dxa"/>
            <w:gridSpan w:val="7"/>
            <w:vMerge w:val="restart"/>
            <w:tcBorders>
              <w:top w:val="single" w:color="auto" w:sz="4" w:space="0"/>
              <w:left w:val="single" w:color="auto" w:sz="4" w:space="0"/>
              <w:bottom w:val="nil"/>
              <w:right w:val="single" w:color="000000" w:sz="4" w:space="0"/>
            </w:tcBorders>
            <w:noWrap w:val="0"/>
            <w:vAlign w:val="top"/>
          </w:tcPr>
          <w:p w14:paraId="5042CCE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tc>
      </w:tr>
      <w:tr w14:paraId="0A91961A">
        <w:tblPrEx>
          <w:tblCellMar>
            <w:top w:w="0" w:type="dxa"/>
            <w:left w:w="108" w:type="dxa"/>
            <w:bottom w:w="0" w:type="dxa"/>
            <w:right w:w="108" w:type="dxa"/>
          </w:tblCellMar>
        </w:tblPrEx>
        <w:trPr>
          <w:trHeight w:val="312" w:hRule="atLeast"/>
          <w:jc w:val="center"/>
        </w:trPr>
        <w:tc>
          <w:tcPr>
            <w:tcW w:w="9056" w:type="dxa"/>
            <w:gridSpan w:val="7"/>
            <w:vMerge w:val="continue"/>
            <w:tcBorders>
              <w:top w:val="single" w:color="auto" w:sz="4" w:space="0"/>
              <w:left w:val="single" w:color="auto" w:sz="4" w:space="0"/>
              <w:bottom w:val="single" w:color="auto" w:sz="4" w:space="0"/>
              <w:right w:val="single" w:color="000000" w:sz="4" w:space="0"/>
            </w:tcBorders>
            <w:noWrap w:val="0"/>
            <w:vAlign w:val="center"/>
          </w:tcPr>
          <w:p w14:paraId="4E5DF55B">
            <w:pPr>
              <w:widowControl/>
              <w:jc w:val="left"/>
              <w:rPr>
                <w:rFonts w:ascii="宋体" w:hAnsi="宋体" w:cs="宋体"/>
                <w:color w:val="auto"/>
                <w:kern w:val="0"/>
                <w:sz w:val="22"/>
                <w:highlight w:val="none"/>
              </w:rPr>
            </w:pPr>
          </w:p>
        </w:tc>
      </w:tr>
      <w:tr w14:paraId="1B211F9B">
        <w:tblPrEx>
          <w:tblCellMar>
            <w:top w:w="0" w:type="dxa"/>
            <w:left w:w="108" w:type="dxa"/>
            <w:bottom w:w="0" w:type="dxa"/>
            <w:right w:w="108" w:type="dxa"/>
          </w:tblCellMar>
        </w:tblPrEx>
        <w:trPr>
          <w:trHeight w:val="4175" w:hRule="atLeast"/>
          <w:jc w:val="center"/>
        </w:trPr>
        <w:tc>
          <w:tcPr>
            <w:tcW w:w="9056" w:type="dxa"/>
            <w:gridSpan w:val="7"/>
            <w:tcBorders>
              <w:top w:val="single" w:color="auto" w:sz="4" w:space="0"/>
              <w:left w:val="single" w:color="auto" w:sz="4" w:space="0"/>
              <w:bottom w:val="single" w:color="auto" w:sz="4" w:space="0"/>
              <w:right w:val="single" w:color="000000" w:sz="4" w:space="0"/>
            </w:tcBorders>
            <w:noWrap w:val="0"/>
            <w:vAlign w:val="center"/>
          </w:tcPr>
          <w:p w14:paraId="4CE94DC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p w14:paraId="5B556145">
            <w:pPr>
              <w:widowControl/>
              <w:jc w:val="left"/>
              <w:rPr>
                <w:rFonts w:ascii="宋体" w:hAnsi="宋体" w:cs="宋体"/>
                <w:color w:val="auto"/>
                <w:kern w:val="0"/>
                <w:sz w:val="22"/>
                <w:highlight w:val="none"/>
              </w:rPr>
            </w:pPr>
          </w:p>
          <w:p w14:paraId="6AD56419">
            <w:pPr>
              <w:widowControl/>
              <w:jc w:val="left"/>
              <w:rPr>
                <w:rFonts w:ascii="宋体" w:hAnsi="宋体" w:cs="宋体"/>
                <w:color w:val="auto"/>
                <w:kern w:val="0"/>
                <w:sz w:val="22"/>
                <w:highlight w:val="none"/>
              </w:rPr>
            </w:pPr>
          </w:p>
          <w:p w14:paraId="0627BF32">
            <w:pPr>
              <w:widowControl/>
              <w:jc w:val="left"/>
              <w:rPr>
                <w:rFonts w:ascii="宋体" w:hAnsi="宋体" w:cs="宋体"/>
                <w:color w:val="auto"/>
                <w:kern w:val="0"/>
                <w:sz w:val="22"/>
                <w:highlight w:val="none"/>
              </w:rPr>
            </w:pPr>
          </w:p>
          <w:p w14:paraId="2B958176">
            <w:pPr>
              <w:widowControl/>
              <w:jc w:val="left"/>
              <w:rPr>
                <w:rFonts w:ascii="宋体" w:hAnsi="宋体" w:cs="宋体"/>
                <w:color w:val="auto"/>
                <w:kern w:val="0"/>
                <w:sz w:val="22"/>
                <w:highlight w:val="none"/>
              </w:rPr>
            </w:pPr>
          </w:p>
          <w:p w14:paraId="47E728BB">
            <w:pPr>
              <w:widowControl/>
              <w:jc w:val="left"/>
              <w:rPr>
                <w:rFonts w:ascii="宋体" w:hAnsi="宋体" w:cs="宋体"/>
                <w:color w:val="auto"/>
                <w:kern w:val="0"/>
                <w:sz w:val="22"/>
                <w:highlight w:val="none"/>
              </w:rPr>
            </w:pPr>
          </w:p>
          <w:p w14:paraId="2DBBA1F1">
            <w:pPr>
              <w:widowControl/>
              <w:jc w:val="left"/>
              <w:rPr>
                <w:rFonts w:ascii="宋体" w:hAnsi="宋体" w:cs="宋体"/>
                <w:color w:val="auto"/>
                <w:kern w:val="0"/>
                <w:sz w:val="22"/>
                <w:highlight w:val="none"/>
              </w:rPr>
            </w:pPr>
          </w:p>
          <w:p w14:paraId="259EE5D6">
            <w:pPr>
              <w:widowControl/>
              <w:jc w:val="left"/>
              <w:rPr>
                <w:rFonts w:ascii="宋体" w:hAnsi="宋体" w:cs="宋体"/>
                <w:color w:val="auto"/>
                <w:kern w:val="0"/>
                <w:sz w:val="22"/>
                <w:highlight w:val="none"/>
              </w:rPr>
            </w:pPr>
          </w:p>
          <w:p w14:paraId="5233C4A5">
            <w:pPr>
              <w:widowControl/>
              <w:jc w:val="left"/>
              <w:rPr>
                <w:rFonts w:ascii="宋体" w:hAnsi="宋体" w:cs="宋体"/>
                <w:color w:val="auto"/>
                <w:kern w:val="0"/>
                <w:sz w:val="22"/>
                <w:highlight w:val="none"/>
              </w:rPr>
            </w:pPr>
          </w:p>
          <w:p w14:paraId="09736A51">
            <w:pPr>
              <w:widowControl/>
              <w:jc w:val="left"/>
              <w:rPr>
                <w:rFonts w:ascii="宋体" w:hAnsi="宋体" w:cs="宋体"/>
                <w:color w:val="auto"/>
                <w:kern w:val="0"/>
                <w:sz w:val="22"/>
                <w:highlight w:val="none"/>
              </w:rPr>
            </w:pPr>
          </w:p>
          <w:p w14:paraId="146B669F">
            <w:pPr>
              <w:widowControl/>
              <w:jc w:val="left"/>
              <w:rPr>
                <w:rFonts w:ascii="宋体" w:hAnsi="宋体" w:cs="宋体"/>
                <w:color w:val="auto"/>
                <w:kern w:val="0"/>
                <w:sz w:val="22"/>
                <w:highlight w:val="none"/>
              </w:rPr>
            </w:pPr>
          </w:p>
          <w:p w14:paraId="477DF79D">
            <w:pPr>
              <w:widowControl/>
              <w:spacing w:before="100" w:beforeAutospacing="1"/>
              <w:jc w:val="left"/>
              <w:rPr>
                <w:rFonts w:ascii="宋体" w:hAnsi="宋体" w:cs="宋体"/>
                <w:color w:val="auto"/>
                <w:kern w:val="0"/>
                <w:sz w:val="22"/>
                <w:highlight w:val="none"/>
              </w:rPr>
            </w:pPr>
          </w:p>
        </w:tc>
      </w:tr>
      <w:tr w14:paraId="2636F27A">
        <w:tblPrEx>
          <w:tblCellMar>
            <w:top w:w="0" w:type="dxa"/>
            <w:left w:w="108" w:type="dxa"/>
            <w:bottom w:w="0" w:type="dxa"/>
            <w:right w:w="108" w:type="dxa"/>
          </w:tblCellMar>
        </w:tblPrEx>
        <w:trPr>
          <w:trHeight w:val="906" w:hRule="atLeast"/>
          <w:jc w:val="center"/>
        </w:trPr>
        <w:tc>
          <w:tcPr>
            <w:tcW w:w="9056" w:type="dxa"/>
            <w:gridSpan w:val="7"/>
            <w:vMerge w:val="restart"/>
            <w:tcBorders>
              <w:top w:val="single" w:color="auto" w:sz="4" w:space="0"/>
              <w:left w:val="single" w:color="auto" w:sz="4" w:space="0"/>
              <w:bottom w:val="nil"/>
              <w:right w:val="single" w:color="000000" w:sz="4" w:space="0"/>
            </w:tcBorders>
            <w:noWrap w:val="0"/>
            <w:vAlign w:val="top"/>
          </w:tcPr>
          <w:p w14:paraId="6F837581">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5866E3FC">
        <w:tblPrEx>
          <w:tblCellMar>
            <w:top w:w="0" w:type="dxa"/>
            <w:left w:w="108" w:type="dxa"/>
            <w:bottom w:w="0" w:type="dxa"/>
            <w:right w:w="108" w:type="dxa"/>
          </w:tblCellMar>
        </w:tblPrEx>
        <w:trPr>
          <w:trHeight w:val="496" w:hRule="atLeast"/>
          <w:jc w:val="center"/>
        </w:trPr>
        <w:tc>
          <w:tcPr>
            <w:tcW w:w="9056" w:type="dxa"/>
            <w:gridSpan w:val="7"/>
            <w:vMerge w:val="continue"/>
            <w:tcBorders>
              <w:top w:val="single" w:color="auto" w:sz="4" w:space="0"/>
              <w:left w:val="single" w:color="auto" w:sz="4" w:space="0"/>
              <w:bottom w:val="nil"/>
              <w:right w:val="single" w:color="000000" w:sz="4" w:space="0"/>
            </w:tcBorders>
            <w:noWrap w:val="0"/>
            <w:vAlign w:val="center"/>
          </w:tcPr>
          <w:p w14:paraId="2B4FC4C2">
            <w:pPr>
              <w:widowControl/>
              <w:jc w:val="left"/>
              <w:rPr>
                <w:rFonts w:ascii="宋体" w:hAnsi="宋体" w:cs="宋体"/>
                <w:color w:val="auto"/>
                <w:kern w:val="0"/>
                <w:sz w:val="22"/>
                <w:highlight w:val="none"/>
              </w:rPr>
            </w:pPr>
          </w:p>
        </w:tc>
      </w:tr>
      <w:tr w14:paraId="7536D6AF">
        <w:tblPrEx>
          <w:tblCellMar>
            <w:top w:w="0" w:type="dxa"/>
            <w:left w:w="108" w:type="dxa"/>
            <w:bottom w:w="0" w:type="dxa"/>
            <w:right w:w="108" w:type="dxa"/>
          </w:tblCellMar>
        </w:tblPrEx>
        <w:trPr>
          <w:trHeight w:val="1248" w:hRule="atLeast"/>
          <w:jc w:val="center"/>
        </w:trPr>
        <w:tc>
          <w:tcPr>
            <w:tcW w:w="1694" w:type="dxa"/>
            <w:tcBorders>
              <w:top w:val="single" w:color="auto" w:sz="4" w:space="0"/>
              <w:left w:val="single" w:color="auto" w:sz="4" w:space="0"/>
              <w:bottom w:val="single" w:color="auto" w:sz="4" w:space="0"/>
              <w:right w:val="single" w:color="auto" w:sz="4" w:space="0"/>
            </w:tcBorders>
            <w:noWrap w:val="0"/>
            <w:vAlign w:val="top"/>
          </w:tcPr>
          <w:p w14:paraId="56EA161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843" w:type="dxa"/>
            <w:tcBorders>
              <w:top w:val="single" w:color="auto" w:sz="4" w:space="0"/>
              <w:left w:val="single" w:color="auto" w:sz="4" w:space="0"/>
              <w:bottom w:val="single" w:color="auto" w:sz="4" w:space="0"/>
              <w:right w:val="single" w:color="auto" w:sz="4" w:space="0"/>
            </w:tcBorders>
            <w:noWrap w:val="0"/>
            <w:vAlign w:val="top"/>
          </w:tcPr>
          <w:p w14:paraId="3EDCFE6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843" w:type="dxa"/>
            <w:gridSpan w:val="2"/>
            <w:tcBorders>
              <w:top w:val="single" w:color="auto" w:sz="4" w:space="0"/>
              <w:left w:val="single" w:color="auto" w:sz="4" w:space="0"/>
              <w:bottom w:val="single" w:color="auto" w:sz="4" w:space="0"/>
              <w:right w:val="single" w:color="auto" w:sz="4" w:space="0"/>
            </w:tcBorders>
            <w:noWrap w:val="0"/>
            <w:vAlign w:val="top"/>
          </w:tcPr>
          <w:p w14:paraId="5CC9AA3A">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523F58A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842" w:type="dxa"/>
            <w:gridSpan w:val="2"/>
            <w:tcBorders>
              <w:top w:val="single" w:color="auto" w:sz="4" w:space="0"/>
              <w:left w:val="single" w:color="auto" w:sz="4" w:space="0"/>
              <w:bottom w:val="single" w:color="auto" w:sz="4" w:space="0"/>
              <w:right w:val="single" w:color="auto" w:sz="4" w:space="0"/>
            </w:tcBorders>
            <w:noWrap w:val="0"/>
            <w:vAlign w:val="top"/>
          </w:tcPr>
          <w:p w14:paraId="71C1BE6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834" w:type="dxa"/>
            <w:tcBorders>
              <w:top w:val="single" w:color="auto" w:sz="4" w:space="0"/>
              <w:left w:val="single" w:color="auto" w:sz="4" w:space="0"/>
              <w:right w:val="single" w:color="auto" w:sz="4" w:space="0"/>
            </w:tcBorders>
            <w:noWrap w:val="0"/>
            <w:vAlign w:val="top"/>
          </w:tcPr>
          <w:p w14:paraId="494E06D0">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r>
      <w:tr w14:paraId="56C00751">
        <w:tblPrEx>
          <w:tblCellMar>
            <w:top w:w="0" w:type="dxa"/>
            <w:left w:w="108" w:type="dxa"/>
            <w:bottom w:w="0" w:type="dxa"/>
            <w:right w:w="108" w:type="dxa"/>
          </w:tblCellMar>
        </w:tblPrEx>
        <w:trPr>
          <w:trHeight w:val="1273" w:hRule="atLeast"/>
          <w:jc w:val="center"/>
        </w:trPr>
        <w:tc>
          <w:tcPr>
            <w:tcW w:w="1694" w:type="dxa"/>
            <w:tcBorders>
              <w:top w:val="single" w:color="auto" w:sz="4" w:space="0"/>
              <w:left w:val="single" w:color="auto" w:sz="4" w:space="0"/>
              <w:bottom w:val="single" w:color="auto" w:sz="4" w:space="0"/>
              <w:right w:val="single" w:color="auto" w:sz="4" w:space="0"/>
            </w:tcBorders>
            <w:noWrap w:val="0"/>
            <w:vAlign w:val="top"/>
          </w:tcPr>
          <w:p w14:paraId="4DCBA68A">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tcBorders>
              <w:top w:val="single" w:color="auto" w:sz="4" w:space="0"/>
              <w:left w:val="nil"/>
              <w:bottom w:val="single" w:color="auto" w:sz="4" w:space="0"/>
              <w:right w:val="single" w:color="auto" w:sz="4" w:space="0"/>
            </w:tcBorders>
            <w:noWrap w:val="0"/>
            <w:vAlign w:val="top"/>
          </w:tcPr>
          <w:p w14:paraId="3A82807C">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gridSpan w:val="2"/>
            <w:tcBorders>
              <w:top w:val="single" w:color="auto" w:sz="4" w:space="0"/>
              <w:left w:val="nil"/>
              <w:bottom w:val="single" w:color="auto" w:sz="4" w:space="0"/>
              <w:right w:val="single" w:color="auto" w:sz="4" w:space="0"/>
            </w:tcBorders>
            <w:noWrap w:val="0"/>
            <w:vAlign w:val="top"/>
          </w:tcPr>
          <w:p w14:paraId="703251B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2" w:type="dxa"/>
            <w:gridSpan w:val="2"/>
            <w:tcBorders>
              <w:top w:val="single" w:color="auto" w:sz="4" w:space="0"/>
              <w:left w:val="nil"/>
              <w:bottom w:val="single" w:color="auto" w:sz="4" w:space="0"/>
              <w:right w:val="single" w:color="auto" w:sz="4" w:space="0"/>
            </w:tcBorders>
            <w:noWrap w:val="0"/>
            <w:vAlign w:val="top"/>
          </w:tcPr>
          <w:p w14:paraId="455F017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34" w:type="dxa"/>
            <w:tcBorders>
              <w:top w:val="single" w:color="auto" w:sz="4" w:space="0"/>
              <w:left w:val="nil"/>
              <w:bottom w:val="single" w:color="auto" w:sz="4" w:space="0"/>
              <w:right w:val="single" w:color="auto" w:sz="4" w:space="0"/>
            </w:tcBorders>
            <w:noWrap w:val="0"/>
            <w:vAlign w:val="top"/>
          </w:tcPr>
          <w:p w14:paraId="6BF3C37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306455C9">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5B4CA88A">
      <w:pPr>
        <w:widowControl/>
        <w:jc w:val="left"/>
        <w:rPr>
          <w:rFonts w:ascii="宋体" w:hAnsi="宋体"/>
          <w:color w:val="auto"/>
          <w:szCs w:val="21"/>
          <w:highlight w:val="none"/>
        </w:rPr>
      </w:pPr>
      <w:r>
        <w:rPr>
          <w:rFonts w:ascii="宋体" w:hAnsi="宋体"/>
          <w:color w:val="auto"/>
          <w:szCs w:val="21"/>
          <w:highlight w:val="none"/>
        </w:rPr>
        <w:br w:type="page"/>
      </w:r>
    </w:p>
    <w:p w14:paraId="624F101D">
      <w:pPr>
        <w:rPr>
          <w:color w:val="auto"/>
          <w:highlight w:val="none"/>
        </w:rPr>
      </w:pPr>
    </w:p>
    <w:p w14:paraId="7C9A9550">
      <w:pPr>
        <w:jc w:val="center"/>
        <w:rPr>
          <w:color w:val="auto"/>
          <w:highlight w:val="none"/>
        </w:rPr>
      </w:pPr>
      <w:r>
        <w:rPr>
          <w:rFonts w:hint="eastAsia"/>
          <w:color w:val="auto"/>
          <w:highlight w:val="none"/>
        </w:rPr>
        <w:t>附录B</w:t>
      </w:r>
      <w:r>
        <w:rPr>
          <w:color w:val="auto"/>
          <w:highlight w:val="none"/>
        </w:rPr>
        <w:br w:type="textWrapping"/>
      </w:r>
      <w:r>
        <w:rPr>
          <w:rFonts w:hint="eastAsia"/>
          <w:color w:val="auto"/>
          <w:highlight w:val="none"/>
        </w:rPr>
        <w:t>（规范性附录）</w:t>
      </w:r>
    </w:p>
    <w:p w14:paraId="701AEDFC">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44E278AA">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（五万元以上适用）</w:t>
      </w:r>
    </w:p>
    <w:tbl>
      <w:tblPr>
        <w:tblStyle w:val="13"/>
        <w:tblW w:w="9056" w:type="dxa"/>
        <w:jc w:val="center"/>
        <w:tblLayout w:type="fixed"/>
        <w:tblCellMar>
          <w:top w:w="0" w:type="dxa"/>
          <w:left w:w="108" w:type="dxa"/>
          <w:bottom w:w="0" w:type="dxa"/>
          <w:right w:w="108" w:type="dxa"/>
        </w:tblCellMar>
      </w:tblPr>
      <w:tblGrid>
        <w:gridCol w:w="1411"/>
        <w:gridCol w:w="1417"/>
        <w:gridCol w:w="1559"/>
        <w:gridCol w:w="8"/>
        <w:gridCol w:w="902"/>
        <w:gridCol w:w="650"/>
        <w:gridCol w:w="716"/>
        <w:gridCol w:w="843"/>
        <w:gridCol w:w="1550"/>
      </w:tblGrid>
      <w:tr w14:paraId="2DB1C7EF">
        <w:tblPrEx>
          <w:tblCellMar>
            <w:top w:w="0" w:type="dxa"/>
            <w:left w:w="108" w:type="dxa"/>
            <w:bottom w:w="0" w:type="dxa"/>
            <w:right w:w="108" w:type="dxa"/>
          </w:tblCellMar>
        </w:tblPrEx>
        <w:trPr>
          <w:trHeight w:val="356" w:hRule="atLeast"/>
          <w:jc w:val="center"/>
        </w:trPr>
        <w:tc>
          <w:tcPr>
            <w:tcW w:w="5297" w:type="dxa"/>
            <w:gridSpan w:val="5"/>
            <w:tcBorders>
              <w:top w:val="nil"/>
              <w:left w:val="nil"/>
              <w:bottom w:val="nil"/>
              <w:right w:val="nil"/>
            </w:tcBorders>
            <w:noWrap w:val="0"/>
            <w:vAlign w:val="center"/>
          </w:tcPr>
          <w:p w14:paraId="5EE51577">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noWrap w:val="0"/>
            <w:vAlign w:val="center"/>
          </w:tcPr>
          <w:p w14:paraId="6A530222">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3712844D">
        <w:tblPrEx>
          <w:tblCellMar>
            <w:top w:w="0" w:type="dxa"/>
            <w:left w:w="108" w:type="dxa"/>
            <w:bottom w:w="0" w:type="dxa"/>
            <w:right w:w="108" w:type="dxa"/>
          </w:tblCellMar>
        </w:tblPrEx>
        <w:trPr>
          <w:trHeight w:val="634" w:hRule="atLeast"/>
          <w:jc w:val="center"/>
        </w:trPr>
        <w:tc>
          <w:tcPr>
            <w:tcW w:w="4395" w:type="dxa"/>
            <w:gridSpan w:val="4"/>
            <w:tcBorders>
              <w:top w:val="single" w:color="auto" w:sz="4" w:space="0"/>
              <w:left w:val="single" w:color="auto" w:sz="4" w:space="0"/>
              <w:bottom w:val="single" w:color="auto" w:sz="4" w:space="0"/>
              <w:right w:val="single" w:color="auto" w:sz="4" w:space="0"/>
            </w:tcBorders>
            <w:noWrap w:val="0"/>
            <w:vAlign w:val="center"/>
          </w:tcPr>
          <w:p w14:paraId="24AF1E4D">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2268" w:type="dxa"/>
            <w:gridSpan w:val="3"/>
            <w:tcBorders>
              <w:top w:val="single" w:color="auto" w:sz="4" w:space="0"/>
              <w:left w:val="nil"/>
              <w:bottom w:val="single" w:color="auto" w:sz="4" w:space="0"/>
              <w:right w:val="single" w:color="auto" w:sz="4" w:space="0"/>
            </w:tcBorders>
            <w:noWrap w:val="0"/>
            <w:vAlign w:val="center"/>
          </w:tcPr>
          <w:p w14:paraId="066D62B9">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noWrap w:val="0"/>
            <w:vAlign w:val="center"/>
          </w:tcPr>
          <w:p w14:paraId="6A5AB28E">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1979584B">
        <w:tblPrEx>
          <w:tblCellMar>
            <w:top w:w="0" w:type="dxa"/>
            <w:left w:w="108" w:type="dxa"/>
            <w:bottom w:w="0" w:type="dxa"/>
            <w:right w:w="108" w:type="dxa"/>
          </w:tblCellMar>
        </w:tblPrEx>
        <w:trPr>
          <w:trHeight w:val="1883" w:hRule="atLeast"/>
          <w:jc w:val="center"/>
        </w:trPr>
        <w:tc>
          <w:tcPr>
            <w:tcW w:w="9056" w:type="dxa"/>
            <w:gridSpan w:val="9"/>
            <w:tcBorders>
              <w:top w:val="single" w:color="auto" w:sz="4" w:space="0"/>
              <w:left w:val="single" w:color="auto" w:sz="4" w:space="0"/>
              <w:bottom w:val="single" w:color="auto" w:sz="4" w:space="0"/>
              <w:right w:val="single" w:color="auto" w:sz="4" w:space="0"/>
            </w:tcBorders>
            <w:noWrap w:val="0"/>
            <w:vAlign w:val="center"/>
          </w:tcPr>
          <w:p w14:paraId="6DE372A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p w14:paraId="5180EF36">
            <w:pPr>
              <w:widowControl/>
              <w:jc w:val="left"/>
              <w:rPr>
                <w:rFonts w:ascii="宋体" w:hAnsi="宋体" w:cs="宋体"/>
                <w:color w:val="auto"/>
                <w:kern w:val="0"/>
                <w:sz w:val="22"/>
                <w:highlight w:val="none"/>
              </w:rPr>
            </w:pPr>
          </w:p>
          <w:p w14:paraId="3792E736">
            <w:pPr>
              <w:widowControl/>
              <w:jc w:val="left"/>
              <w:rPr>
                <w:rFonts w:ascii="宋体" w:hAnsi="宋体" w:cs="宋体"/>
                <w:color w:val="auto"/>
                <w:kern w:val="0"/>
                <w:sz w:val="22"/>
                <w:highlight w:val="none"/>
              </w:rPr>
            </w:pPr>
          </w:p>
          <w:p w14:paraId="13EA0514">
            <w:pPr>
              <w:widowControl/>
              <w:jc w:val="left"/>
              <w:rPr>
                <w:rFonts w:ascii="宋体" w:hAnsi="宋体" w:cs="宋体"/>
                <w:color w:val="auto"/>
                <w:kern w:val="0"/>
                <w:sz w:val="22"/>
                <w:highlight w:val="none"/>
              </w:rPr>
            </w:pPr>
          </w:p>
          <w:p w14:paraId="41651BA3">
            <w:pPr>
              <w:widowControl/>
              <w:jc w:val="left"/>
              <w:rPr>
                <w:rFonts w:ascii="宋体" w:hAnsi="宋体" w:cs="宋体"/>
                <w:color w:val="auto"/>
                <w:kern w:val="0"/>
                <w:sz w:val="22"/>
                <w:highlight w:val="none"/>
              </w:rPr>
            </w:pPr>
          </w:p>
          <w:p w14:paraId="6171CC03">
            <w:pPr>
              <w:widowControl/>
              <w:jc w:val="left"/>
              <w:rPr>
                <w:rFonts w:ascii="宋体" w:hAnsi="宋体" w:cs="宋体"/>
                <w:color w:val="auto"/>
                <w:kern w:val="0"/>
                <w:sz w:val="24"/>
                <w:highlight w:val="none"/>
              </w:rPr>
            </w:pPr>
          </w:p>
        </w:tc>
      </w:tr>
      <w:tr w14:paraId="43AC42C5">
        <w:tblPrEx>
          <w:tblCellMar>
            <w:top w:w="0" w:type="dxa"/>
            <w:left w:w="108" w:type="dxa"/>
            <w:bottom w:w="0" w:type="dxa"/>
            <w:right w:w="108" w:type="dxa"/>
          </w:tblCellMar>
        </w:tblPrEx>
        <w:trPr>
          <w:trHeight w:val="1656" w:hRule="atLeast"/>
          <w:jc w:val="center"/>
        </w:trPr>
        <w:tc>
          <w:tcPr>
            <w:tcW w:w="9056" w:type="dxa"/>
            <w:gridSpan w:val="9"/>
            <w:vMerge w:val="restart"/>
            <w:tcBorders>
              <w:top w:val="single" w:color="auto" w:sz="4" w:space="0"/>
              <w:left w:val="single" w:color="auto" w:sz="4" w:space="0"/>
              <w:bottom w:val="nil"/>
              <w:right w:val="single" w:color="000000" w:sz="4" w:space="0"/>
            </w:tcBorders>
            <w:noWrap w:val="0"/>
            <w:vAlign w:val="top"/>
          </w:tcPr>
          <w:p w14:paraId="4637C37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tc>
      </w:tr>
      <w:tr w14:paraId="20B5D410">
        <w:tblPrEx>
          <w:tblCellMar>
            <w:top w:w="0" w:type="dxa"/>
            <w:left w:w="108" w:type="dxa"/>
            <w:bottom w:w="0" w:type="dxa"/>
            <w:right w:w="108" w:type="dxa"/>
          </w:tblCellMar>
        </w:tblPrEx>
        <w:trPr>
          <w:trHeight w:val="1753" w:hRule="atLeast"/>
          <w:jc w:val="center"/>
        </w:trPr>
        <w:tc>
          <w:tcPr>
            <w:tcW w:w="9056" w:type="dxa"/>
            <w:gridSpan w:val="9"/>
            <w:vMerge w:val="continue"/>
            <w:tcBorders>
              <w:top w:val="single" w:color="auto" w:sz="4" w:space="0"/>
              <w:left w:val="single" w:color="auto" w:sz="4" w:space="0"/>
              <w:bottom w:val="nil"/>
              <w:right w:val="single" w:color="000000" w:sz="4" w:space="0"/>
            </w:tcBorders>
            <w:noWrap w:val="0"/>
            <w:vAlign w:val="center"/>
          </w:tcPr>
          <w:p w14:paraId="1A6E975A">
            <w:pPr>
              <w:widowControl/>
              <w:jc w:val="left"/>
              <w:rPr>
                <w:rFonts w:ascii="宋体" w:hAnsi="宋体" w:cs="宋体"/>
                <w:color w:val="auto"/>
                <w:kern w:val="0"/>
                <w:sz w:val="22"/>
                <w:highlight w:val="none"/>
              </w:rPr>
            </w:pPr>
          </w:p>
        </w:tc>
      </w:tr>
      <w:tr w14:paraId="20368AD9">
        <w:tblPrEx>
          <w:tblCellMar>
            <w:top w:w="0" w:type="dxa"/>
            <w:left w:w="108" w:type="dxa"/>
            <w:bottom w:w="0" w:type="dxa"/>
            <w:right w:w="108" w:type="dxa"/>
          </w:tblCellMar>
        </w:tblPrEx>
        <w:trPr>
          <w:trHeight w:val="433" w:hRule="atLeast"/>
          <w:jc w:val="center"/>
        </w:trPr>
        <w:tc>
          <w:tcPr>
            <w:tcW w:w="9056" w:type="dxa"/>
            <w:gridSpan w:val="9"/>
            <w:vMerge w:val="continue"/>
            <w:tcBorders>
              <w:top w:val="single" w:color="auto" w:sz="4" w:space="0"/>
              <w:left w:val="single" w:color="auto" w:sz="4" w:space="0"/>
              <w:bottom w:val="nil"/>
              <w:right w:val="single" w:color="000000" w:sz="4" w:space="0"/>
            </w:tcBorders>
            <w:noWrap w:val="0"/>
            <w:vAlign w:val="center"/>
          </w:tcPr>
          <w:p w14:paraId="2B04DFA1">
            <w:pPr>
              <w:widowControl/>
              <w:jc w:val="left"/>
              <w:rPr>
                <w:rFonts w:ascii="宋体" w:hAnsi="宋体" w:cs="宋体"/>
                <w:color w:val="auto"/>
                <w:kern w:val="0"/>
                <w:sz w:val="22"/>
                <w:highlight w:val="none"/>
              </w:rPr>
            </w:pPr>
          </w:p>
        </w:tc>
      </w:tr>
      <w:tr w14:paraId="6D329B73">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single" w:color="auto" w:sz="4" w:space="0"/>
              <w:right w:val="single" w:color="000000" w:sz="4" w:space="0"/>
            </w:tcBorders>
            <w:noWrap w:val="0"/>
            <w:vAlign w:val="center"/>
          </w:tcPr>
          <w:p w14:paraId="018E7C68">
            <w:pPr>
              <w:widowControl/>
              <w:jc w:val="left"/>
              <w:rPr>
                <w:rFonts w:ascii="宋体" w:hAnsi="宋体" w:cs="宋体"/>
                <w:color w:val="auto"/>
                <w:kern w:val="0"/>
                <w:sz w:val="22"/>
                <w:highlight w:val="none"/>
              </w:rPr>
            </w:pPr>
          </w:p>
        </w:tc>
      </w:tr>
      <w:tr w14:paraId="69DE4FE9">
        <w:tblPrEx>
          <w:tblCellMar>
            <w:top w:w="0" w:type="dxa"/>
            <w:left w:w="108" w:type="dxa"/>
            <w:bottom w:w="0" w:type="dxa"/>
            <w:right w:w="108" w:type="dxa"/>
          </w:tblCellMar>
        </w:tblPrEx>
        <w:trPr>
          <w:trHeight w:val="906" w:hRule="atLeast"/>
          <w:jc w:val="center"/>
        </w:trPr>
        <w:tc>
          <w:tcPr>
            <w:tcW w:w="9056" w:type="dxa"/>
            <w:gridSpan w:val="9"/>
            <w:vMerge w:val="restart"/>
            <w:tcBorders>
              <w:top w:val="single" w:color="auto" w:sz="4" w:space="0"/>
              <w:left w:val="single" w:color="auto" w:sz="4" w:space="0"/>
              <w:bottom w:val="nil"/>
              <w:right w:val="single" w:color="000000" w:sz="4" w:space="0"/>
            </w:tcBorders>
            <w:noWrap w:val="0"/>
            <w:vAlign w:val="top"/>
          </w:tcPr>
          <w:p w14:paraId="350A1619">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571620EF">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nil"/>
              <w:right w:val="single" w:color="000000" w:sz="4" w:space="0"/>
            </w:tcBorders>
            <w:noWrap w:val="0"/>
            <w:vAlign w:val="center"/>
          </w:tcPr>
          <w:p w14:paraId="7B29FDAF">
            <w:pPr>
              <w:widowControl/>
              <w:jc w:val="left"/>
              <w:rPr>
                <w:rFonts w:ascii="宋体" w:hAnsi="宋体" w:cs="宋体"/>
                <w:color w:val="auto"/>
                <w:kern w:val="0"/>
                <w:sz w:val="22"/>
                <w:highlight w:val="none"/>
              </w:rPr>
            </w:pPr>
          </w:p>
        </w:tc>
      </w:tr>
      <w:tr w14:paraId="79318799">
        <w:tblPrEx>
          <w:tblCellMar>
            <w:top w:w="0" w:type="dxa"/>
            <w:left w:w="108" w:type="dxa"/>
            <w:bottom w:w="0" w:type="dxa"/>
            <w:right w:w="108" w:type="dxa"/>
          </w:tblCellMar>
        </w:tblPrEx>
        <w:trPr>
          <w:trHeight w:val="415" w:hRule="atLeast"/>
          <w:jc w:val="center"/>
        </w:trPr>
        <w:tc>
          <w:tcPr>
            <w:tcW w:w="1411" w:type="dxa"/>
            <w:vMerge w:val="restart"/>
            <w:tcBorders>
              <w:top w:val="single" w:color="auto" w:sz="4" w:space="0"/>
              <w:left w:val="single" w:color="auto" w:sz="4" w:space="0"/>
              <w:bottom w:val="single" w:color="auto" w:sz="4" w:space="0"/>
              <w:right w:val="single" w:color="auto" w:sz="4" w:space="0"/>
            </w:tcBorders>
            <w:noWrap w:val="0"/>
            <w:vAlign w:val="top"/>
          </w:tcPr>
          <w:p w14:paraId="7218947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417" w:type="dxa"/>
            <w:vMerge w:val="restart"/>
            <w:tcBorders>
              <w:top w:val="single" w:color="auto" w:sz="4" w:space="0"/>
              <w:left w:val="single" w:color="auto" w:sz="4" w:space="0"/>
              <w:bottom w:val="single" w:color="auto" w:sz="4" w:space="0"/>
              <w:right w:val="single" w:color="auto" w:sz="4" w:space="0"/>
            </w:tcBorders>
            <w:noWrap w:val="0"/>
            <w:vAlign w:val="top"/>
          </w:tcPr>
          <w:p w14:paraId="2D1BBA3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559" w:type="dxa"/>
            <w:vMerge w:val="restart"/>
            <w:tcBorders>
              <w:top w:val="single" w:color="auto" w:sz="4" w:space="0"/>
              <w:left w:val="single" w:color="auto" w:sz="4" w:space="0"/>
              <w:bottom w:val="single" w:color="auto" w:sz="4" w:space="0"/>
              <w:right w:val="single" w:color="auto" w:sz="4" w:space="0"/>
            </w:tcBorders>
            <w:noWrap w:val="0"/>
            <w:vAlign w:val="top"/>
          </w:tcPr>
          <w:p w14:paraId="0790542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214478F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560" w:type="dxa"/>
            <w:gridSpan w:val="3"/>
            <w:vMerge w:val="restart"/>
            <w:tcBorders>
              <w:top w:val="single" w:color="auto" w:sz="4" w:space="0"/>
              <w:left w:val="single" w:color="auto" w:sz="4" w:space="0"/>
              <w:bottom w:val="single" w:color="auto" w:sz="4" w:space="0"/>
              <w:right w:val="single" w:color="auto" w:sz="4" w:space="0"/>
            </w:tcBorders>
            <w:noWrap w:val="0"/>
            <w:vAlign w:val="top"/>
          </w:tcPr>
          <w:p w14:paraId="204161F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559" w:type="dxa"/>
            <w:gridSpan w:val="2"/>
            <w:vMerge w:val="restart"/>
            <w:tcBorders>
              <w:top w:val="single" w:color="auto" w:sz="4" w:space="0"/>
              <w:left w:val="single" w:color="auto" w:sz="4" w:space="0"/>
              <w:bottom w:val="single" w:color="auto" w:sz="4" w:space="0"/>
              <w:right w:val="single" w:color="auto" w:sz="4" w:space="0"/>
            </w:tcBorders>
            <w:noWrap w:val="0"/>
            <w:vAlign w:val="top"/>
          </w:tcPr>
          <w:p w14:paraId="093FCF62">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c>
          <w:tcPr>
            <w:tcW w:w="1550" w:type="dxa"/>
            <w:vMerge w:val="restart"/>
            <w:tcBorders>
              <w:top w:val="single" w:color="auto" w:sz="4" w:space="0"/>
              <w:left w:val="single" w:color="auto" w:sz="4" w:space="0"/>
              <w:bottom w:val="single" w:color="auto" w:sz="4" w:space="0"/>
              <w:right w:val="single" w:color="auto" w:sz="4" w:space="0"/>
            </w:tcBorders>
            <w:noWrap w:val="0"/>
            <w:vAlign w:val="top"/>
          </w:tcPr>
          <w:p w14:paraId="7999713D">
            <w:pPr>
              <w:widowControl/>
              <w:jc w:val="center"/>
              <w:rPr>
                <w:rFonts w:ascii="宋体" w:hAnsi="宋体" w:cs="宋体"/>
                <w:color w:val="auto"/>
                <w:kern w:val="0"/>
                <w:sz w:val="22"/>
                <w:highlight w:val="none"/>
              </w:rPr>
            </w:pPr>
            <w:r>
              <w:rPr>
                <w:rFonts w:hint="eastAsia" w:ascii="宋体" w:hAnsi="宋体" w:cs="宋体"/>
                <w:color w:val="auto"/>
                <w:kern w:val="0"/>
                <w:sz w:val="22"/>
                <w:highlight w:val="none"/>
              </w:rPr>
              <w:t>公司分管领导</w:t>
            </w:r>
          </w:p>
        </w:tc>
      </w:tr>
      <w:tr w14:paraId="00240340">
        <w:tblPrEx>
          <w:tblCellMar>
            <w:top w:w="0" w:type="dxa"/>
            <w:left w:w="108" w:type="dxa"/>
            <w:bottom w:w="0" w:type="dxa"/>
            <w:right w:w="108" w:type="dxa"/>
          </w:tblCellMar>
        </w:tblPrEx>
        <w:trPr>
          <w:trHeight w:val="767" w:hRule="atLeast"/>
          <w:jc w:val="center"/>
        </w:trPr>
        <w:tc>
          <w:tcPr>
            <w:tcW w:w="1411" w:type="dxa"/>
            <w:vMerge w:val="continue"/>
            <w:tcBorders>
              <w:top w:val="single" w:color="auto" w:sz="4" w:space="0"/>
              <w:left w:val="single" w:color="auto" w:sz="4" w:space="0"/>
              <w:bottom w:val="single" w:color="auto" w:sz="4" w:space="0"/>
              <w:right w:val="single" w:color="auto" w:sz="4" w:space="0"/>
            </w:tcBorders>
            <w:noWrap w:val="0"/>
            <w:vAlign w:val="center"/>
          </w:tcPr>
          <w:p w14:paraId="073561FA">
            <w:pPr>
              <w:widowControl/>
              <w:jc w:val="left"/>
              <w:rPr>
                <w:rFonts w:ascii="宋体" w:hAnsi="宋体" w:cs="宋体"/>
                <w:color w:val="auto"/>
                <w:kern w:val="0"/>
                <w:sz w:val="22"/>
                <w:highlight w:val="none"/>
              </w:rPr>
            </w:pPr>
          </w:p>
        </w:tc>
        <w:tc>
          <w:tcPr>
            <w:tcW w:w="1417" w:type="dxa"/>
            <w:vMerge w:val="continue"/>
            <w:tcBorders>
              <w:top w:val="single" w:color="auto" w:sz="4" w:space="0"/>
              <w:left w:val="single" w:color="auto" w:sz="4" w:space="0"/>
              <w:bottom w:val="single" w:color="auto" w:sz="4" w:space="0"/>
              <w:right w:val="single" w:color="auto" w:sz="4" w:space="0"/>
            </w:tcBorders>
            <w:noWrap w:val="0"/>
            <w:vAlign w:val="center"/>
          </w:tcPr>
          <w:p w14:paraId="60A1EA3C">
            <w:pPr>
              <w:widowControl/>
              <w:jc w:val="left"/>
              <w:rPr>
                <w:rFonts w:ascii="宋体" w:hAnsi="宋体" w:cs="宋体"/>
                <w:color w:val="auto"/>
                <w:kern w:val="0"/>
                <w:sz w:val="22"/>
                <w:highlight w:val="none"/>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14:paraId="1D260B1D">
            <w:pPr>
              <w:widowControl/>
              <w:jc w:val="left"/>
              <w:rPr>
                <w:rFonts w:ascii="宋体" w:hAnsi="宋体" w:cs="宋体"/>
                <w:color w:val="auto"/>
                <w:kern w:val="0"/>
                <w:sz w:val="22"/>
                <w:highlight w:val="none"/>
              </w:rPr>
            </w:pPr>
          </w:p>
        </w:tc>
        <w:tc>
          <w:tcPr>
            <w:tcW w:w="1560"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6CB4D821">
            <w:pPr>
              <w:widowControl/>
              <w:jc w:val="left"/>
              <w:rPr>
                <w:rFonts w:ascii="宋体" w:hAnsi="宋体" w:cs="宋体"/>
                <w:color w:val="auto"/>
                <w:kern w:val="0"/>
                <w:sz w:val="22"/>
                <w:highlight w:val="none"/>
              </w:rPr>
            </w:pPr>
          </w:p>
        </w:tc>
        <w:tc>
          <w:tcPr>
            <w:tcW w:w="1559"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46A7EE0">
            <w:pPr>
              <w:widowControl/>
              <w:jc w:val="left"/>
              <w:rPr>
                <w:rFonts w:ascii="宋体" w:hAnsi="宋体" w:cs="宋体"/>
                <w:color w:val="auto"/>
                <w:kern w:val="0"/>
                <w:sz w:val="22"/>
                <w:highlight w:val="none"/>
              </w:rPr>
            </w:pPr>
          </w:p>
        </w:tc>
        <w:tc>
          <w:tcPr>
            <w:tcW w:w="1550" w:type="dxa"/>
            <w:vMerge w:val="continue"/>
            <w:tcBorders>
              <w:top w:val="single" w:color="auto" w:sz="4" w:space="0"/>
              <w:left w:val="single" w:color="auto" w:sz="4" w:space="0"/>
              <w:bottom w:val="single" w:color="auto" w:sz="4" w:space="0"/>
              <w:right w:val="single" w:color="auto" w:sz="4" w:space="0"/>
            </w:tcBorders>
            <w:noWrap w:val="0"/>
            <w:vAlign w:val="center"/>
          </w:tcPr>
          <w:p w14:paraId="38E43B34">
            <w:pPr>
              <w:widowControl/>
              <w:jc w:val="left"/>
              <w:rPr>
                <w:rFonts w:ascii="宋体" w:hAnsi="宋体" w:cs="宋体"/>
                <w:color w:val="auto"/>
                <w:kern w:val="0"/>
                <w:sz w:val="22"/>
                <w:highlight w:val="none"/>
              </w:rPr>
            </w:pPr>
          </w:p>
        </w:tc>
      </w:tr>
      <w:tr w14:paraId="7FEE273C">
        <w:tblPrEx>
          <w:tblCellMar>
            <w:top w:w="0" w:type="dxa"/>
            <w:left w:w="108" w:type="dxa"/>
            <w:bottom w:w="0" w:type="dxa"/>
            <w:right w:w="108" w:type="dxa"/>
          </w:tblCellMar>
        </w:tblPrEx>
        <w:trPr>
          <w:trHeight w:val="1118" w:hRule="atLeast"/>
          <w:jc w:val="center"/>
        </w:trPr>
        <w:tc>
          <w:tcPr>
            <w:tcW w:w="1411" w:type="dxa"/>
            <w:tcBorders>
              <w:top w:val="single" w:color="auto" w:sz="4" w:space="0"/>
              <w:left w:val="single" w:color="auto" w:sz="4" w:space="0"/>
              <w:bottom w:val="single" w:color="auto" w:sz="4" w:space="0"/>
              <w:right w:val="single" w:color="auto" w:sz="4" w:space="0"/>
            </w:tcBorders>
            <w:noWrap w:val="0"/>
            <w:vAlign w:val="top"/>
          </w:tcPr>
          <w:p w14:paraId="2C69589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417" w:type="dxa"/>
            <w:tcBorders>
              <w:top w:val="single" w:color="auto" w:sz="4" w:space="0"/>
              <w:left w:val="nil"/>
              <w:bottom w:val="single" w:color="auto" w:sz="4" w:space="0"/>
              <w:right w:val="single" w:color="auto" w:sz="4" w:space="0"/>
            </w:tcBorders>
            <w:noWrap w:val="0"/>
            <w:vAlign w:val="top"/>
          </w:tcPr>
          <w:p w14:paraId="42BCA2C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tcBorders>
              <w:top w:val="single" w:color="auto" w:sz="4" w:space="0"/>
              <w:left w:val="nil"/>
              <w:bottom w:val="single" w:color="auto" w:sz="4" w:space="0"/>
              <w:right w:val="single" w:color="auto" w:sz="4" w:space="0"/>
            </w:tcBorders>
            <w:noWrap w:val="0"/>
            <w:vAlign w:val="top"/>
          </w:tcPr>
          <w:p w14:paraId="07DFFDB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60" w:type="dxa"/>
            <w:gridSpan w:val="3"/>
            <w:tcBorders>
              <w:top w:val="single" w:color="auto" w:sz="4" w:space="0"/>
              <w:left w:val="nil"/>
              <w:bottom w:val="single" w:color="auto" w:sz="4" w:space="0"/>
              <w:right w:val="single" w:color="auto" w:sz="4" w:space="0"/>
            </w:tcBorders>
            <w:noWrap w:val="0"/>
            <w:vAlign w:val="top"/>
          </w:tcPr>
          <w:p w14:paraId="0AD4978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gridSpan w:val="2"/>
            <w:tcBorders>
              <w:top w:val="single" w:color="auto" w:sz="4" w:space="0"/>
              <w:left w:val="nil"/>
              <w:bottom w:val="single" w:color="auto" w:sz="4" w:space="0"/>
              <w:right w:val="single" w:color="auto" w:sz="4" w:space="0"/>
            </w:tcBorders>
            <w:noWrap w:val="0"/>
            <w:vAlign w:val="top"/>
          </w:tcPr>
          <w:p w14:paraId="7900C25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c>
          <w:tcPr>
            <w:tcW w:w="1550" w:type="dxa"/>
            <w:tcBorders>
              <w:top w:val="single" w:color="auto" w:sz="4" w:space="0"/>
              <w:left w:val="nil"/>
              <w:bottom w:val="single" w:color="auto" w:sz="4" w:space="0"/>
              <w:right w:val="single" w:color="auto" w:sz="4" w:space="0"/>
            </w:tcBorders>
            <w:noWrap w:val="0"/>
            <w:vAlign w:val="top"/>
          </w:tcPr>
          <w:p w14:paraId="303C58E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7EA055FC">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4347A983">
      <w:pPr>
        <w:autoSpaceDE w:val="0"/>
        <w:autoSpaceDN w:val="0"/>
        <w:adjustRightInd w:val="0"/>
        <w:spacing w:line="360" w:lineRule="auto"/>
        <w:ind w:left="201" w:leftChars="96"/>
        <w:rPr>
          <w:rFonts w:ascii="宋体" w:hAnsi="宋体"/>
          <w:color w:val="auto"/>
          <w:szCs w:val="21"/>
          <w:highlight w:val="none"/>
        </w:rPr>
      </w:pPr>
    </w:p>
    <w:p w14:paraId="201A9AD2">
      <w:pPr>
        <w:autoSpaceDE w:val="0"/>
        <w:autoSpaceDN w:val="0"/>
        <w:adjustRightInd w:val="0"/>
        <w:spacing w:line="360" w:lineRule="auto"/>
        <w:ind w:left="201" w:leftChars="96"/>
        <w:rPr>
          <w:rFonts w:ascii="宋体" w:hAnsi="宋体"/>
          <w:color w:val="auto"/>
          <w:szCs w:val="21"/>
          <w:highlight w:val="none"/>
        </w:rPr>
        <w:sectPr>
          <w:type w:val="continuous"/>
          <w:pgSz w:w="11906" w:h="16838"/>
          <w:pgMar w:top="720" w:right="720" w:bottom="720" w:left="720" w:header="1418" w:footer="1134" w:gutter="0"/>
          <w:pgNumType w:start="1"/>
          <w:cols w:space="720" w:num="1"/>
          <w:formProt w:val="0"/>
          <w:docGrid w:type="linesAndChars" w:linePitch="312" w:charSpace="0"/>
        </w:sectPr>
      </w:pPr>
    </w:p>
    <w:p w14:paraId="4556B4C6">
      <w:pPr>
        <w:jc w:val="center"/>
        <w:rPr>
          <w:color w:val="auto"/>
          <w:highlight w:val="none"/>
        </w:rPr>
      </w:pP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19825A9F">
      <w:pPr>
        <w:pStyle w:val="28"/>
        <w:spacing w:before="156" w:after="156"/>
        <w:rPr>
          <w:color w:val="auto"/>
          <w:highlight w:val="none"/>
          <w:lang w:val="zh-CN"/>
        </w:rPr>
      </w:pPr>
      <w:r>
        <w:rPr>
          <w:rFonts w:hint="eastAsia"/>
          <w:color w:val="auto"/>
          <w:highlight w:val="none"/>
        </w:rPr>
        <w:t>经济签证单办理程序</w:t>
      </w:r>
    </w:p>
    <w:p w14:paraId="2CA2E145">
      <w:pPr>
        <w:autoSpaceDE w:val="0"/>
        <w:autoSpaceDN w:val="0"/>
        <w:adjustRightInd w:val="0"/>
        <w:spacing w:line="360" w:lineRule="auto"/>
        <w:jc w:val="center"/>
        <w:rPr>
          <w:rFonts w:ascii="宋体" w:hAnsi="宋体"/>
          <w:color w:val="auto"/>
          <w:szCs w:val="21"/>
          <w:highlight w:val="none"/>
        </w:rPr>
      </w:pPr>
      <w:r>
        <w:rPr>
          <w:color w:val="auto"/>
          <w:highlight w:val="none"/>
        </w:rPr>
        <w:drawing>
          <wp:inline distT="0" distB="0" distL="114300" distR="114300">
            <wp:extent cx="5234940" cy="3611880"/>
            <wp:effectExtent l="0" t="0" r="10160" b="7620"/>
            <wp:docPr id="4" name="图片 4" descr="F:\360MoveData\Users\shixiaoli\Documents\Tencent Files\1149962068\nt_qq\nt_data\Pic\2024-10\Ori\b411cad96a6021b6a8d88e7b3603f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360MoveData\Users\shixiaoli\Documents\Tencent Files\1149962068\nt_qq\nt_data\Pic\2024-10\Ori\b411cad96a6021b6a8d88e7b3603f759.png"/>
                    <pic:cNvPicPr>
                      <a:picLocks noChangeAspect="1"/>
                    </pic:cNvPicPr>
                  </pic:nvPicPr>
                  <pic:blipFill>
                    <a:blip r:embed="rId11"/>
                    <a:stretch>
                      <a:fillRect/>
                    </a:stretch>
                  </pic:blipFill>
                  <pic:spPr>
                    <a:xfrm>
                      <a:off x="0" y="0"/>
                      <a:ext cx="5234940" cy="3611880"/>
                    </a:xfrm>
                    <a:prstGeom prst="rect">
                      <a:avLst/>
                    </a:prstGeom>
                    <a:noFill/>
                    <a:ln>
                      <a:noFill/>
                    </a:ln>
                  </pic:spPr>
                </pic:pic>
              </a:graphicData>
            </a:graphic>
          </wp:inline>
        </w:drawing>
      </w:r>
    </w:p>
    <w:p w14:paraId="22980F1F">
      <w:pPr>
        <w:pStyle w:val="24"/>
        <w:ind w:left="3600" w:hanging="3600" w:hangingChars="1200"/>
        <w:jc w:val="both"/>
        <w:rPr>
          <w:color w:val="auto"/>
          <w:highlight w:val="none"/>
        </w:rPr>
      </w:pPr>
      <w:r>
        <w:rPr>
          <w:rFonts w:ascii="Times New Roman" w:eastAsia="仿宋_GB2312"/>
          <w:color w:val="auto"/>
          <w:sz w:val="30"/>
          <w:szCs w:val="30"/>
          <w:highlight w:val="none"/>
        </w:rPr>
        <w:t>附件5：</w:t>
      </w:r>
    </w:p>
    <w:p w14:paraId="06495D45">
      <w:pPr>
        <w:jc w:val="center"/>
        <w:rPr>
          <w:rFonts w:ascii="方正小标宋简体" w:eastAsia="方正小标宋简体"/>
          <w:b/>
          <w:bCs/>
          <w:color w:val="auto"/>
          <w:kern w:val="44"/>
          <w:sz w:val="32"/>
          <w:szCs w:val="32"/>
          <w:highlight w:val="none"/>
        </w:rPr>
      </w:pPr>
      <w:r>
        <w:rPr>
          <w:rFonts w:hint="eastAsia" w:ascii="方正小标宋简体" w:eastAsia="方正小标宋简体"/>
          <w:b/>
          <w:bCs/>
          <w:color w:val="auto"/>
          <w:kern w:val="44"/>
          <w:sz w:val="32"/>
          <w:szCs w:val="32"/>
          <w:highlight w:val="none"/>
        </w:rPr>
        <w:t>工程项目质量管理考核细则</w:t>
      </w:r>
    </w:p>
    <w:p w14:paraId="42AD0D1B">
      <w:pPr>
        <w:pStyle w:val="29"/>
        <w:numPr>
          <w:ilvl w:val="0"/>
          <w:numId w:val="9"/>
        </w:numPr>
        <w:ind w:firstLineChars="0"/>
        <w:rPr>
          <w:b/>
          <w:color w:val="auto"/>
          <w:szCs w:val="21"/>
          <w:highlight w:val="none"/>
        </w:rPr>
      </w:pPr>
      <w:r>
        <w:rPr>
          <w:rFonts w:hint="eastAsia"/>
          <w:b/>
          <w:color w:val="auto"/>
          <w:szCs w:val="21"/>
          <w:highlight w:val="none"/>
        </w:rPr>
        <w:t>目的</w:t>
      </w:r>
    </w:p>
    <w:p w14:paraId="54FC9601">
      <w:pPr>
        <w:ind w:firstLine="420" w:firstLineChars="200"/>
        <w:rPr>
          <w:color w:val="auto"/>
          <w:szCs w:val="21"/>
          <w:highlight w:val="none"/>
        </w:rPr>
      </w:pPr>
      <w:r>
        <w:rPr>
          <w:rFonts w:hint="eastAsia"/>
          <w:color w:val="auto"/>
          <w:szCs w:val="21"/>
          <w:highlight w:val="none"/>
        </w:rPr>
        <w:t>为了加强对工程质量的管理，保证工程质量，进一步明确质量责任和责任追究办法，特制定本制度。</w:t>
      </w:r>
    </w:p>
    <w:p w14:paraId="01E1630A">
      <w:pPr>
        <w:pStyle w:val="29"/>
        <w:numPr>
          <w:ilvl w:val="0"/>
          <w:numId w:val="9"/>
        </w:numPr>
        <w:ind w:firstLineChars="0"/>
        <w:rPr>
          <w:b/>
          <w:color w:val="auto"/>
          <w:szCs w:val="21"/>
          <w:highlight w:val="none"/>
        </w:rPr>
      </w:pPr>
      <w:bookmarkStart w:id="456" w:name="_Toc122791548"/>
      <w:r>
        <w:rPr>
          <w:rFonts w:hint="eastAsia"/>
          <w:b/>
          <w:color w:val="auto"/>
          <w:szCs w:val="21"/>
          <w:highlight w:val="none"/>
        </w:rPr>
        <w:t>适用范围</w:t>
      </w:r>
      <w:bookmarkEnd w:id="456"/>
    </w:p>
    <w:p w14:paraId="48FDE988">
      <w:pPr>
        <w:ind w:firstLine="420" w:firstLineChars="200"/>
        <w:rPr>
          <w:color w:val="auto"/>
          <w:szCs w:val="21"/>
          <w:highlight w:val="none"/>
        </w:rPr>
      </w:pPr>
      <w:r>
        <w:rPr>
          <w:rFonts w:hint="eastAsia"/>
          <w:color w:val="auto"/>
          <w:szCs w:val="21"/>
          <w:highlight w:val="none"/>
        </w:rPr>
        <w:t>本规定的适用于重庆国际复合材料股份有限公司工程项目的施工质量管理，适用对象为承担本工程的各个承包商，适用期为整个工程建设期。</w:t>
      </w:r>
    </w:p>
    <w:p w14:paraId="15EB5AA8">
      <w:pPr>
        <w:pStyle w:val="29"/>
        <w:numPr>
          <w:ilvl w:val="0"/>
          <w:numId w:val="9"/>
        </w:numPr>
        <w:ind w:firstLineChars="0"/>
        <w:rPr>
          <w:b/>
          <w:color w:val="auto"/>
          <w:szCs w:val="21"/>
          <w:highlight w:val="none"/>
        </w:rPr>
      </w:pPr>
      <w:bookmarkStart w:id="457" w:name="_Toc122791549"/>
      <w:r>
        <w:rPr>
          <w:rFonts w:hint="eastAsia"/>
          <w:b/>
          <w:color w:val="auto"/>
          <w:szCs w:val="21"/>
          <w:highlight w:val="none"/>
        </w:rPr>
        <w:t>制定依据</w:t>
      </w:r>
      <w:bookmarkEnd w:id="457"/>
    </w:p>
    <w:p w14:paraId="3E44BB0A">
      <w:pPr>
        <w:ind w:firstLine="420" w:firstLineChars="200"/>
        <w:rPr>
          <w:color w:val="auto"/>
          <w:szCs w:val="21"/>
          <w:highlight w:val="none"/>
        </w:rPr>
      </w:pPr>
      <w:r>
        <w:rPr>
          <w:rFonts w:hint="eastAsia"/>
          <w:color w:val="auto"/>
          <w:szCs w:val="21"/>
          <w:highlight w:val="none"/>
        </w:rPr>
        <w:t>本规定的制定依据为《中华人民共和国建筑法》、《建设工程质量管理条例》、国家标准和行业规范、施工承包商签订的《施工承包合同》。</w:t>
      </w:r>
    </w:p>
    <w:p w14:paraId="02EECF1D">
      <w:pPr>
        <w:pStyle w:val="29"/>
        <w:numPr>
          <w:ilvl w:val="0"/>
          <w:numId w:val="9"/>
        </w:numPr>
        <w:ind w:firstLineChars="0"/>
        <w:rPr>
          <w:b/>
          <w:color w:val="auto"/>
          <w:szCs w:val="21"/>
          <w:highlight w:val="none"/>
        </w:rPr>
      </w:pPr>
      <w:bookmarkStart w:id="458" w:name="_Toc122791550"/>
      <w:r>
        <w:rPr>
          <w:rFonts w:hint="eastAsia"/>
          <w:b/>
          <w:color w:val="auto"/>
          <w:szCs w:val="21"/>
          <w:highlight w:val="none"/>
        </w:rPr>
        <w:t>《建设工程质量管理条例》相关条文</w:t>
      </w:r>
      <w:bookmarkEnd w:id="458"/>
    </w:p>
    <w:p w14:paraId="5F0F4032">
      <w:pPr>
        <w:ind w:firstLine="420" w:firstLineChars="200"/>
        <w:rPr>
          <w:color w:val="auto"/>
          <w:szCs w:val="21"/>
          <w:highlight w:val="none"/>
        </w:rPr>
      </w:pPr>
      <w:r>
        <w:rPr>
          <w:rFonts w:hint="eastAsia"/>
          <w:color w:val="auto"/>
          <w:szCs w:val="21"/>
          <w:highlight w:val="none"/>
        </w:rPr>
        <w:t>本部分引用《建设工程质量管理条例》关于施工承包商的质量责任和义务部分的原条文。</w:t>
      </w:r>
    </w:p>
    <w:p w14:paraId="29F5FD0F">
      <w:pPr>
        <w:rPr>
          <w:color w:val="auto"/>
          <w:szCs w:val="21"/>
          <w:highlight w:val="none"/>
        </w:rPr>
      </w:pPr>
      <w:r>
        <w:rPr>
          <w:rFonts w:hint="eastAsia"/>
          <w:color w:val="auto"/>
          <w:szCs w:val="21"/>
          <w:highlight w:val="none"/>
        </w:rPr>
        <w:t>4.1 施工单位不得转包或者违法分包工程。</w:t>
      </w:r>
    </w:p>
    <w:p w14:paraId="7503D507">
      <w:pPr>
        <w:rPr>
          <w:color w:val="auto"/>
          <w:szCs w:val="21"/>
          <w:highlight w:val="none"/>
        </w:rPr>
      </w:pPr>
      <w:r>
        <w:rPr>
          <w:rFonts w:hint="eastAsia"/>
          <w:color w:val="auto"/>
          <w:szCs w:val="21"/>
          <w:highlight w:val="none"/>
        </w:rPr>
        <w:t>4.2施工单位必须按照工程设计图纸和施工技术标准施工，不得擅自修改工程设计，不得偷工减料。</w:t>
      </w:r>
    </w:p>
    <w:p w14:paraId="04BC5369">
      <w:pPr>
        <w:rPr>
          <w:color w:val="auto"/>
          <w:szCs w:val="21"/>
          <w:highlight w:val="none"/>
        </w:rPr>
      </w:pPr>
      <w:r>
        <w:rPr>
          <w:rFonts w:hint="eastAsia"/>
          <w:color w:val="auto"/>
          <w:szCs w:val="21"/>
          <w:highlight w:val="none"/>
        </w:rPr>
        <w:t>4.3施工单位在施工过程中发现设计文件和图纸有差错的，应当及时提出意见和建议。</w:t>
      </w:r>
    </w:p>
    <w:p w14:paraId="3D66F38F">
      <w:pPr>
        <w:rPr>
          <w:color w:val="auto"/>
          <w:szCs w:val="21"/>
          <w:highlight w:val="none"/>
        </w:rPr>
      </w:pPr>
      <w:r>
        <w:rPr>
          <w:rFonts w:hint="eastAsia"/>
          <w:color w:val="auto"/>
          <w:szCs w:val="21"/>
          <w:highlight w:val="none"/>
        </w:rPr>
        <w:t>4.4施工单位必须按照工程设计要求、施工技术标准和合同约定，对建筑材料、建筑构配件、 设备和自拌混凝土进行检验、检验应当有书面记录和专人签字；未经检验和检验不合格的，不得使用。</w:t>
      </w:r>
    </w:p>
    <w:p w14:paraId="7E984662">
      <w:pPr>
        <w:rPr>
          <w:color w:val="auto"/>
          <w:szCs w:val="21"/>
          <w:highlight w:val="none"/>
        </w:rPr>
      </w:pPr>
      <w:r>
        <w:rPr>
          <w:rFonts w:hint="eastAsia"/>
          <w:color w:val="auto"/>
          <w:szCs w:val="21"/>
          <w:highlight w:val="none"/>
        </w:rPr>
        <w:t>4.5施工单位必须建立、健全施工质量检验制度，严格工序管理，作好隐蔽工程的质量检查和记录。隐蔽工程在隐蔽前，施工单位应当通知监理单位、建设单位。</w:t>
      </w:r>
    </w:p>
    <w:p w14:paraId="5A845398">
      <w:pPr>
        <w:rPr>
          <w:color w:val="auto"/>
          <w:szCs w:val="21"/>
          <w:highlight w:val="none"/>
        </w:rPr>
      </w:pPr>
      <w:r>
        <w:rPr>
          <w:rFonts w:hint="eastAsia"/>
          <w:color w:val="auto"/>
          <w:szCs w:val="21"/>
          <w:highlight w:val="none"/>
        </w:rPr>
        <w:t>4.6施工人员对涉及结构安全的试块、试件以及有关材料，应当在建设单位或者工程监理单位监督下现场取样，并送具有相应资质等级的质量检测单位进行检测。</w:t>
      </w:r>
    </w:p>
    <w:p w14:paraId="7F04F1BA">
      <w:pPr>
        <w:rPr>
          <w:color w:val="auto"/>
          <w:szCs w:val="21"/>
          <w:highlight w:val="none"/>
        </w:rPr>
      </w:pPr>
      <w:r>
        <w:rPr>
          <w:rFonts w:hint="eastAsia"/>
          <w:color w:val="auto"/>
          <w:szCs w:val="21"/>
          <w:highlight w:val="none"/>
        </w:rPr>
        <w:t>4.7施工单位对施工中出现质量问题的建设工程或者竣工验收不合格的建设工程，应当负责返修。</w:t>
      </w:r>
    </w:p>
    <w:p w14:paraId="1EA3FAC7">
      <w:pPr>
        <w:rPr>
          <w:color w:val="auto"/>
          <w:szCs w:val="21"/>
          <w:highlight w:val="none"/>
        </w:rPr>
      </w:pPr>
      <w:r>
        <w:rPr>
          <w:rFonts w:hint="eastAsia"/>
          <w:color w:val="auto"/>
          <w:szCs w:val="21"/>
          <w:highlight w:val="none"/>
        </w:rPr>
        <w:t>4.8施工单位应当建立、健全质量教育培训制度，坚持对职工的质量教育培训；未经质量教育培训或者考核不合格的人员，不得上岗作业。</w:t>
      </w:r>
    </w:p>
    <w:p w14:paraId="5C9DAFDA">
      <w:pPr>
        <w:pStyle w:val="29"/>
        <w:numPr>
          <w:ilvl w:val="0"/>
          <w:numId w:val="9"/>
        </w:numPr>
        <w:ind w:firstLineChars="0"/>
        <w:rPr>
          <w:b/>
          <w:color w:val="auto"/>
          <w:szCs w:val="21"/>
          <w:highlight w:val="none"/>
        </w:rPr>
      </w:pPr>
      <w:bookmarkStart w:id="459" w:name="_Toc122791551"/>
      <w:r>
        <w:rPr>
          <w:rFonts w:hint="eastAsia"/>
          <w:b/>
          <w:color w:val="auto"/>
          <w:szCs w:val="21"/>
          <w:highlight w:val="none"/>
        </w:rPr>
        <w:t>对施工承包商的质量责任和义务的解释和扩充</w:t>
      </w:r>
      <w:bookmarkEnd w:id="459"/>
    </w:p>
    <w:p w14:paraId="4606006D">
      <w:pPr>
        <w:rPr>
          <w:color w:val="auto"/>
          <w:szCs w:val="21"/>
          <w:highlight w:val="none"/>
        </w:rPr>
      </w:pPr>
      <w:r>
        <w:rPr>
          <w:rFonts w:hint="eastAsia"/>
          <w:color w:val="auto"/>
          <w:szCs w:val="21"/>
          <w:highlight w:val="none"/>
        </w:rPr>
        <w:t>5.1  施工分包商在隐蔽工程隐蔽前应提前48小时通监理单位（或建设单位）。</w:t>
      </w:r>
    </w:p>
    <w:p w14:paraId="788D2053">
      <w:pPr>
        <w:rPr>
          <w:color w:val="auto"/>
          <w:szCs w:val="21"/>
          <w:highlight w:val="none"/>
        </w:rPr>
      </w:pPr>
      <w:r>
        <w:rPr>
          <w:rFonts w:hint="eastAsia"/>
          <w:color w:val="auto"/>
          <w:szCs w:val="21"/>
          <w:highlight w:val="none"/>
        </w:rPr>
        <w:t>5.2  施工分包商必须健全质量管理组织机构，每个专业都必须配备足够的专职质量监督人员，管理人员要持证上岗，要切实保证各专业人员到位。</w:t>
      </w:r>
    </w:p>
    <w:p w14:paraId="4ED40EA8">
      <w:pPr>
        <w:rPr>
          <w:color w:val="auto"/>
          <w:szCs w:val="21"/>
          <w:highlight w:val="none"/>
        </w:rPr>
      </w:pPr>
      <w:r>
        <w:rPr>
          <w:rFonts w:hint="eastAsia"/>
          <w:color w:val="auto"/>
          <w:szCs w:val="21"/>
          <w:highlight w:val="none"/>
        </w:rPr>
        <w:t>5.3  针对4.8条的扩充为，本工程现场施工人员必须经过质量培训并通过考试，才能上岗。特殊作业人员要持政府部门颁发的有效上岗证才能上岗。</w:t>
      </w:r>
    </w:p>
    <w:p w14:paraId="16469A0C">
      <w:pPr>
        <w:rPr>
          <w:color w:val="auto"/>
          <w:szCs w:val="21"/>
          <w:highlight w:val="none"/>
        </w:rPr>
      </w:pPr>
      <w:r>
        <w:rPr>
          <w:rFonts w:hint="eastAsia"/>
          <w:color w:val="auto"/>
          <w:szCs w:val="21"/>
          <w:highlight w:val="none"/>
        </w:rPr>
        <w:t>5.4  在每个专业的施工准备阶段，各承包商都要将测量仪器送有校验资质的单位进行校验，保证测量仪器准确。并将校验证书报监理部备案。</w:t>
      </w:r>
    </w:p>
    <w:p w14:paraId="6357D54C">
      <w:pPr>
        <w:rPr>
          <w:color w:val="auto"/>
          <w:szCs w:val="21"/>
          <w:highlight w:val="none"/>
        </w:rPr>
      </w:pPr>
      <w:r>
        <w:rPr>
          <w:rFonts w:hint="eastAsia"/>
          <w:color w:val="auto"/>
          <w:szCs w:val="21"/>
          <w:highlight w:val="none"/>
        </w:rPr>
        <w:t xml:space="preserve">5.5  凡由施工承包商采购的材料、设备等，在采购订货前应向建设单位、监理单位申报，在建设单位确认后方可进行采购。 </w:t>
      </w:r>
    </w:p>
    <w:p w14:paraId="08EF75ED">
      <w:pPr>
        <w:rPr>
          <w:color w:val="auto"/>
          <w:szCs w:val="21"/>
          <w:highlight w:val="none"/>
        </w:rPr>
      </w:pPr>
      <w:r>
        <w:rPr>
          <w:rFonts w:hint="eastAsia"/>
          <w:color w:val="auto"/>
          <w:szCs w:val="21"/>
          <w:highlight w:val="none"/>
        </w:rPr>
        <w:t>5.6  凡运到施工现场的原材料、半成品或构配件，应有产品合格证或技术说明书、试验报告，并由施工单位按规范要求进行检验，向建设单位、监理工程师提出检验或试验报告，确认质量合格后，方可使用。</w:t>
      </w:r>
    </w:p>
    <w:p w14:paraId="09C3C454">
      <w:pPr>
        <w:rPr>
          <w:color w:val="auto"/>
          <w:szCs w:val="21"/>
          <w:highlight w:val="none"/>
        </w:rPr>
      </w:pPr>
      <w:r>
        <w:rPr>
          <w:rFonts w:hint="eastAsia"/>
          <w:color w:val="auto"/>
          <w:szCs w:val="21"/>
          <w:highlight w:val="none"/>
        </w:rPr>
        <w:t>5.7  设备、材料的存放必须进行可靠保护，要保证设备和材料不受损坏。</w:t>
      </w:r>
    </w:p>
    <w:p w14:paraId="29A5987B">
      <w:pPr>
        <w:rPr>
          <w:color w:val="auto"/>
          <w:szCs w:val="21"/>
          <w:highlight w:val="none"/>
        </w:rPr>
      </w:pPr>
      <w:r>
        <w:rPr>
          <w:rFonts w:hint="eastAsia"/>
          <w:color w:val="auto"/>
          <w:szCs w:val="21"/>
          <w:highlight w:val="none"/>
        </w:rPr>
        <w:t>5.8  重大施工作业前，施工单位必须编制作业指导书（或施工方案），并提前7天上报建设或监理方审核，作业指导书或施工方案未经批准前不得进行该部分的施工，批准后的作业指导书在施工前要进行技术交底，并有技术交底记录。</w:t>
      </w:r>
    </w:p>
    <w:p w14:paraId="5AE99A78">
      <w:pPr>
        <w:rPr>
          <w:color w:val="auto"/>
          <w:szCs w:val="21"/>
          <w:highlight w:val="none"/>
        </w:rPr>
      </w:pPr>
      <w:r>
        <w:rPr>
          <w:rFonts w:hint="eastAsia"/>
          <w:color w:val="auto"/>
          <w:szCs w:val="21"/>
          <w:highlight w:val="none"/>
        </w:rPr>
        <w:t>5.9  《施工方案》经审核、审批、正式出版后，作为建设单位、监理单位监督管理的依据，现场施工必须按照施工方案中描述的措施和工艺进行施工。</w:t>
      </w:r>
    </w:p>
    <w:p w14:paraId="12F37FAD">
      <w:pPr>
        <w:rPr>
          <w:color w:val="auto"/>
          <w:szCs w:val="21"/>
          <w:highlight w:val="none"/>
        </w:rPr>
      </w:pPr>
      <w:r>
        <w:rPr>
          <w:rFonts w:hint="eastAsia"/>
          <w:color w:val="auto"/>
          <w:szCs w:val="21"/>
          <w:highlight w:val="none"/>
        </w:rPr>
        <w:t>5.10  单位工程开工前，施工单位必须按开工报告要求完成准备工作，向建设单位或监理单位提交开工申请。单位工程完工且自检查合格达到报验条件后，施工单位必须提前24小时准备好相关材料，向建设单位提交单位工程验收申请。</w:t>
      </w:r>
    </w:p>
    <w:p w14:paraId="1F21EE85">
      <w:pPr>
        <w:rPr>
          <w:color w:val="auto"/>
          <w:szCs w:val="21"/>
          <w:highlight w:val="none"/>
        </w:rPr>
      </w:pPr>
      <w:r>
        <w:rPr>
          <w:rFonts w:hint="eastAsia"/>
          <w:color w:val="auto"/>
          <w:szCs w:val="21"/>
          <w:highlight w:val="none"/>
        </w:rPr>
        <w:t>5.11  对主要的工序交接作业，办理工序交接签证，不得在未办理工序交接手续前进行下道工序。施工过程的的检查验收要严格按照各专业的“验评项目划分表执行”，施工单位要严格执行质量验收制度，上一级质检员未自检，无施工记录、自检记录，不得通知下一级质检。</w:t>
      </w:r>
    </w:p>
    <w:p w14:paraId="7401B5C1">
      <w:pPr>
        <w:rPr>
          <w:color w:val="auto"/>
          <w:szCs w:val="21"/>
          <w:highlight w:val="none"/>
        </w:rPr>
      </w:pPr>
      <w:r>
        <w:rPr>
          <w:rFonts w:hint="eastAsia"/>
          <w:color w:val="auto"/>
          <w:szCs w:val="21"/>
          <w:highlight w:val="none"/>
        </w:rPr>
        <w:t>5.1</w:t>
      </w:r>
      <w:r>
        <w:rPr>
          <w:color w:val="auto"/>
          <w:szCs w:val="21"/>
          <w:highlight w:val="none"/>
        </w:rPr>
        <w:t>2</w:t>
      </w:r>
      <w:r>
        <w:rPr>
          <w:rFonts w:hint="eastAsia"/>
          <w:color w:val="auto"/>
          <w:szCs w:val="21"/>
          <w:highlight w:val="none"/>
        </w:rPr>
        <w:t>成品保护措施</w:t>
      </w:r>
    </w:p>
    <w:p w14:paraId="106117F8">
      <w:pPr>
        <w:pStyle w:val="29"/>
        <w:ind w:firstLine="0" w:firstLineChars="0"/>
        <w:rPr>
          <w:color w:val="auto"/>
          <w:szCs w:val="21"/>
          <w:highlight w:val="none"/>
        </w:rPr>
      </w:pPr>
      <w:r>
        <w:rPr>
          <w:rFonts w:hint="eastAsia"/>
          <w:color w:val="auto"/>
          <w:szCs w:val="21"/>
          <w:highlight w:val="none"/>
        </w:rPr>
        <w:t>5.12.1施工单位在成品保护管理上应实行项目经理负责制，各班组、各技术专业组、各职能人员应明确职责，分工负责，各专业队或作业班组必须配备认真负责的专职或兼职的成品保护专管员。</w:t>
      </w:r>
    </w:p>
    <w:p w14:paraId="63421CFC">
      <w:pPr>
        <w:pStyle w:val="29"/>
        <w:ind w:firstLine="0" w:firstLineChars="0"/>
        <w:rPr>
          <w:color w:val="auto"/>
          <w:szCs w:val="21"/>
          <w:highlight w:val="none"/>
        </w:rPr>
      </w:pPr>
      <w:r>
        <w:rPr>
          <w:rFonts w:hint="eastAsia"/>
          <w:color w:val="auto"/>
          <w:szCs w:val="21"/>
          <w:highlight w:val="none"/>
        </w:rPr>
        <w:t>5.12.2各施工单位应建立健全成品保护工作体系，严格执行本单位的工程施工安装产品保护程序，在安排施工生产的同时明确成品保护的基本要求和重点，对成品保护措施纳入技术交底。</w:t>
      </w:r>
    </w:p>
    <w:p w14:paraId="57956E6D">
      <w:pPr>
        <w:pStyle w:val="29"/>
        <w:ind w:firstLine="0" w:firstLineChars="0"/>
        <w:rPr>
          <w:color w:val="auto"/>
          <w:szCs w:val="21"/>
          <w:highlight w:val="none"/>
        </w:rPr>
      </w:pPr>
      <w:r>
        <w:rPr>
          <w:rFonts w:hint="eastAsia"/>
          <w:color w:val="auto"/>
          <w:szCs w:val="21"/>
          <w:highlight w:val="none"/>
        </w:rPr>
        <w:t>5.12.3各施工单位应加强成品保护的宣传教育，使有关人员明白做好成品保护是满足施工正常进行的必要条件和维护职业道德的基本要求。</w:t>
      </w:r>
    </w:p>
    <w:p w14:paraId="37893839">
      <w:pPr>
        <w:pStyle w:val="29"/>
        <w:ind w:firstLine="0" w:firstLineChars="0"/>
        <w:rPr>
          <w:color w:val="auto"/>
          <w:szCs w:val="21"/>
          <w:highlight w:val="none"/>
        </w:rPr>
      </w:pPr>
      <w:r>
        <w:rPr>
          <w:rFonts w:hint="eastAsia"/>
          <w:color w:val="auto"/>
          <w:szCs w:val="21"/>
          <w:highlight w:val="none"/>
        </w:rPr>
        <w:t>5.12.4工序全部或部分完成后，本工序施工责任单位应设立醒目明确的标识，警戒、围挡等措施，涉及安全风险的还应做好安全防护。</w:t>
      </w:r>
    </w:p>
    <w:p w14:paraId="1A63C931">
      <w:pPr>
        <w:pStyle w:val="29"/>
        <w:ind w:firstLine="0" w:firstLineChars="0"/>
        <w:rPr>
          <w:color w:val="auto"/>
          <w:szCs w:val="21"/>
          <w:highlight w:val="none"/>
        </w:rPr>
      </w:pPr>
      <w:r>
        <w:rPr>
          <w:rFonts w:hint="eastAsia"/>
          <w:color w:val="auto"/>
          <w:szCs w:val="21"/>
          <w:highlight w:val="none"/>
        </w:rPr>
        <w:t>5.12.5其他相邻施工单位不得随意拆除、破坏成品保护标识、警戒、围挡，应严格按照设置标识妥善保护已完工程。</w:t>
      </w:r>
    </w:p>
    <w:p w14:paraId="050946DD">
      <w:pPr>
        <w:pStyle w:val="29"/>
        <w:ind w:firstLine="0" w:firstLineChars="0"/>
        <w:rPr>
          <w:color w:val="auto"/>
          <w:szCs w:val="21"/>
          <w:highlight w:val="none"/>
        </w:rPr>
      </w:pPr>
      <w:r>
        <w:rPr>
          <w:rFonts w:hint="eastAsia"/>
          <w:color w:val="auto"/>
          <w:szCs w:val="21"/>
          <w:highlight w:val="none"/>
        </w:rPr>
        <w:t>5.12.6已完工程施工单位应加大成品保护工作的监督力度，落实好成品保护措施的有效性，及时发现和制止成品损坏的行为。</w:t>
      </w:r>
    </w:p>
    <w:p w14:paraId="3CF0BE0E">
      <w:pPr>
        <w:pStyle w:val="29"/>
        <w:ind w:firstLine="0" w:firstLineChars="0"/>
        <w:rPr>
          <w:color w:val="auto"/>
          <w:szCs w:val="21"/>
          <w:highlight w:val="none"/>
        </w:rPr>
      </w:pPr>
      <w:r>
        <w:rPr>
          <w:rFonts w:hint="eastAsia"/>
          <w:color w:val="auto"/>
          <w:szCs w:val="21"/>
          <w:highlight w:val="none"/>
        </w:rPr>
        <w:t>5.12.7施工单位内部和各施工单位存在工序交接时，应组织办理书面的成品保护交接手续。</w:t>
      </w:r>
    </w:p>
    <w:p w14:paraId="214E6CCF">
      <w:pPr>
        <w:pStyle w:val="29"/>
        <w:numPr>
          <w:ilvl w:val="0"/>
          <w:numId w:val="9"/>
        </w:numPr>
        <w:ind w:firstLineChars="0"/>
        <w:rPr>
          <w:b/>
          <w:color w:val="auto"/>
          <w:szCs w:val="21"/>
          <w:highlight w:val="none"/>
        </w:rPr>
      </w:pPr>
      <w:bookmarkStart w:id="460" w:name="_Toc122791553"/>
      <w:r>
        <w:rPr>
          <w:rFonts w:hint="eastAsia"/>
          <w:b/>
          <w:color w:val="auto"/>
          <w:szCs w:val="21"/>
          <w:highlight w:val="none"/>
        </w:rPr>
        <w:t>质量问题（事故）处理程序</w:t>
      </w:r>
      <w:bookmarkEnd w:id="460"/>
    </w:p>
    <w:p w14:paraId="1A3BBA9B">
      <w:pPr>
        <w:pStyle w:val="29"/>
        <w:numPr>
          <w:ilvl w:val="1"/>
          <w:numId w:val="9"/>
        </w:numPr>
        <w:ind w:firstLineChars="0"/>
        <w:rPr>
          <w:color w:val="auto"/>
          <w:szCs w:val="21"/>
          <w:highlight w:val="none"/>
        </w:rPr>
      </w:pPr>
      <w:r>
        <w:rPr>
          <w:rFonts w:hint="eastAsia"/>
          <w:color w:val="auto"/>
          <w:szCs w:val="21"/>
          <w:highlight w:val="none"/>
        </w:rPr>
        <w:t>施工单位在施工过程，如模板拆除等工作中，如果发现质量缺陷（包括甲供材料、构配件、设备等等），必须立刻报建设或监理方，不许私自隐蔽。</w:t>
      </w:r>
    </w:p>
    <w:p w14:paraId="33D8A905">
      <w:pPr>
        <w:pStyle w:val="29"/>
        <w:numPr>
          <w:ilvl w:val="1"/>
          <w:numId w:val="9"/>
        </w:numPr>
        <w:ind w:firstLineChars="0"/>
        <w:rPr>
          <w:color w:val="auto"/>
          <w:szCs w:val="21"/>
          <w:highlight w:val="none"/>
        </w:rPr>
      </w:pPr>
      <w:r>
        <w:rPr>
          <w:rFonts w:hint="eastAsia"/>
          <w:color w:val="auto"/>
          <w:szCs w:val="21"/>
          <w:highlight w:val="none"/>
        </w:rPr>
        <w:t>质量缺陷、质量问题、质量事故发生后，施工单位应停止与其有关部位的施工，并通知建设或监理单位。施工承包商立即进行质量事故的调查，写出调查分析报告并制定出处理方案。</w:t>
      </w:r>
    </w:p>
    <w:p w14:paraId="21386DA3">
      <w:pPr>
        <w:pStyle w:val="29"/>
        <w:numPr>
          <w:ilvl w:val="1"/>
          <w:numId w:val="9"/>
        </w:numPr>
        <w:ind w:firstLineChars="0"/>
        <w:rPr>
          <w:color w:val="auto"/>
          <w:szCs w:val="21"/>
          <w:highlight w:val="none"/>
        </w:rPr>
      </w:pPr>
      <w:r>
        <w:rPr>
          <w:rFonts w:hint="eastAsia"/>
          <w:color w:val="auto"/>
          <w:szCs w:val="21"/>
          <w:highlight w:val="none"/>
        </w:rPr>
        <w:t>质量缺陷处理完毕后，施工单位应组织监理和建设单位人员对处理的结果进行严格的鉴定和验收，写出事故处理报告，提交建设单位。</w:t>
      </w:r>
    </w:p>
    <w:p w14:paraId="0D12C31F">
      <w:pPr>
        <w:pStyle w:val="29"/>
        <w:numPr>
          <w:ilvl w:val="0"/>
          <w:numId w:val="9"/>
        </w:numPr>
        <w:ind w:firstLineChars="0"/>
        <w:rPr>
          <w:b/>
          <w:color w:val="auto"/>
          <w:szCs w:val="21"/>
          <w:highlight w:val="none"/>
        </w:rPr>
      </w:pPr>
      <w:r>
        <w:rPr>
          <w:rFonts w:hint="eastAsia"/>
          <w:b/>
          <w:color w:val="auto"/>
          <w:szCs w:val="21"/>
          <w:highlight w:val="none"/>
        </w:rPr>
        <w:t>考核的实施</w:t>
      </w:r>
    </w:p>
    <w:p w14:paraId="72E3FF86">
      <w:pPr>
        <w:ind w:firstLine="420" w:firstLineChars="200"/>
        <w:rPr>
          <w:color w:val="auto"/>
          <w:szCs w:val="21"/>
          <w:highlight w:val="none"/>
        </w:rPr>
      </w:pPr>
      <w:r>
        <w:rPr>
          <w:rFonts w:hint="eastAsia"/>
          <w:color w:val="auto"/>
          <w:szCs w:val="21"/>
          <w:highlight w:val="none"/>
        </w:rPr>
        <w:t>承包商违反相应的质量管理程序和规范要求，建设单位根据本规定作出考核的，由建设单位指定人员将违约通知单以书面的形式（纸质或电子邮件均可）通知到承包商，承包商在收到违约单起五个工作日内如有异议可书面回复，建设单位根据回复判定是否撤销原违约单。承包商有异议的根据合同争议条款进行处理。</w:t>
      </w:r>
    </w:p>
    <w:p w14:paraId="309195B9">
      <w:pPr>
        <w:ind w:firstLine="420" w:firstLineChars="200"/>
        <w:rPr>
          <w:color w:val="auto"/>
          <w:szCs w:val="21"/>
          <w:highlight w:val="none"/>
        </w:rPr>
      </w:pPr>
      <w:r>
        <w:rPr>
          <w:rFonts w:hint="eastAsia"/>
          <w:color w:val="auto"/>
          <w:szCs w:val="21"/>
          <w:highlight w:val="none"/>
        </w:rPr>
        <w:t xml:space="preserve">生效的工程质量考核单由施工单位签字盖章后由工程造价管理人员在当期工程进度款中扣除， </w:t>
      </w:r>
    </w:p>
    <w:p w14:paraId="11F5C86A">
      <w:pPr>
        <w:pStyle w:val="29"/>
        <w:numPr>
          <w:ilvl w:val="0"/>
          <w:numId w:val="9"/>
        </w:numPr>
        <w:ind w:firstLineChars="0"/>
        <w:rPr>
          <w:b/>
          <w:color w:val="auto"/>
          <w:szCs w:val="21"/>
          <w:highlight w:val="none"/>
        </w:rPr>
      </w:pPr>
      <w:r>
        <w:rPr>
          <w:rFonts w:hint="eastAsia"/>
          <w:b/>
          <w:color w:val="auto"/>
          <w:szCs w:val="21"/>
          <w:highlight w:val="none"/>
        </w:rPr>
        <w:t>工程质量考核标准见附表1</w:t>
      </w:r>
    </w:p>
    <w:tbl>
      <w:tblPr>
        <w:tblStyle w:val="13"/>
        <w:tblW w:w="0" w:type="auto"/>
        <w:tblInd w:w="108" w:type="dxa"/>
        <w:tblLayout w:type="fixed"/>
        <w:tblCellMar>
          <w:top w:w="0" w:type="dxa"/>
          <w:left w:w="108" w:type="dxa"/>
          <w:bottom w:w="0" w:type="dxa"/>
          <w:right w:w="108" w:type="dxa"/>
        </w:tblCellMar>
      </w:tblPr>
      <w:tblGrid>
        <w:gridCol w:w="851"/>
        <w:gridCol w:w="1069"/>
        <w:gridCol w:w="4459"/>
        <w:gridCol w:w="1985"/>
      </w:tblGrid>
      <w:tr w14:paraId="039EA775">
        <w:tblPrEx>
          <w:tblCellMar>
            <w:top w:w="0" w:type="dxa"/>
            <w:left w:w="108" w:type="dxa"/>
            <w:bottom w:w="0" w:type="dxa"/>
            <w:right w:w="108" w:type="dxa"/>
          </w:tblCellMar>
        </w:tblPrEx>
        <w:trPr>
          <w:trHeight w:val="996" w:hRule="atLeast"/>
        </w:trPr>
        <w:tc>
          <w:tcPr>
            <w:tcW w:w="8364" w:type="dxa"/>
            <w:gridSpan w:val="4"/>
            <w:tcBorders>
              <w:top w:val="nil"/>
              <w:left w:val="nil"/>
              <w:bottom w:val="nil"/>
              <w:right w:val="nil"/>
            </w:tcBorders>
            <w:noWrap w:val="0"/>
            <w:vAlign w:val="bottom"/>
          </w:tcPr>
          <w:p w14:paraId="2ECC555B">
            <w:pPr>
              <w:pStyle w:val="29"/>
              <w:numPr>
                <w:ilvl w:val="0"/>
                <w:numId w:val="9"/>
              </w:numPr>
              <w:ind w:firstLineChars="0"/>
              <w:rPr>
                <w:b/>
                <w:color w:val="auto"/>
                <w:szCs w:val="21"/>
                <w:highlight w:val="none"/>
              </w:rPr>
            </w:pPr>
            <w:r>
              <w:rPr>
                <w:rFonts w:hint="eastAsia"/>
                <w:b/>
                <w:color w:val="auto"/>
                <w:szCs w:val="21"/>
                <w:highlight w:val="none"/>
              </w:rPr>
              <w:t>违约单见附表2</w:t>
            </w:r>
          </w:p>
          <w:p w14:paraId="2F66D266">
            <w:pPr>
              <w:widowControl/>
              <w:jc w:val="left"/>
              <w:rPr>
                <w:rFonts w:ascii="等线" w:hAnsi="等线" w:eastAsia="等线" w:cs="宋体"/>
                <w:color w:val="auto"/>
                <w:kern w:val="0"/>
                <w:sz w:val="22"/>
                <w:highlight w:val="none"/>
              </w:rPr>
            </w:pPr>
          </w:p>
          <w:p w14:paraId="040BD216">
            <w:pPr>
              <w:widowControl/>
              <w:jc w:val="left"/>
              <w:rPr>
                <w:rFonts w:ascii="等线" w:hAnsi="等线" w:eastAsia="等线" w:cs="宋体"/>
                <w:color w:val="auto"/>
                <w:kern w:val="0"/>
                <w:sz w:val="22"/>
                <w:highlight w:val="none"/>
              </w:rPr>
            </w:pPr>
          </w:p>
          <w:p w14:paraId="47384E36">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附表1</w:t>
            </w:r>
          </w:p>
          <w:p w14:paraId="59BA410A">
            <w:pPr>
              <w:widowControl/>
              <w:ind w:firstLine="560" w:firstLineChars="200"/>
              <w:jc w:val="center"/>
              <w:rPr>
                <w:rFonts w:ascii="等线" w:hAnsi="等线" w:eastAsia="等线" w:cs="宋体"/>
                <w:color w:val="auto"/>
                <w:kern w:val="0"/>
                <w:sz w:val="28"/>
                <w:szCs w:val="28"/>
                <w:highlight w:val="none"/>
              </w:rPr>
            </w:pPr>
            <w:r>
              <w:rPr>
                <w:rFonts w:hint="eastAsia"/>
                <w:color w:val="auto"/>
                <w:sz w:val="28"/>
                <w:szCs w:val="28"/>
                <w:highlight w:val="none"/>
              </w:rPr>
              <w:t>工程质量考核标准</w:t>
            </w:r>
          </w:p>
          <w:p w14:paraId="7FA8E0D1">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 xml:space="preserve"> 说明：考核标准为每次或每项扣罚标准，单位为人民币。扣罚不能免除施工单位修复、施工至合格以及由此造成的直接损失和工期延误而带来的间接损失。</w:t>
            </w:r>
          </w:p>
        </w:tc>
      </w:tr>
      <w:tr w14:paraId="4B6DA303">
        <w:tblPrEx>
          <w:tblCellMar>
            <w:top w:w="0" w:type="dxa"/>
            <w:left w:w="108" w:type="dxa"/>
            <w:bottom w:w="0" w:type="dxa"/>
            <w:right w:w="108" w:type="dxa"/>
          </w:tblCellMar>
        </w:tblPrEx>
        <w:trPr>
          <w:trHeight w:val="276" w:hRule="atLeast"/>
        </w:trPr>
        <w:tc>
          <w:tcPr>
            <w:tcW w:w="851" w:type="dxa"/>
            <w:tcBorders>
              <w:top w:val="single" w:color="auto" w:sz="4" w:space="0"/>
              <w:left w:val="single" w:color="auto" w:sz="4" w:space="0"/>
              <w:bottom w:val="single" w:color="auto" w:sz="4" w:space="0"/>
              <w:right w:val="single" w:color="auto" w:sz="4" w:space="0"/>
            </w:tcBorders>
            <w:noWrap w:val="0"/>
            <w:vAlign w:val="center"/>
          </w:tcPr>
          <w:p w14:paraId="20BEF2F1">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序号</w:t>
            </w:r>
          </w:p>
        </w:tc>
        <w:tc>
          <w:tcPr>
            <w:tcW w:w="1069" w:type="dxa"/>
            <w:tcBorders>
              <w:top w:val="single" w:color="auto" w:sz="4" w:space="0"/>
              <w:left w:val="nil"/>
              <w:bottom w:val="single" w:color="auto" w:sz="4" w:space="0"/>
              <w:right w:val="single" w:color="auto" w:sz="4" w:space="0"/>
            </w:tcBorders>
            <w:noWrap w:val="0"/>
            <w:vAlign w:val="center"/>
          </w:tcPr>
          <w:p w14:paraId="0B637FA3">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类别</w:t>
            </w:r>
          </w:p>
        </w:tc>
        <w:tc>
          <w:tcPr>
            <w:tcW w:w="4459" w:type="dxa"/>
            <w:tcBorders>
              <w:top w:val="single" w:color="auto" w:sz="4" w:space="0"/>
              <w:left w:val="nil"/>
              <w:bottom w:val="single" w:color="auto" w:sz="4" w:space="0"/>
              <w:right w:val="single" w:color="auto" w:sz="4" w:space="0"/>
            </w:tcBorders>
            <w:noWrap w:val="0"/>
            <w:vAlign w:val="center"/>
          </w:tcPr>
          <w:p w14:paraId="622671D0">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考核指标</w:t>
            </w:r>
          </w:p>
        </w:tc>
        <w:tc>
          <w:tcPr>
            <w:tcW w:w="1985" w:type="dxa"/>
            <w:tcBorders>
              <w:top w:val="single" w:color="auto" w:sz="4" w:space="0"/>
              <w:left w:val="nil"/>
              <w:bottom w:val="single" w:color="auto" w:sz="4" w:space="0"/>
              <w:right w:val="single" w:color="auto" w:sz="4" w:space="0"/>
            </w:tcBorders>
            <w:noWrap w:val="0"/>
            <w:vAlign w:val="center"/>
          </w:tcPr>
          <w:p w14:paraId="3C782247">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违约金</w:t>
            </w:r>
          </w:p>
        </w:tc>
      </w:tr>
      <w:tr w14:paraId="6F145B87">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A310E4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w:t>
            </w:r>
          </w:p>
        </w:tc>
        <w:tc>
          <w:tcPr>
            <w:tcW w:w="1069" w:type="dxa"/>
            <w:vMerge w:val="restart"/>
            <w:tcBorders>
              <w:top w:val="nil"/>
              <w:left w:val="single" w:color="auto" w:sz="4" w:space="0"/>
              <w:bottom w:val="single" w:color="auto" w:sz="4" w:space="0"/>
              <w:right w:val="single" w:color="auto" w:sz="4" w:space="0"/>
            </w:tcBorders>
            <w:noWrap w:val="0"/>
            <w:vAlign w:val="center"/>
          </w:tcPr>
          <w:p w14:paraId="678562C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质量保证措施</w:t>
            </w:r>
          </w:p>
        </w:tc>
        <w:tc>
          <w:tcPr>
            <w:tcW w:w="4459" w:type="dxa"/>
            <w:tcBorders>
              <w:top w:val="nil"/>
              <w:left w:val="nil"/>
              <w:bottom w:val="single" w:color="auto" w:sz="4" w:space="0"/>
              <w:right w:val="single" w:color="auto" w:sz="4" w:space="0"/>
            </w:tcBorders>
            <w:noWrap w:val="0"/>
            <w:vAlign w:val="bottom"/>
          </w:tcPr>
          <w:p w14:paraId="2B81849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无质量责任体系或体系不健全</w:t>
            </w:r>
          </w:p>
        </w:tc>
        <w:tc>
          <w:tcPr>
            <w:tcW w:w="1985" w:type="dxa"/>
            <w:tcBorders>
              <w:top w:val="nil"/>
              <w:left w:val="nil"/>
              <w:bottom w:val="single" w:color="auto" w:sz="4" w:space="0"/>
              <w:right w:val="single" w:color="auto" w:sz="4" w:space="0"/>
            </w:tcBorders>
            <w:noWrap/>
            <w:vAlign w:val="bottom"/>
          </w:tcPr>
          <w:p w14:paraId="6D8F30B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3933467">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6C06C7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w:t>
            </w:r>
          </w:p>
        </w:tc>
        <w:tc>
          <w:tcPr>
            <w:tcW w:w="1069" w:type="dxa"/>
            <w:vMerge w:val="continue"/>
            <w:tcBorders>
              <w:top w:val="nil"/>
              <w:left w:val="single" w:color="auto" w:sz="4" w:space="0"/>
              <w:bottom w:val="single" w:color="auto" w:sz="4" w:space="0"/>
              <w:right w:val="single" w:color="auto" w:sz="4" w:space="0"/>
            </w:tcBorders>
            <w:noWrap w:val="0"/>
            <w:vAlign w:val="center"/>
          </w:tcPr>
          <w:p w14:paraId="10C16176">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6FD1EFF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质量保证制度不健全</w:t>
            </w:r>
          </w:p>
        </w:tc>
        <w:tc>
          <w:tcPr>
            <w:tcW w:w="1985" w:type="dxa"/>
            <w:tcBorders>
              <w:top w:val="nil"/>
              <w:left w:val="nil"/>
              <w:bottom w:val="single" w:color="auto" w:sz="4" w:space="0"/>
              <w:right w:val="single" w:color="auto" w:sz="4" w:space="0"/>
            </w:tcBorders>
            <w:noWrap/>
            <w:vAlign w:val="bottom"/>
          </w:tcPr>
          <w:p w14:paraId="640B1A7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DFCF60C">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4F24C6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w:t>
            </w:r>
          </w:p>
        </w:tc>
        <w:tc>
          <w:tcPr>
            <w:tcW w:w="1069" w:type="dxa"/>
            <w:vMerge w:val="continue"/>
            <w:tcBorders>
              <w:top w:val="nil"/>
              <w:left w:val="single" w:color="auto" w:sz="4" w:space="0"/>
              <w:bottom w:val="single" w:color="auto" w:sz="4" w:space="0"/>
              <w:right w:val="single" w:color="auto" w:sz="4" w:space="0"/>
            </w:tcBorders>
            <w:noWrap w:val="0"/>
            <w:vAlign w:val="center"/>
          </w:tcPr>
          <w:p w14:paraId="1E8CCAB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1541B6E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重要工序缺少作业指导书</w:t>
            </w:r>
          </w:p>
        </w:tc>
        <w:tc>
          <w:tcPr>
            <w:tcW w:w="1985" w:type="dxa"/>
            <w:tcBorders>
              <w:top w:val="nil"/>
              <w:left w:val="nil"/>
              <w:bottom w:val="single" w:color="auto" w:sz="4" w:space="0"/>
              <w:right w:val="single" w:color="auto" w:sz="4" w:space="0"/>
            </w:tcBorders>
            <w:noWrap/>
            <w:vAlign w:val="bottom"/>
          </w:tcPr>
          <w:p w14:paraId="46E9A17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9BAA251">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67DF7E8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4</w:t>
            </w:r>
          </w:p>
        </w:tc>
        <w:tc>
          <w:tcPr>
            <w:tcW w:w="1069" w:type="dxa"/>
            <w:vMerge w:val="continue"/>
            <w:tcBorders>
              <w:top w:val="nil"/>
              <w:left w:val="single" w:color="auto" w:sz="4" w:space="0"/>
              <w:bottom w:val="single" w:color="auto" w:sz="4" w:space="0"/>
              <w:right w:val="single" w:color="auto" w:sz="4" w:space="0"/>
            </w:tcBorders>
            <w:noWrap w:val="0"/>
            <w:vAlign w:val="center"/>
          </w:tcPr>
          <w:p w14:paraId="63200DA2">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1777969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未经建设单位审查同意使用专业劳务队或分包队</w:t>
            </w:r>
          </w:p>
        </w:tc>
        <w:tc>
          <w:tcPr>
            <w:tcW w:w="1985" w:type="dxa"/>
            <w:tcBorders>
              <w:top w:val="nil"/>
              <w:left w:val="nil"/>
              <w:bottom w:val="single" w:color="auto" w:sz="4" w:space="0"/>
              <w:right w:val="single" w:color="auto" w:sz="4" w:space="0"/>
            </w:tcBorders>
            <w:noWrap/>
            <w:vAlign w:val="bottom"/>
          </w:tcPr>
          <w:p w14:paraId="1F1C4DF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3FE2FAAC">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AEB255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5</w:t>
            </w:r>
          </w:p>
        </w:tc>
        <w:tc>
          <w:tcPr>
            <w:tcW w:w="1069" w:type="dxa"/>
            <w:vMerge w:val="continue"/>
            <w:tcBorders>
              <w:top w:val="nil"/>
              <w:left w:val="single" w:color="auto" w:sz="4" w:space="0"/>
              <w:bottom w:val="single" w:color="auto" w:sz="4" w:space="0"/>
              <w:right w:val="single" w:color="auto" w:sz="4" w:space="0"/>
            </w:tcBorders>
            <w:noWrap w:val="0"/>
            <w:vAlign w:val="center"/>
          </w:tcPr>
          <w:p w14:paraId="2984AB46">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0CA33E9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检验员、质检员、特殊工种无证上岗</w:t>
            </w:r>
          </w:p>
        </w:tc>
        <w:tc>
          <w:tcPr>
            <w:tcW w:w="1985" w:type="dxa"/>
            <w:tcBorders>
              <w:top w:val="nil"/>
              <w:left w:val="nil"/>
              <w:bottom w:val="single" w:color="auto" w:sz="4" w:space="0"/>
              <w:right w:val="single" w:color="auto" w:sz="4" w:space="0"/>
            </w:tcBorders>
            <w:noWrap/>
            <w:vAlign w:val="bottom"/>
          </w:tcPr>
          <w:p w14:paraId="7A28F44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7E805C6">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6951883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6</w:t>
            </w:r>
          </w:p>
        </w:tc>
        <w:tc>
          <w:tcPr>
            <w:tcW w:w="1069" w:type="dxa"/>
            <w:vMerge w:val="continue"/>
            <w:tcBorders>
              <w:top w:val="nil"/>
              <w:left w:val="single" w:color="auto" w:sz="4" w:space="0"/>
              <w:bottom w:val="single" w:color="auto" w:sz="4" w:space="0"/>
              <w:right w:val="single" w:color="auto" w:sz="4" w:space="0"/>
            </w:tcBorders>
            <w:noWrap w:val="0"/>
            <w:vAlign w:val="center"/>
          </w:tcPr>
          <w:p w14:paraId="45EF4055">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50F791E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施工作业人员未经上岗培训，考核合格的，施工作业人员水平不能满足施工需要</w:t>
            </w:r>
          </w:p>
        </w:tc>
        <w:tc>
          <w:tcPr>
            <w:tcW w:w="1985" w:type="dxa"/>
            <w:tcBorders>
              <w:top w:val="nil"/>
              <w:left w:val="nil"/>
              <w:bottom w:val="single" w:color="auto" w:sz="4" w:space="0"/>
              <w:right w:val="single" w:color="auto" w:sz="4" w:space="0"/>
            </w:tcBorders>
            <w:noWrap/>
            <w:vAlign w:val="bottom"/>
          </w:tcPr>
          <w:p w14:paraId="0296693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1EA4AD4">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6E0E8DE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7</w:t>
            </w:r>
          </w:p>
        </w:tc>
        <w:tc>
          <w:tcPr>
            <w:tcW w:w="1069" w:type="dxa"/>
            <w:vMerge w:val="continue"/>
            <w:tcBorders>
              <w:top w:val="nil"/>
              <w:left w:val="single" w:color="auto" w:sz="4" w:space="0"/>
              <w:bottom w:val="single" w:color="auto" w:sz="4" w:space="0"/>
              <w:right w:val="single" w:color="auto" w:sz="4" w:space="0"/>
            </w:tcBorders>
            <w:noWrap w:val="0"/>
            <w:vAlign w:val="center"/>
          </w:tcPr>
          <w:p w14:paraId="66CFD1C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3A3D72E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入场设备有缺陷，或选用不当不能保证工程质量</w:t>
            </w:r>
          </w:p>
        </w:tc>
        <w:tc>
          <w:tcPr>
            <w:tcW w:w="1985" w:type="dxa"/>
            <w:tcBorders>
              <w:top w:val="nil"/>
              <w:left w:val="nil"/>
              <w:bottom w:val="single" w:color="auto" w:sz="4" w:space="0"/>
              <w:right w:val="single" w:color="auto" w:sz="4" w:space="0"/>
            </w:tcBorders>
            <w:noWrap/>
            <w:vAlign w:val="bottom"/>
          </w:tcPr>
          <w:p w14:paraId="2EF31BC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14A72D1">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4BC736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8</w:t>
            </w:r>
          </w:p>
        </w:tc>
        <w:tc>
          <w:tcPr>
            <w:tcW w:w="1069" w:type="dxa"/>
            <w:vMerge w:val="continue"/>
            <w:tcBorders>
              <w:top w:val="nil"/>
              <w:left w:val="single" w:color="auto" w:sz="4" w:space="0"/>
              <w:bottom w:val="single" w:color="auto" w:sz="4" w:space="0"/>
              <w:right w:val="single" w:color="auto" w:sz="4" w:space="0"/>
            </w:tcBorders>
            <w:noWrap w:val="0"/>
            <w:vAlign w:val="center"/>
          </w:tcPr>
          <w:p w14:paraId="18BDD968">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3F514D9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乙供材料品牌、型号未报请建设单位同意就开始使用</w:t>
            </w:r>
          </w:p>
        </w:tc>
        <w:tc>
          <w:tcPr>
            <w:tcW w:w="1985" w:type="dxa"/>
            <w:tcBorders>
              <w:top w:val="nil"/>
              <w:left w:val="nil"/>
              <w:bottom w:val="single" w:color="auto" w:sz="4" w:space="0"/>
              <w:right w:val="single" w:color="auto" w:sz="4" w:space="0"/>
            </w:tcBorders>
            <w:noWrap/>
            <w:vAlign w:val="bottom"/>
          </w:tcPr>
          <w:p w14:paraId="6C802FD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2D28B75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B7BA5F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9</w:t>
            </w:r>
          </w:p>
        </w:tc>
        <w:tc>
          <w:tcPr>
            <w:tcW w:w="1069" w:type="dxa"/>
            <w:vMerge w:val="restart"/>
            <w:tcBorders>
              <w:top w:val="nil"/>
              <w:left w:val="single" w:color="auto" w:sz="4" w:space="0"/>
              <w:bottom w:val="single" w:color="auto" w:sz="4" w:space="0"/>
              <w:right w:val="single" w:color="auto" w:sz="4" w:space="0"/>
            </w:tcBorders>
            <w:noWrap w:val="0"/>
            <w:vAlign w:val="center"/>
          </w:tcPr>
          <w:p w14:paraId="523CAA8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质量控制程序</w:t>
            </w:r>
          </w:p>
        </w:tc>
        <w:tc>
          <w:tcPr>
            <w:tcW w:w="4459" w:type="dxa"/>
            <w:tcBorders>
              <w:top w:val="nil"/>
              <w:left w:val="nil"/>
              <w:bottom w:val="single" w:color="auto" w:sz="4" w:space="0"/>
              <w:right w:val="single" w:color="auto" w:sz="4" w:space="0"/>
            </w:tcBorders>
            <w:noWrap w:val="0"/>
            <w:vAlign w:val="center"/>
          </w:tcPr>
          <w:p w14:paraId="41322E53">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工程开工报告未经批准擅自开工</w:t>
            </w:r>
          </w:p>
        </w:tc>
        <w:tc>
          <w:tcPr>
            <w:tcW w:w="1985" w:type="dxa"/>
            <w:tcBorders>
              <w:top w:val="nil"/>
              <w:left w:val="nil"/>
              <w:bottom w:val="single" w:color="auto" w:sz="4" w:space="0"/>
              <w:right w:val="single" w:color="auto" w:sz="4" w:space="0"/>
            </w:tcBorders>
            <w:noWrap/>
            <w:vAlign w:val="bottom"/>
          </w:tcPr>
          <w:p w14:paraId="7799E01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EA015E4">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6F052AC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w:t>
            </w:r>
          </w:p>
        </w:tc>
        <w:tc>
          <w:tcPr>
            <w:tcW w:w="1069" w:type="dxa"/>
            <w:vMerge w:val="continue"/>
            <w:tcBorders>
              <w:top w:val="nil"/>
              <w:left w:val="single" w:color="auto" w:sz="4" w:space="0"/>
              <w:bottom w:val="single" w:color="auto" w:sz="4" w:space="0"/>
              <w:right w:val="single" w:color="auto" w:sz="4" w:space="0"/>
            </w:tcBorders>
            <w:noWrap w:val="0"/>
            <w:vAlign w:val="center"/>
          </w:tcPr>
          <w:p w14:paraId="5B2C9285">
            <w:pPr>
              <w:widowControl/>
              <w:jc w:val="left"/>
              <w:rPr>
                <w:rFonts w:ascii="等线" w:hAnsi="等线" w:eastAsia="等线" w:cs="宋体"/>
                <w:color w:val="auto"/>
                <w:kern w:val="0"/>
                <w:szCs w:val="21"/>
                <w:highlight w:val="none"/>
              </w:rPr>
            </w:pPr>
          </w:p>
        </w:tc>
        <w:tc>
          <w:tcPr>
            <w:tcW w:w="4459" w:type="dxa"/>
            <w:tcBorders>
              <w:top w:val="nil"/>
              <w:left w:val="nil"/>
              <w:bottom w:val="nil"/>
              <w:right w:val="nil"/>
            </w:tcBorders>
            <w:noWrap w:val="0"/>
            <w:vAlign w:val="bottom"/>
          </w:tcPr>
          <w:p w14:paraId="2478278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交接桩、施工复测及测量控制网资料不齐全</w:t>
            </w:r>
          </w:p>
        </w:tc>
        <w:tc>
          <w:tcPr>
            <w:tcW w:w="1985" w:type="dxa"/>
            <w:tcBorders>
              <w:top w:val="nil"/>
              <w:left w:val="single" w:color="auto" w:sz="4" w:space="0"/>
              <w:bottom w:val="single" w:color="auto" w:sz="4" w:space="0"/>
              <w:right w:val="single" w:color="auto" w:sz="4" w:space="0"/>
            </w:tcBorders>
            <w:noWrap/>
            <w:vAlign w:val="bottom"/>
          </w:tcPr>
          <w:p w14:paraId="006D6AF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D12E53B">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3C9FDE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11</w:t>
            </w:r>
          </w:p>
        </w:tc>
        <w:tc>
          <w:tcPr>
            <w:tcW w:w="1069" w:type="dxa"/>
            <w:vMerge w:val="continue"/>
            <w:tcBorders>
              <w:top w:val="nil"/>
              <w:left w:val="single" w:color="auto" w:sz="4" w:space="0"/>
              <w:bottom w:val="single" w:color="auto" w:sz="4" w:space="0"/>
              <w:right w:val="single" w:color="auto" w:sz="4" w:space="0"/>
            </w:tcBorders>
            <w:noWrap w:val="0"/>
            <w:vAlign w:val="center"/>
          </w:tcPr>
          <w:p w14:paraId="219FE65E">
            <w:pPr>
              <w:widowControl/>
              <w:jc w:val="left"/>
              <w:rPr>
                <w:rFonts w:ascii="等线" w:hAnsi="等线" w:eastAsia="等线" w:cs="宋体"/>
                <w:color w:val="auto"/>
                <w:kern w:val="0"/>
                <w:szCs w:val="21"/>
                <w:highlight w:val="none"/>
              </w:rPr>
            </w:pPr>
          </w:p>
        </w:tc>
        <w:tc>
          <w:tcPr>
            <w:tcW w:w="4459" w:type="dxa"/>
            <w:tcBorders>
              <w:top w:val="single" w:color="auto" w:sz="4" w:space="0"/>
              <w:left w:val="nil"/>
              <w:bottom w:val="single" w:color="auto" w:sz="4" w:space="0"/>
              <w:right w:val="single" w:color="auto" w:sz="4" w:space="0"/>
            </w:tcBorders>
            <w:noWrap w:val="0"/>
            <w:vAlign w:val="center"/>
          </w:tcPr>
          <w:p w14:paraId="2D7D4A85">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图纸未经设计方或业主方认可，未经会审、会签，擅自施工</w:t>
            </w:r>
          </w:p>
        </w:tc>
        <w:tc>
          <w:tcPr>
            <w:tcW w:w="1985" w:type="dxa"/>
            <w:tcBorders>
              <w:top w:val="nil"/>
              <w:left w:val="nil"/>
              <w:bottom w:val="single" w:color="auto" w:sz="4" w:space="0"/>
              <w:right w:val="single" w:color="auto" w:sz="4" w:space="0"/>
            </w:tcBorders>
            <w:noWrap/>
            <w:vAlign w:val="bottom"/>
          </w:tcPr>
          <w:p w14:paraId="538500F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15A50E8">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6227377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12</w:t>
            </w:r>
          </w:p>
        </w:tc>
        <w:tc>
          <w:tcPr>
            <w:tcW w:w="1069" w:type="dxa"/>
            <w:vMerge w:val="continue"/>
            <w:tcBorders>
              <w:top w:val="nil"/>
              <w:left w:val="single" w:color="auto" w:sz="4" w:space="0"/>
              <w:bottom w:val="single" w:color="auto" w:sz="4" w:space="0"/>
              <w:right w:val="single" w:color="auto" w:sz="4" w:space="0"/>
            </w:tcBorders>
            <w:noWrap w:val="0"/>
            <w:vAlign w:val="center"/>
          </w:tcPr>
          <w:p w14:paraId="679D914C">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6E4F313D">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未按照设计图纸进行施工，擅自变更设计或图纸进行施工，设计变更（变更设计）未会签完，擅自施工</w:t>
            </w:r>
          </w:p>
        </w:tc>
        <w:tc>
          <w:tcPr>
            <w:tcW w:w="1985" w:type="dxa"/>
            <w:tcBorders>
              <w:top w:val="nil"/>
              <w:left w:val="nil"/>
              <w:bottom w:val="single" w:color="auto" w:sz="4" w:space="0"/>
              <w:right w:val="single" w:color="auto" w:sz="4" w:space="0"/>
            </w:tcBorders>
            <w:noWrap/>
            <w:vAlign w:val="bottom"/>
          </w:tcPr>
          <w:p w14:paraId="74093F6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9C2C741">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6593EA8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13</w:t>
            </w:r>
          </w:p>
        </w:tc>
        <w:tc>
          <w:tcPr>
            <w:tcW w:w="1069" w:type="dxa"/>
            <w:vMerge w:val="continue"/>
            <w:tcBorders>
              <w:top w:val="nil"/>
              <w:left w:val="single" w:color="auto" w:sz="4" w:space="0"/>
              <w:bottom w:val="single" w:color="auto" w:sz="4" w:space="0"/>
              <w:right w:val="single" w:color="auto" w:sz="4" w:space="0"/>
            </w:tcBorders>
            <w:noWrap w:val="0"/>
            <w:vAlign w:val="center"/>
          </w:tcPr>
          <w:p w14:paraId="522A267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42A929B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有设计变更而未按照变更施工的</w:t>
            </w:r>
          </w:p>
        </w:tc>
        <w:tc>
          <w:tcPr>
            <w:tcW w:w="1985" w:type="dxa"/>
            <w:tcBorders>
              <w:top w:val="nil"/>
              <w:left w:val="nil"/>
              <w:bottom w:val="single" w:color="auto" w:sz="4" w:space="0"/>
              <w:right w:val="single" w:color="auto" w:sz="4" w:space="0"/>
            </w:tcBorders>
            <w:noWrap/>
            <w:vAlign w:val="bottom"/>
          </w:tcPr>
          <w:p w14:paraId="5F3A202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89F7562">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4EE12D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14</w:t>
            </w:r>
          </w:p>
        </w:tc>
        <w:tc>
          <w:tcPr>
            <w:tcW w:w="1069" w:type="dxa"/>
            <w:vMerge w:val="continue"/>
            <w:tcBorders>
              <w:top w:val="nil"/>
              <w:left w:val="single" w:color="auto" w:sz="4" w:space="0"/>
              <w:bottom w:val="single" w:color="auto" w:sz="4" w:space="0"/>
              <w:right w:val="single" w:color="auto" w:sz="4" w:space="0"/>
            </w:tcBorders>
            <w:noWrap w:val="0"/>
            <w:vAlign w:val="center"/>
          </w:tcPr>
          <w:p w14:paraId="31995196">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7ABEC83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材料入场检验记录不全或记录作假</w:t>
            </w:r>
          </w:p>
        </w:tc>
        <w:tc>
          <w:tcPr>
            <w:tcW w:w="1985" w:type="dxa"/>
            <w:tcBorders>
              <w:top w:val="nil"/>
              <w:left w:val="nil"/>
              <w:bottom w:val="single" w:color="auto" w:sz="4" w:space="0"/>
              <w:right w:val="single" w:color="auto" w:sz="4" w:space="0"/>
            </w:tcBorders>
            <w:noWrap/>
            <w:vAlign w:val="bottom"/>
          </w:tcPr>
          <w:p w14:paraId="7642967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3E9C0EE">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1B8F208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15</w:t>
            </w:r>
          </w:p>
        </w:tc>
        <w:tc>
          <w:tcPr>
            <w:tcW w:w="1069" w:type="dxa"/>
            <w:vMerge w:val="continue"/>
            <w:tcBorders>
              <w:top w:val="nil"/>
              <w:left w:val="single" w:color="auto" w:sz="4" w:space="0"/>
              <w:bottom w:val="single" w:color="auto" w:sz="4" w:space="0"/>
              <w:right w:val="single" w:color="auto" w:sz="4" w:space="0"/>
            </w:tcBorders>
            <w:noWrap w:val="0"/>
            <w:vAlign w:val="center"/>
          </w:tcPr>
          <w:p w14:paraId="29B07403">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466A36CE">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使用的原材料、成品、半成品、预制构件及外构件，无出厂合格证件、或按规定应复试而未复试，未经报验而擅自使用</w:t>
            </w:r>
          </w:p>
        </w:tc>
        <w:tc>
          <w:tcPr>
            <w:tcW w:w="1985" w:type="dxa"/>
            <w:tcBorders>
              <w:top w:val="nil"/>
              <w:left w:val="nil"/>
              <w:bottom w:val="single" w:color="auto" w:sz="4" w:space="0"/>
              <w:right w:val="single" w:color="auto" w:sz="4" w:space="0"/>
            </w:tcBorders>
            <w:noWrap/>
            <w:vAlign w:val="bottom"/>
          </w:tcPr>
          <w:p w14:paraId="5D06B68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144D651">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88A734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16</w:t>
            </w:r>
          </w:p>
        </w:tc>
        <w:tc>
          <w:tcPr>
            <w:tcW w:w="1069" w:type="dxa"/>
            <w:vMerge w:val="continue"/>
            <w:tcBorders>
              <w:top w:val="nil"/>
              <w:left w:val="single" w:color="auto" w:sz="4" w:space="0"/>
              <w:bottom w:val="single" w:color="auto" w:sz="4" w:space="0"/>
              <w:right w:val="single" w:color="auto" w:sz="4" w:space="0"/>
            </w:tcBorders>
            <w:noWrap w:val="0"/>
            <w:vAlign w:val="center"/>
          </w:tcPr>
          <w:p w14:paraId="5B847710">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0B18580A">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凡属监理单位规定应见证取样的项目，未通知擅自取样者</w:t>
            </w:r>
          </w:p>
        </w:tc>
        <w:tc>
          <w:tcPr>
            <w:tcW w:w="1985" w:type="dxa"/>
            <w:tcBorders>
              <w:top w:val="nil"/>
              <w:left w:val="nil"/>
              <w:bottom w:val="single" w:color="auto" w:sz="4" w:space="0"/>
              <w:right w:val="single" w:color="auto" w:sz="4" w:space="0"/>
            </w:tcBorders>
            <w:noWrap/>
            <w:vAlign w:val="bottom"/>
          </w:tcPr>
          <w:p w14:paraId="24FDEC3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E0FF417">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1F1F1A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17</w:t>
            </w:r>
          </w:p>
        </w:tc>
        <w:tc>
          <w:tcPr>
            <w:tcW w:w="1069" w:type="dxa"/>
            <w:vMerge w:val="continue"/>
            <w:tcBorders>
              <w:top w:val="nil"/>
              <w:left w:val="single" w:color="auto" w:sz="4" w:space="0"/>
              <w:bottom w:val="single" w:color="auto" w:sz="4" w:space="0"/>
              <w:right w:val="single" w:color="auto" w:sz="4" w:space="0"/>
            </w:tcBorders>
            <w:noWrap w:val="0"/>
            <w:vAlign w:val="center"/>
          </w:tcPr>
          <w:p w14:paraId="17B79CA2">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439FE1C0">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工序完成后应进行检验未经检验，擅自进行下步工序施工的</w:t>
            </w:r>
          </w:p>
        </w:tc>
        <w:tc>
          <w:tcPr>
            <w:tcW w:w="1985" w:type="dxa"/>
            <w:tcBorders>
              <w:top w:val="nil"/>
              <w:left w:val="nil"/>
              <w:bottom w:val="single" w:color="auto" w:sz="4" w:space="0"/>
              <w:right w:val="single" w:color="auto" w:sz="4" w:space="0"/>
            </w:tcBorders>
            <w:noWrap/>
            <w:vAlign w:val="bottom"/>
          </w:tcPr>
          <w:p w14:paraId="0CB5DE9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166EC2E">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F6BC78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18</w:t>
            </w:r>
          </w:p>
        </w:tc>
        <w:tc>
          <w:tcPr>
            <w:tcW w:w="1069" w:type="dxa"/>
            <w:vMerge w:val="continue"/>
            <w:tcBorders>
              <w:top w:val="nil"/>
              <w:left w:val="single" w:color="auto" w:sz="4" w:space="0"/>
              <w:bottom w:val="single" w:color="auto" w:sz="4" w:space="0"/>
              <w:right w:val="single" w:color="auto" w:sz="4" w:space="0"/>
            </w:tcBorders>
            <w:noWrap w:val="0"/>
            <w:vAlign w:val="center"/>
          </w:tcPr>
          <w:p w14:paraId="76BBD77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5F309A46">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施工组织设计、施工技术方案、环境保护方案及施工进程控制文件无审批</w:t>
            </w:r>
          </w:p>
        </w:tc>
        <w:tc>
          <w:tcPr>
            <w:tcW w:w="1985" w:type="dxa"/>
            <w:tcBorders>
              <w:top w:val="nil"/>
              <w:left w:val="nil"/>
              <w:bottom w:val="single" w:color="auto" w:sz="4" w:space="0"/>
              <w:right w:val="single" w:color="auto" w:sz="4" w:space="0"/>
            </w:tcBorders>
            <w:noWrap/>
            <w:vAlign w:val="bottom"/>
          </w:tcPr>
          <w:p w14:paraId="48838CB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74E2D1A">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512AD0C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19</w:t>
            </w:r>
          </w:p>
        </w:tc>
        <w:tc>
          <w:tcPr>
            <w:tcW w:w="1069" w:type="dxa"/>
            <w:vMerge w:val="continue"/>
            <w:tcBorders>
              <w:top w:val="nil"/>
              <w:left w:val="single" w:color="auto" w:sz="4" w:space="0"/>
              <w:bottom w:val="single" w:color="auto" w:sz="4" w:space="0"/>
              <w:right w:val="single" w:color="auto" w:sz="4" w:space="0"/>
            </w:tcBorders>
            <w:noWrap w:val="0"/>
            <w:vAlign w:val="center"/>
          </w:tcPr>
          <w:p w14:paraId="2C19FEB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11B9A6D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各作业项目施工前未按要求编制作业指导书（包括现场质量计划措施）或没有进行技术交底的项目</w:t>
            </w:r>
          </w:p>
        </w:tc>
        <w:tc>
          <w:tcPr>
            <w:tcW w:w="1985" w:type="dxa"/>
            <w:tcBorders>
              <w:top w:val="nil"/>
              <w:left w:val="nil"/>
              <w:bottom w:val="single" w:color="auto" w:sz="4" w:space="0"/>
              <w:right w:val="single" w:color="auto" w:sz="4" w:space="0"/>
            </w:tcBorders>
            <w:noWrap/>
            <w:vAlign w:val="bottom"/>
          </w:tcPr>
          <w:p w14:paraId="29FB9E6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39BBF3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D94E2A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20</w:t>
            </w:r>
          </w:p>
        </w:tc>
        <w:tc>
          <w:tcPr>
            <w:tcW w:w="1069" w:type="dxa"/>
            <w:vMerge w:val="continue"/>
            <w:tcBorders>
              <w:top w:val="nil"/>
              <w:left w:val="single" w:color="auto" w:sz="4" w:space="0"/>
              <w:bottom w:val="single" w:color="auto" w:sz="4" w:space="0"/>
              <w:right w:val="single" w:color="auto" w:sz="4" w:space="0"/>
            </w:tcBorders>
            <w:noWrap w:val="0"/>
            <w:vAlign w:val="center"/>
          </w:tcPr>
          <w:p w14:paraId="536D8FE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7C425E0B">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已开工项目未经交底或无书面交底手续者</w:t>
            </w:r>
          </w:p>
        </w:tc>
        <w:tc>
          <w:tcPr>
            <w:tcW w:w="1985" w:type="dxa"/>
            <w:tcBorders>
              <w:top w:val="nil"/>
              <w:left w:val="nil"/>
              <w:bottom w:val="single" w:color="auto" w:sz="4" w:space="0"/>
              <w:right w:val="single" w:color="auto" w:sz="4" w:space="0"/>
            </w:tcBorders>
            <w:noWrap/>
            <w:vAlign w:val="bottom"/>
          </w:tcPr>
          <w:p w14:paraId="7EA1E45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9FEFD7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311F75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21</w:t>
            </w:r>
          </w:p>
        </w:tc>
        <w:tc>
          <w:tcPr>
            <w:tcW w:w="1069" w:type="dxa"/>
            <w:vMerge w:val="continue"/>
            <w:tcBorders>
              <w:top w:val="nil"/>
              <w:left w:val="single" w:color="auto" w:sz="4" w:space="0"/>
              <w:bottom w:val="single" w:color="auto" w:sz="4" w:space="0"/>
              <w:right w:val="single" w:color="auto" w:sz="4" w:space="0"/>
            </w:tcBorders>
            <w:noWrap w:val="0"/>
            <w:vAlign w:val="center"/>
          </w:tcPr>
          <w:p w14:paraId="7F21F9A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7DF10C04">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未按施工技术措施（或技术交底）执行或执行不力的</w:t>
            </w:r>
          </w:p>
        </w:tc>
        <w:tc>
          <w:tcPr>
            <w:tcW w:w="1985" w:type="dxa"/>
            <w:tcBorders>
              <w:top w:val="nil"/>
              <w:left w:val="nil"/>
              <w:bottom w:val="single" w:color="auto" w:sz="4" w:space="0"/>
              <w:right w:val="single" w:color="auto" w:sz="4" w:space="0"/>
            </w:tcBorders>
            <w:noWrap/>
            <w:vAlign w:val="bottom"/>
          </w:tcPr>
          <w:p w14:paraId="19A2F9E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4BF186E">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F45C91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22</w:t>
            </w:r>
          </w:p>
        </w:tc>
        <w:tc>
          <w:tcPr>
            <w:tcW w:w="1069" w:type="dxa"/>
            <w:vMerge w:val="continue"/>
            <w:tcBorders>
              <w:top w:val="nil"/>
              <w:left w:val="single" w:color="auto" w:sz="4" w:space="0"/>
              <w:bottom w:val="single" w:color="auto" w:sz="4" w:space="0"/>
              <w:right w:val="single" w:color="auto" w:sz="4" w:space="0"/>
            </w:tcBorders>
            <w:noWrap w:val="0"/>
            <w:vAlign w:val="center"/>
          </w:tcPr>
          <w:p w14:paraId="36980250">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2D1C6F15">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隐蔽工程未经验收擅自或强行隐蔽</w:t>
            </w:r>
          </w:p>
        </w:tc>
        <w:tc>
          <w:tcPr>
            <w:tcW w:w="1985" w:type="dxa"/>
            <w:tcBorders>
              <w:top w:val="nil"/>
              <w:left w:val="nil"/>
              <w:bottom w:val="single" w:color="auto" w:sz="4" w:space="0"/>
              <w:right w:val="single" w:color="auto" w:sz="4" w:space="0"/>
            </w:tcBorders>
            <w:noWrap/>
            <w:vAlign w:val="bottom"/>
          </w:tcPr>
          <w:p w14:paraId="55BFADE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36F64D48">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CBDF1E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23</w:t>
            </w:r>
          </w:p>
        </w:tc>
        <w:tc>
          <w:tcPr>
            <w:tcW w:w="1069" w:type="dxa"/>
            <w:vMerge w:val="continue"/>
            <w:tcBorders>
              <w:top w:val="nil"/>
              <w:left w:val="single" w:color="auto" w:sz="4" w:space="0"/>
              <w:bottom w:val="single" w:color="auto" w:sz="4" w:space="0"/>
              <w:right w:val="single" w:color="auto" w:sz="4" w:space="0"/>
            </w:tcBorders>
            <w:noWrap w:val="0"/>
            <w:vAlign w:val="center"/>
          </w:tcPr>
          <w:p w14:paraId="2664D17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38A35D4E">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质量过程日志、记录、签证不齐全、造假记录或靠事后补记录者</w:t>
            </w:r>
          </w:p>
        </w:tc>
        <w:tc>
          <w:tcPr>
            <w:tcW w:w="1985" w:type="dxa"/>
            <w:tcBorders>
              <w:top w:val="nil"/>
              <w:left w:val="nil"/>
              <w:bottom w:val="single" w:color="auto" w:sz="4" w:space="0"/>
              <w:right w:val="single" w:color="auto" w:sz="4" w:space="0"/>
            </w:tcBorders>
            <w:noWrap/>
            <w:vAlign w:val="bottom"/>
          </w:tcPr>
          <w:p w14:paraId="0AC6301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5CE87A2">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C98701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24</w:t>
            </w:r>
          </w:p>
        </w:tc>
        <w:tc>
          <w:tcPr>
            <w:tcW w:w="1069" w:type="dxa"/>
            <w:vMerge w:val="restart"/>
            <w:tcBorders>
              <w:top w:val="nil"/>
              <w:left w:val="single" w:color="auto" w:sz="4" w:space="0"/>
              <w:bottom w:val="single" w:color="auto" w:sz="4" w:space="0"/>
              <w:right w:val="single" w:color="auto" w:sz="4" w:space="0"/>
            </w:tcBorders>
            <w:noWrap w:val="0"/>
            <w:vAlign w:val="center"/>
          </w:tcPr>
          <w:p w14:paraId="7E987E3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现场质量管理</w:t>
            </w:r>
          </w:p>
        </w:tc>
        <w:tc>
          <w:tcPr>
            <w:tcW w:w="4459" w:type="dxa"/>
            <w:tcBorders>
              <w:top w:val="nil"/>
              <w:left w:val="nil"/>
              <w:bottom w:val="single" w:color="auto" w:sz="4" w:space="0"/>
              <w:right w:val="single" w:color="auto" w:sz="4" w:space="0"/>
            </w:tcBorders>
            <w:noWrap w:val="0"/>
            <w:vAlign w:val="bottom"/>
          </w:tcPr>
          <w:p w14:paraId="47EB77D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监理单位组织的质量管理体系及现场实物质量检查提出问题，责任单位在规定期限内未完成</w:t>
            </w:r>
          </w:p>
        </w:tc>
        <w:tc>
          <w:tcPr>
            <w:tcW w:w="1985" w:type="dxa"/>
            <w:tcBorders>
              <w:top w:val="nil"/>
              <w:left w:val="nil"/>
              <w:bottom w:val="single" w:color="auto" w:sz="4" w:space="0"/>
              <w:right w:val="single" w:color="auto" w:sz="4" w:space="0"/>
            </w:tcBorders>
            <w:noWrap/>
            <w:vAlign w:val="bottom"/>
          </w:tcPr>
          <w:p w14:paraId="18C1993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CDE3500">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C4FD70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25</w:t>
            </w:r>
          </w:p>
        </w:tc>
        <w:tc>
          <w:tcPr>
            <w:tcW w:w="1069" w:type="dxa"/>
            <w:vMerge w:val="continue"/>
            <w:tcBorders>
              <w:top w:val="nil"/>
              <w:left w:val="single" w:color="auto" w:sz="4" w:space="0"/>
              <w:bottom w:val="single" w:color="auto" w:sz="4" w:space="0"/>
              <w:right w:val="single" w:color="auto" w:sz="4" w:space="0"/>
            </w:tcBorders>
            <w:noWrap w:val="0"/>
            <w:vAlign w:val="center"/>
          </w:tcPr>
          <w:p w14:paraId="06EDB6A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7DBDE4A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不按照规程、标准及作业指导书进行施工，造成质量缺陷的</w:t>
            </w:r>
          </w:p>
        </w:tc>
        <w:tc>
          <w:tcPr>
            <w:tcW w:w="1985" w:type="dxa"/>
            <w:tcBorders>
              <w:top w:val="nil"/>
              <w:left w:val="nil"/>
              <w:bottom w:val="single" w:color="auto" w:sz="4" w:space="0"/>
              <w:right w:val="single" w:color="auto" w:sz="4" w:space="0"/>
            </w:tcBorders>
            <w:noWrap/>
            <w:vAlign w:val="bottom"/>
          </w:tcPr>
          <w:p w14:paraId="01F048D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C47B412">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21D9BE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26</w:t>
            </w:r>
          </w:p>
        </w:tc>
        <w:tc>
          <w:tcPr>
            <w:tcW w:w="1069" w:type="dxa"/>
            <w:vMerge w:val="continue"/>
            <w:tcBorders>
              <w:top w:val="nil"/>
              <w:left w:val="single" w:color="auto" w:sz="4" w:space="0"/>
              <w:bottom w:val="single" w:color="auto" w:sz="4" w:space="0"/>
              <w:right w:val="single" w:color="auto" w:sz="4" w:space="0"/>
            </w:tcBorders>
            <w:noWrap w:val="0"/>
            <w:vAlign w:val="center"/>
          </w:tcPr>
          <w:p w14:paraId="1C1B6F85">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19DADFD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野蛮施工造成后果的</w:t>
            </w:r>
          </w:p>
        </w:tc>
        <w:tc>
          <w:tcPr>
            <w:tcW w:w="1985" w:type="dxa"/>
            <w:tcBorders>
              <w:top w:val="nil"/>
              <w:left w:val="nil"/>
              <w:bottom w:val="single" w:color="auto" w:sz="4" w:space="0"/>
              <w:right w:val="single" w:color="auto" w:sz="4" w:space="0"/>
            </w:tcBorders>
            <w:noWrap/>
            <w:vAlign w:val="bottom"/>
          </w:tcPr>
          <w:p w14:paraId="560D7D3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1C6B006">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0142EDC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27</w:t>
            </w:r>
          </w:p>
        </w:tc>
        <w:tc>
          <w:tcPr>
            <w:tcW w:w="1069" w:type="dxa"/>
            <w:vMerge w:val="continue"/>
            <w:tcBorders>
              <w:top w:val="nil"/>
              <w:left w:val="single" w:color="auto" w:sz="4" w:space="0"/>
              <w:bottom w:val="single" w:color="auto" w:sz="4" w:space="0"/>
              <w:right w:val="single" w:color="auto" w:sz="4" w:space="0"/>
            </w:tcBorders>
            <w:noWrap w:val="0"/>
            <w:vAlign w:val="center"/>
          </w:tcPr>
          <w:p w14:paraId="2C3C4DDC">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2B11DAB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发生质量问题，隐瞒不报或未经监理单位许可，擅自掩盖或处理</w:t>
            </w:r>
          </w:p>
        </w:tc>
        <w:tc>
          <w:tcPr>
            <w:tcW w:w="1985" w:type="dxa"/>
            <w:tcBorders>
              <w:top w:val="nil"/>
              <w:left w:val="nil"/>
              <w:bottom w:val="single" w:color="auto" w:sz="4" w:space="0"/>
              <w:right w:val="single" w:color="auto" w:sz="4" w:space="0"/>
            </w:tcBorders>
            <w:noWrap/>
            <w:vAlign w:val="bottom"/>
          </w:tcPr>
          <w:p w14:paraId="2BA8219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C3028B5">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F3E560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28</w:t>
            </w:r>
          </w:p>
        </w:tc>
        <w:tc>
          <w:tcPr>
            <w:tcW w:w="1069" w:type="dxa"/>
            <w:vMerge w:val="continue"/>
            <w:tcBorders>
              <w:top w:val="nil"/>
              <w:left w:val="single" w:color="auto" w:sz="4" w:space="0"/>
              <w:bottom w:val="single" w:color="auto" w:sz="4" w:space="0"/>
              <w:right w:val="single" w:color="auto" w:sz="4" w:space="0"/>
            </w:tcBorders>
            <w:noWrap w:val="0"/>
            <w:vAlign w:val="center"/>
          </w:tcPr>
          <w:p w14:paraId="50026F0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25FA2B3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对重复出现类似质量问题，没有得到有效改进</w:t>
            </w:r>
          </w:p>
        </w:tc>
        <w:tc>
          <w:tcPr>
            <w:tcW w:w="1985" w:type="dxa"/>
            <w:tcBorders>
              <w:top w:val="nil"/>
              <w:left w:val="nil"/>
              <w:bottom w:val="single" w:color="auto" w:sz="4" w:space="0"/>
              <w:right w:val="single" w:color="auto" w:sz="4" w:space="0"/>
            </w:tcBorders>
            <w:noWrap/>
            <w:vAlign w:val="bottom"/>
          </w:tcPr>
          <w:p w14:paraId="2133D9A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4FB62921">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194DE6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29</w:t>
            </w:r>
          </w:p>
        </w:tc>
        <w:tc>
          <w:tcPr>
            <w:tcW w:w="1069" w:type="dxa"/>
            <w:vMerge w:val="continue"/>
            <w:tcBorders>
              <w:top w:val="nil"/>
              <w:left w:val="single" w:color="auto" w:sz="4" w:space="0"/>
              <w:bottom w:val="single" w:color="auto" w:sz="4" w:space="0"/>
              <w:right w:val="single" w:color="auto" w:sz="4" w:space="0"/>
            </w:tcBorders>
            <w:noWrap w:val="0"/>
            <w:vAlign w:val="center"/>
          </w:tcPr>
          <w:p w14:paraId="26E31BD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1880584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在施工过程中不服从工程部业主代表、监理工程师的正确指导，态度恶劣的</w:t>
            </w:r>
          </w:p>
        </w:tc>
        <w:tc>
          <w:tcPr>
            <w:tcW w:w="1985" w:type="dxa"/>
            <w:tcBorders>
              <w:top w:val="nil"/>
              <w:left w:val="nil"/>
              <w:bottom w:val="single" w:color="auto" w:sz="4" w:space="0"/>
              <w:right w:val="single" w:color="auto" w:sz="4" w:space="0"/>
            </w:tcBorders>
            <w:noWrap/>
            <w:vAlign w:val="bottom"/>
          </w:tcPr>
          <w:p w14:paraId="658F69F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BC0BA8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C742DA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w:t>
            </w:r>
          </w:p>
        </w:tc>
        <w:tc>
          <w:tcPr>
            <w:tcW w:w="1069" w:type="dxa"/>
            <w:vMerge w:val="restart"/>
            <w:tcBorders>
              <w:top w:val="nil"/>
              <w:left w:val="single" w:color="auto" w:sz="4" w:space="0"/>
              <w:bottom w:val="single" w:color="000000" w:sz="4" w:space="0"/>
              <w:right w:val="single" w:color="auto" w:sz="4" w:space="0"/>
            </w:tcBorders>
            <w:noWrap w:val="0"/>
            <w:vAlign w:val="center"/>
          </w:tcPr>
          <w:p w14:paraId="67BF311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w:t>
            </w:r>
          </w:p>
        </w:tc>
        <w:tc>
          <w:tcPr>
            <w:tcW w:w="4459" w:type="dxa"/>
            <w:tcBorders>
              <w:top w:val="nil"/>
              <w:left w:val="nil"/>
              <w:bottom w:val="single" w:color="auto" w:sz="4" w:space="0"/>
              <w:right w:val="single" w:color="auto" w:sz="4" w:space="0"/>
            </w:tcBorders>
            <w:noWrap w:val="0"/>
            <w:vAlign w:val="bottom"/>
          </w:tcPr>
          <w:p w14:paraId="26FB76D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对野蛮施工，造成破坏的</w:t>
            </w:r>
          </w:p>
        </w:tc>
        <w:tc>
          <w:tcPr>
            <w:tcW w:w="1985" w:type="dxa"/>
            <w:tcBorders>
              <w:top w:val="nil"/>
              <w:left w:val="nil"/>
              <w:bottom w:val="single" w:color="auto" w:sz="4" w:space="0"/>
              <w:right w:val="single" w:color="auto" w:sz="4" w:space="0"/>
            </w:tcBorders>
            <w:noWrap/>
            <w:vAlign w:val="bottom"/>
          </w:tcPr>
          <w:p w14:paraId="1B422DC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56C2804E">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A6CBBB4">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31</w:t>
            </w:r>
          </w:p>
        </w:tc>
        <w:tc>
          <w:tcPr>
            <w:tcW w:w="1069" w:type="dxa"/>
            <w:vMerge w:val="continue"/>
            <w:tcBorders>
              <w:top w:val="nil"/>
              <w:left w:val="single" w:color="auto" w:sz="4" w:space="0"/>
              <w:bottom w:val="single" w:color="000000" w:sz="4" w:space="0"/>
              <w:right w:val="single" w:color="auto" w:sz="4" w:space="0"/>
            </w:tcBorders>
            <w:noWrap w:val="0"/>
            <w:vAlign w:val="center"/>
          </w:tcPr>
          <w:p w14:paraId="77E511C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518F817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未落实成品保护交底、交接手续、设置警告、警示标识、围挡的</w:t>
            </w:r>
          </w:p>
        </w:tc>
        <w:tc>
          <w:tcPr>
            <w:tcW w:w="1985" w:type="dxa"/>
            <w:tcBorders>
              <w:top w:val="nil"/>
              <w:left w:val="nil"/>
              <w:bottom w:val="single" w:color="auto" w:sz="4" w:space="0"/>
              <w:right w:val="single" w:color="auto" w:sz="4" w:space="0"/>
            </w:tcBorders>
            <w:noWrap/>
            <w:vAlign w:val="bottom"/>
          </w:tcPr>
          <w:p w14:paraId="12C28E3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76706A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0FDD1D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32</w:t>
            </w:r>
          </w:p>
        </w:tc>
        <w:tc>
          <w:tcPr>
            <w:tcW w:w="1069" w:type="dxa"/>
            <w:vMerge w:val="continue"/>
            <w:tcBorders>
              <w:top w:val="nil"/>
              <w:left w:val="single" w:color="auto" w:sz="4" w:space="0"/>
              <w:bottom w:val="single" w:color="000000" w:sz="4" w:space="0"/>
              <w:right w:val="single" w:color="auto" w:sz="4" w:space="0"/>
            </w:tcBorders>
            <w:noWrap w:val="0"/>
            <w:vAlign w:val="center"/>
          </w:tcPr>
          <w:p w14:paraId="11B6739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3F37BE0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成品保护措施不力，造成成品损毁、破坏的，应赔偿损失并处责任单位违约金3000~10000元；</w:t>
            </w:r>
          </w:p>
        </w:tc>
        <w:tc>
          <w:tcPr>
            <w:tcW w:w="1985" w:type="dxa"/>
            <w:tcBorders>
              <w:top w:val="nil"/>
              <w:left w:val="nil"/>
              <w:bottom w:val="single" w:color="auto" w:sz="4" w:space="0"/>
              <w:right w:val="single" w:color="auto" w:sz="4" w:space="0"/>
            </w:tcBorders>
            <w:noWrap/>
            <w:vAlign w:val="bottom"/>
          </w:tcPr>
          <w:p w14:paraId="2B18E70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3C5FCEA9">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3267641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33</w:t>
            </w:r>
          </w:p>
        </w:tc>
        <w:tc>
          <w:tcPr>
            <w:tcW w:w="1069" w:type="dxa"/>
            <w:vMerge w:val="continue"/>
            <w:tcBorders>
              <w:top w:val="nil"/>
              <w:left w:val="single" w:color="auto" w:sz="4" w:space="0"/>
              <w:bottom w:val="single" w:color="000000" w:sz="4" w:space="0"/>
              <w:right w:val="single" w:color="auto" w:sz="4" w:space="0"/>
            </w:tcBorders>
            <w:noWrap w:val="0"/>
            <w:vAlign w:val="center"/>
          </w:tcPr>
          <w:p w14:paraId="2BA7AED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62546EE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完工交接前，未尽到检查责任，发生成品损毁、破坏的，由原施工单位负责修复，处责任单位违约金3000~10000元。</w:t>
            </w:r>
          </w:p>
        </w:tc>
        <w:tc>
          <w:tcPr>
            <w:tcW w:w="1985" w:type="dxa"/>
            <w:tcBorders>
              <w:top w:val="nil"/>
              <w:left w:val="nil"/>
              <w:bottom w:val="single" w:color="auto" w:sz="4" w:space="0"/>
              <w:right w:val="single" w:color="auto" w:sz="4" w:space="0"/>
            </w:tcBorders>
            <w:noWrap/>
            <w:vAlign w:val="bottom"/>
          </w:tcPr>
          <w:p w14:paraId="192B841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bl>
    <w:p w14:paraId="65088B73">
      <w:pPr>
        <w:rPr>
          <w:color w:val="auto"/>
          <w:highlight w:val="none"/>
        </w:rPr>
      </w:pPr>
    </w:p>
    <w:p w14:paraId="5B8A0636">
      <w:pPr>
        <w:rPr>
          <w:color w:val="auto"/>
          <w:highlight w:val="none"/>
        </w:rPr>
      </w:pPr>
    </w:p>
    <w:p w14:paraId="60C0E0AA">
      <w:pPr>
        <w:rPr>
          <w:color w:val="auto"/>
          <w:highlight w:val="none"/>
        </w:rPr>
      </w:pPr>
    </w:p>
    <w:p w14:paraId="2872B0A0">
      <w:pPr>
        <w:rPr>
          <w:color w:val="auto"/>
          <w:highlight w:val="none"/>
        </w:rPr>
      </w:pPr>
    </w:p>
    <w:p w14:paraId="6C2EA883">
      <w:pPr>
        <w:rPr>
          <w:color w:val="auto"/>
          <w:highlight w:val="none"/>
        </w:rPr>
      </w:pPr>
    </w:p>
    <w:p w14:paraId="40C67C50">
      <w:pPr>
        <w:rPr>
          <w:color w:val="auto"/>
          <w:highlight w:val="none"/>
        </w:rPr>
      </w:pPr>
    </w:p>
    <w:p w14:paraId="3930F583">
      <w:pPr>
        <w:rPr>
          <w:color w:val="auto"/>
          <w:highlight w:val="none"/>
        </w:rPr>
      </w:pPr>
    </w:p>
    <w:p w14:paraId="24F79165">
      <w:pPr>
        <w:rPr>
          <w:color w:val="auto"/>
          <w:highlight w:val="none"/>
        </w:rPr>
      </w:pPr>
    </w:p>
    <w:p w14:paraId="447C2A2D">
      <w:pPr>
        <w:rPr>
          <w:color w:val="auto"/>
          <w:highlight w:val="none"/>
        </w:rPr>
      </w:pPr>
    </w:p>
    <w:p w14:paraId="4FC8D093">
      <w:pPr>
        <w:rPr>
          <w:color w:val="auto"/>
          <w:highlight w:val="none"/>
        </w:rPr>
      </w:pPr>
    </w:p>
    <w:p w14:paraId="65A8FE33">
      <w:pPr>
        <w:rPr>
          <w:color w:val="auto"/>
          <w:highlight w:val="none"/>
        </w:rPr>
      </w:pPr>
    </w:p>
    <w:p w14:paraId="736BC3DD">
      <w:pPr>
        <w:rPr>
          <w:color w:val="auto"/>
          <w:highlight w:val="none"/>
        </w:rPr>
      </w:pPr>
    </w:p>
    <w:p w14:paraId="3D1E0961">
      <w:pPr>
        <w:rPr>
          <w:color w:val="auto"/>
          <w:highlight w:val="none"/>
        </w:rPr>
      </w:pPr>
    </w:p>
    <w:p w14:paraId="4BC5EDAF">
      <w:pPr>
        <w:rPr>
          <w:color w:val="auto"/>
          <w:highlight w:val="none"/>
        </w:rPr>
      </w:pPr>
    </w:p>
    <w:p w14:paraId="3F57740C">
      <w:pPr>
        <w:rPr>
          <w:color w:val="auto"/>
          <w:highlight w:val="none"/>
        </w:rPr>
      </w:pPr>
    </w:p>
    <w:p w14:paraId="794505E9">
      <w:pPr>
        <w:rPr>
          <w:color w:val="auto"/>
          <w:highlight w:val="none"/>
        </w:rPr>
      </w:pPr>
    </w:p>
    <w:p w14:paraId="1A1321A9">
      <w:pPr>
        <w:rPr>
          <w:color w:val="auto"/>
          <w:highlight w:val="none"/>
        </w:rPr>
      </w:pPr>
    </w:p>
    <w:p w14:paraId="5AF92D59">
      <w:pPr>
        <w:rPr>
          <w:color w:val="auto"/>
          <w:highlight w:val="none"/>
        </w:rPr>
      </w:pPr>
    </w:p>
    <w:p w14:paraId="763AD09E">
      <w:pPr>
        <w:rPr>
          <w:color w:val="auto"/>
          <w:highlight w:val="none"/>
        </w:rPr>
      </w:pPr>
    </w:p>
    <w:p w14:paraId="616830A3">
      <w:pPr>
        <w:rPr>
          <w:color w:val="auto"/>
          <w:highlight w:val="none"/>
        </w:rPr>
      </w:pPr>
    </w:p>
    <w:p w14:paraId="0F6C8D3A">
      <w:pPr>
        <w:jc w:val="left"/>
        <w:rPr>
          <w:color w:val="auto"/>
          <w:sz w:val="28"/>
          <w:szCs w:val="28"/>
          <w:highlight w:val="none"/>
        </w:rPr>
      </w:pPr>
      <w:r>
        <w:rPr>
          <w:color w:val="auto"/>
          <w:highlight w:val="none"/>
        </w:rPr>
        <w:br w:type="page"/>
      </w:r>
      <w:r>
        <w:rPr>
          <w:rFonts w:hint="eastAsia"/>
          <w:color w:val="auto"/>
          <w:highlight w:val="none"/>
        </w:rPr>
        <w:t>附表2</w:t>
      </w:r>
    </w:p>
    <w:p w14:paraId="045E7565">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质量违约函</w:t>
      </w:r>
    </w:p>
    <w:p w14:paraId="3EFA99AC">
      <w:pPr>
        <w:jc w:val="left"/>
        <w:rPr>
          <w:color w:val="auto"/>
          <w:sz w:val="28"/>
          <w:szCs w:val="28"/>
          <w:highlight w:val="none"/>
        </w:rPr>
      </w:pPr>
      <w:r>
        <w:rPr>
          <w:rFonts w:hint="eastAsia"/>
          <w:color w:val="auto"/>
          <w:sz w:val="28"/>
          <w:szCs w:val="28"/>
          <w:highlight w:val="none"/>
          <w:u w:val="single"/>
        </w:rPr>
        <w:t>XXXX公司</w:t>
      </w:r>
      <w:r>
        <w:rPr>
          <w:rFonts w:hint="eastAsia"/>
          <w:color w:val="auto"/>
          <w:sz w:val="28"/>
          <w:szCs w:val="28"/>
          <w:highlight w:val="none"/>
        </w:rPr>
        <w:t>：</w:t>
      </w:r>
    </w:p>
    <w:p w14:paraId="7C7C3839">
      <w:pPr>
        <w:ind w:firstLine="560" w:firstLineChars="200"/>
        <w:jc w:val="left"/>
        <w:rPr>
          <w:color w:val="auto"/>
          <w:sz w:val="28"/>
          <w:szCs w:val="28"/>
          <w:highlight w:val="none"/>
        </w:rPr>
      </w:pPr>
      <w:r>
        <w:rPr>
          <w:rFonts w:hint="eastAsia"/>
          <w:color w:val="auto"/>
          <w:sz w:val="28"/>
          <w:szCs w:val="28"/>
          <w:highlight w:val="none"/>
        </w:rPr>
        <w:t>你单位人员在我公司XX年X月施工中存在如下违反质量管理规定的行为，按照双方施工承包合同和协议，相关处理如下：</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3402"/>
        <w:gridCol w:w="2205"/>
      </w:tblGrid>
      <w:tr w14:paraId="425F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noWrap w:val="0"/>
            <w:vAlign w:val="center"/>
          </w:tcPr>
          <w:p w14:paraId="436F6101">
            <w:pPr>
              <w:widowControl/>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事件经过</w:t>
            </w:r>
          </w:p>
        </w:tc>
        <w:tc>
          <w:tcPr>
            <w:tcW w:w="3402" w:type="dxa"/>
            <w:noWrap w:val="0"/>
            <w:vAlign w:val="center"/>
          </w:tcPr>
          <w:p w14:paraId="6E7C8CE0">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照 片</w:t>
            </w:r>
          </w:p>
        </w:tc>
        <w:tc>
          <w:tcPr>
            <w:tcW w:w="2205" w:type="dxa"/>
            <w:noWrap w:val="0"/>
            <w:vAlign w:val="center"/>
          </w:tcPr>
          <w:p w14:paraId="6BCD8E5A">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处理决定</w:t>
            </w:r>
          </w:p>
        </w:tc>
      </w:tr>
      <w:tr w14:paraId="68E6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trPr>
        <w:tc>
          <w:tcPr>
            <w:tcW w:w="2689" w:type="dxa"/>
            <w:noWrap w:val="0"/>
            <w:vAlign w:val="top"/>
          </w:tcPr>
          <w:p w14:paraId="7FC0FB17">
            <w:pPr>
              <w:jc w:val="left"/>
              <w:rPr>
                <w:rFonts w:ascii="等线" w:hAnsi="等线" w:eastAsia="等线"/>
                <w:color w:val="auto"/>
                <w:highlight w:val="none"/>
              </w:rPr>
            </w:pPr>
          </w:p>
        </w:tc>
        <w:tc>
          <w:tcPr>
            <w:tcW w:w="3402" w:type="dxa"/>
            <w:noWrap w:val="0"/>
            <w:vAlign w:val="top"/>
          </w:tcPr>
          <w:p w14:paraId="2A9214B3">
            <w:pPr>
              <w:jc w:val="left"/>
              <w:rPr>
                <w:rFonts w:ascii="等线" w:hAnsi="等线" w:eastAsia="等线"/>
                <w:color w:val="auto"/>
                <w:highlight w:val="none"/>
              </w:rPr>
            </w:pPr>
          </w:p>
        </w:tc>
        <w:tc>
          <w:tcPr>
            <w:tcW w:w="2205" w:type="dxa"/>
            <w:noWrap w:val="0"/>
            <w:vAlign w:val="top"/>
          </w:tcPr>
          <w:p w14:paraId="78A43FC8">
            <w:pPr>
              <w:jc w:val="left"/>
              <w:rPr>
                <w:rFonts w:ascii="等线" w:hAnsi="等线" w:eastAsia="等线"/>
                <w:color w:val="auto"/>
                <w:highlight w:val="none"/>
              </w:rPr>
            </w:pPr>
          </w:p>
        </w:tc>
      </w:tr>
    </w:tbl>
    <w:p w14:paraId="15F414FA">
      <w:pPr>
        <w:rPr>
          <w:vanish/>
          <w:color w:val="auto"/>
          <w:highlight w:val="none"/>
        </w:rPr>
      </w:pPr>
    </w:p>
    <w:tbl>
      <w:tblPr>
        <w:tblStyle w:val="13"/>
        <w:tblW w:w="0" w:type="auto"/>
        <w:tblInd w:w="108" w:type="dxa"/>
        <w:tblLayout w:type="fixed"/>
        <w:tblCellMar>
          <w:top w:w="0" w:type="dxa"/>
          <w:left w:w="108" w:type="dxa"/>
          <w:bottom w:w="0" w:type="dxa"/>
          <w:right w:w="108" w:type="dxa"/>
        </w:tblCellMar>
      </w:tblPr>
      <w:tblGrid>
        <w:gridCol w:w="8700"/>
      </w:tblGrid>
      <w:tr w14:paraId="04D0F9BF">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0"/>
            <w:vAlign w:val="bottom"/>
          </w:tcPr>
          <w:p w14:paraId="55FBECE2">
            <w:pPr>
              <w:widowControl/>
              <w:ind w:firstLine="560" w:firstLineChars="200"/>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如存在异议，请你方在接到通报后5个工作日内将书面意见反馈到工装工程中心，过期视为同意。</w:t>
            </w:r>
          </w:p>
        </w:tc>
      </w:tr>
      <w:tr w14:paraId="43312988">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0500C5D7">
            <w:pPr>
              <w:widowControl/>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特此函告</w:t>
            </w:r>
          </w:p>
        </w:tc>
      </w:tr>
      <w:tr w14:paraId="1946378A">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45A211F7">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工装工程中心</w:t>
            </w:r>
          </w:p>
        </w:tc>
      </w:tr>
      <w:tr w14:paraId="554B84B3">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58846201">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年  月  日</w:t>
            </w:r>
          </w:p>
        </w:tc>
      </w:tr>
    </w:tbl>
    <w:p w14:paraId="22F9B6C3">
      <w:pPr>
        <w:ind w:firstLine="420" w:firstLineChars="200"/>
        <w:jc w:val="left"/>
        <w:rPr>
          <w:color w:val="auto"/>
          <w:highlight w:val="none"/>
        </w:rPr>
      </w:pPr>
    </w:p>
    <w:p w14:paraId="0A2530E0">
      <w:pPr>
        <w:spacing w:line="360" w:lineRule="auto"/>
        <w:rPr>
          <w:rFonts w:eastAsia="仿宋_GB2312"/>
          <w:color w:val="auto"/>
          <w:sz w:val="30"/>
          <w:szCs w:val="30"/>
          <w:highlight w:val="none"/>
        </w:rPr>
      </w:pPr>
      <w:r>
        <w:rPr>
          <w:rFonts w:eastAsia="仿宋_GB2312"/>
          <w:color w:val="auto"/>
          <w:sz w:val="30"/>
          <w:szCs w:val="30"/>
          <w:highlight w:val="none"/>
        </w:rPr>
        <w:br w:type="page"/>
      </w:r>
      <w:r>
        <w:rPr>
          <w:rFonts w:eastAsia="仿宋_GB2312"/>
          <w:color w:val="auto"/>
          <w:sz w:val="30"/>
          <w:szCs w:val="30"/>
          <w:highlight w:val="none"/>
        </w:rPr>
        <w:t>附件6：</w:t>
      </w:r>
      <w:r>
        <w:rPr>
          <w:rFonts w:hint="eastAsia" w:eastAsia="仿宋_GB2312"/>
          <w:color w:val="auto"/>
          <w:sz w:val="30"/>
          <w:szCs w:val="30"/>
          <w:highlight w:val="none"/>
        </w:rPr>
        <w:t>项目变更与零星委派管理办法</w:t>
      </w:r>
    </w:p>
    <w:p w14:paraId="6F7B5416">
      <w:pPr>
        <w:widowControl/>
        <w:jc w:val="left"/>
        <w:rPr>
          <w:rFonts w:eastAsia="仿宋_GB2312"/>
          <w:color w:val="auto"/>
          <w:sz w:val="30"/>
          <w:szCs w:val="30"/>
          <w:highlight w:val="none"/>
        </w:rPr>
      </w:pPr>
      <w:r>
        <w:rPr>
          <w:rFonts w:eastAsia="仿宋_GB2312"/>
          <w:color w:val="auto"/>
          <w:sz w:val="30"/>
          <w:szCs w:val="30"/>
          <w:highlight w:val="none"/>
        </w:rPr>
        <w:br w:type="page"/>
      </w:r>
    </w:p>
    <w:p w14:paraId="6BAD4A3D">
      <w:pPr>
        <w:spacing w:line="360" w:lineRule="auto"/>
        <w:rPr>
          <w:rFonts w:eastAsia="仿宋_GB2312"/>
          <w:color w:val="auto"/>
          <w:sz w:val="30"/>
          <w:szCs w:val="30"/>
          <w:highlight w:val="none"/>
        </w:rPr>
      </w:pPr>
    </w:p>
    <w:p w14:paraId="5EB4AA51">
      <w:pPr>
        <w:pStyle w:val="7"/>
        <w:ind w:left="63" w:right="63"/>
        <w:jc w:val="left"/>
        <w:rPr>
          <w:rFonts w:ascii="仿宋_GB2312" w:eastAsia="仿宋_GB2312"/>
          <w:color w:val="auto"/>
          <w:sz w:val="30"/>
          <w:szCs w:val="30"/>
          <w:highlight w:val="none"/>
        </w:rPr>
      </w:pPr>
      <w:r>
        <w:rPr>
          <w:rFonts w:hint="eastAsia" w:ascii="仿宋_GB2312" w:eastAsia="仿宋_GB2312"/>
          <w:color w:val="auto"/>
          <w:sz w:val="30"/>
          <w:szCs w:val="30"/>
          <w:highlight w:val="none"/>
        </w:rPr>
        <w:t>附件7：</w:t>
      </w:r>
    </w:p>
    <w:p w14:paraId="4E02D228">
      <w:pPr>
        <w:pStyle w:val="7"/>
        <w:ind w:left="63" w:right="63"/>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履约保函示范文本</w:t>
      </w:r>
    </w:p>
    <w:p w14:paraId="6C3953C9">
      <w:pPr>
        <w:pStyle w:val="7"/>
        <w:ind w:left="63" w:right="63"/>
        <w:rPr>
          <w:rFonts w:ascii="仿宋" w:hAnsi="仿宋" w:eastAsia="仿宋" w:cs="仿宋"/>
          <w:color w:val="auto"/>
          <w:spacing w:val="4"/>
          <w:sz w:val="30"/>
          <w:szCs w:val="30"/>
          <w:highlight w:val="none"/>
        </w:rPr>
      </w:pPr>
    </w:p>
    <w:p w14:paraId="2C44955E">
      <w:pPr>
        <w:pStyle w:val="7"/>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申请人：</w:t>
      </w:r>
    </w:p>
    <w:p w14:paraId="4773F6B2">
      <w:pPr>
        <w:pStyle w:val="7"/>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3047D721">
      <w:pPr>
        <w:pStyle w:val="7"/>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w:t>
      </w:r>
    </w:p>
    <w:p w14:paraId="064A4538">
      <w:pPr>
        <w:pStyle w:val="7"/>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2EC64090">
      <w:pPr>
        <w:pStyle w:val="7"/>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p>
    <w:p w14:paraId="19A14C62">
      <w:pPr>
        <w:pStyle w:val="7"/>
        <w:ind w:left="63"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p>
    <w:p w14:paraId="6327343E">
      <w:pPr>
        <w:pStyle w:val="7"/>
        <w:ind w:left="71" w:leftChars="34" w:right="63"/>
        <w:jc w:val="left"/>
        <w:rPr>
          <w:rFonts w:ascii="仿宋" w:hAnsi="仿宋" w:cs="仿宋"/>
          <w:color w:val="auto"/>
          <w:spacing w:val="4"/>
          <w:sz w:val="30"/>
          <w:szCs w:val="30"/>
          <w:highlight w:val="none"/>
        </w:rPr>
      </w:pP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受益人名称</w:t>
      </w:r>
      <w:r>
        <w:rPr>
          <w:rFonts w:hint="eastAsia" w:ascii="仿宋" w:hAnsi="仿宋" w:eastAsia="仿宋" w:cs="仿宋"/>
          <w:color w:val="auto"/>
          <w:spacing w:val="4"/>
          <w:sz w:val="30"/>
          <w:szCs w:val="30"/>
          <w:highlight w:val="none"/>
        </w:rPr>
        <w:t>):</w:t>
      </w:r>
    </w:p>
    <w:p w14:paraId="2C22F2FD">
      <w:pPr>
        <w:pStyle w:val="7"/>
        <w:ind w:left="71" w:leftChars="34"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鉴于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受益人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以</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申请人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就工程</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本工程</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施工和有关事项协商一致，根据本工程中标通知书、招标文件和投标文件，了解到申请人为本工程项下之承包人、受益人为本工程</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项下之发包人，基于申请人的请求，我方</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即</w:t>
      </w:r>
      <w:r>
        <w:rPr>
          <w:rFonts w:eastAsia="仿宋"/>
          <w:color w:val="auto"/>
          <w:spacing w:val="4"/>
          <w:sz w:val="30"/>
          <w:szCs w:val="30"/>
          <w:highlight w:val="none"/>
        </w:rPr>
        <w:t>“</w:t>
      </w:r>
      <w:r>
        <w:rPr>
          <w:rFonts w:hint="eastAsia" w:ascii="宋体" w:hAnsi="宋体" w:cs="宋体"/>
          <w:color w:val="auto"/>
          <w:spacing w:val="4"/>
          <w:sz w:val="30"/>
          <w:szCs w:val="30"/>
          <w:highlight w:val="none"/>
        </w:rPr>
        <w:t>开立人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同意就</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申请人履行本工程依据中标通知书、招标文件和投标文件签订的《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基础合同</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约定的义务，向贵方提供不可撤销、不可转让的见索即付保函</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本保函</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48ACA944">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一、本保函担保范围：承包人未按照基础合同的约定履行义务，应当向贵方承担的违约责任和赔偿因此造成的损失、利息、律师费、诉讼费用等实现债权的费用。</w:t>
      </w:r>
    </w:p>
    <w:p w14:paraId="5D71CD15">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二、本保函担保金额最高不超过人民币</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大写</w:t>
      </w: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元</w:t>
      </w:r>
    </w:p>
    <w:p w14:paraId="1E17AAB4">
      <w:pPr>
        <w:pStyle w:val="7"/>
        <w:ind w:left="63" w:right="63"/>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328F5927">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三、本保函有效期自受益人与申请人签订的合同生效之日起至合同约定的工期截止日后</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天，最迟不超过</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日。</w:t>
      </w:r>
    </w:p>
    <w:p w14:paraId="2DEA3AC7">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四、我方承诺，在收到受益人发来的书面索赔通知和本保函原件后的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个工作日内无条件支付至受益人指定账户，前述书面索赔通知即为付款要求之单据，且应满足以下要求：</w:t>
      </w:r>
    </w:p>
    <w:p w14:paraId="60345705">
      <w:pPr>
        <w:pStyle w:val="7"/>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(1)</w:t>
      </w:r>
      <w:r>
        <w:rPr>
          <w:rFonts w:hint="eastAsia" w:ascii="宋体" w:hAnsi="宋体" w:cs="宋体"/>
          <w:color w:val="auto"/>
          <w:spacing w:val="4"/>
          <w:sz w:val="30"/>
          <w:szCs w:val="30"/>
          <w:highlight w:val="none"/>
        </w:rPr>
        <w:t>索赔通知到达的日期在本保函的有效期内；</w:t>
      </w:r>
    </w:p>
    <w:p w14:paraId="364D41BF">
      <w:pPr>
        <w:pStyle w:val="7"/>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(2)</w:t>
      </w:r>
      <w:r>
        <w:rPr>
          <w:rFonts w:hint="eastAsia" w:ascii="宋体" w:hAnsi="宋体" w:cs="宋体"/>
          <w:color w:val="auto"/>
          <w:spacing w:val="4"/>
          <w:sz w:val="30"/>
          <w:szCs w:val="30"/>
          <w:highlight w:val="none"/>
        </w:rPr>
        <w:t>载明要求支付的金额；</w:t>
      </w:r>
    </w:p>
    <w:p w14:paraId="43C3631A">
      <w:pPr>
        <w:pStyle w:val="7"/>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(3)</w:t>
      </w:r>
      <w:r>
        <w:rPr>
          <w:rFonts w:hint="eastAsia" w:ascii="宋体" w:hAnsi="宋体" w:cs="宋体"/>
          <w:color w:val="auto"/>
          <w:spacing w:val="4"/>
          <w:sz w:val="30"/>
          <w:szCs w:val="30"/>
          <w:highlight w:val="none"/>
        </w:rPr>
        <w:t>载明申请人违反合同义务的条款和内容；</w:t>
      </w:r>
    </w:p>
    <w:p w14:paraId="313D43B6">
      <w:pPr>
        <w:pStyle w:val="7"/>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(4)</w:t>
      </w:r>
      <w:r>
        <w:rPr>
          <w:rFonts w:hint="eastAsia" w:ascii="宋体" w:hAnsi="宋体" w:cs="宋体"/>
          <w:color w:val="auto"/>
          <w:spacing w:val="4"/>
          <w:sz w:val="30"/>
          <w:szCs w:val="30"/>
          <w:highlight w:val="none"/>
        </w:rPr>
        <w:t>声明不存在合同文件约定或我国法律规定免除申请人或开立人支付责任的情形；</w:t>
      </w:r>
    </w:p>
    <w:p w14:paraId="73F5CDB9">
      <w:pPr>
        <w:pStyle w:val="7"/>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(5)</w:t>
      </w:r>
      <w:r>
        <w:rPr>
          <w:rFonts w:hint="eastAsia" w:ascii="宋体" w:hAnsi="宋体" w:cs="宋体"/>
          <w:color w:val="auto"/>
          <w:spacing w:val="4"/>
          <w:sz w:val="30"/>
          <w:szCs w:val="30"/>
          <w:highlight w:val="none"/>
        </w:rPr>
        <w:t>索赔通知应在本保函有效期内到达的地址是：</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p>
    <w:p w14:paraId="30373FB3">
      <w:pPr>
        <w:pStyle w:val="7"/>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受益人发出的书面索赔通知应由其为鉴明受益人法定代表人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负责人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或授权代理人签字或盖个人名章并加盖公章。</w:t>
      </w:r>
    </w:p>
    <w:p w14:paraId="22164AAD">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五、本保函项下的权利不得转让，不得设定担保。贵方未经我方书面同意转让本保函或其项下任何权利，对我方不发生法律效力。</w:t>
      </w:r>
    </w:p>
    <w:p w14:paraId="7BFF2708">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六、与本保函有关的基础合同不成立、不生效、无效、被撤销、被解除，不影响本保函的独立有效。</w:t>
      </w:r>
    </w:p>
    <w:p w14:paraId="34091665">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七、贵方应在本保函到期后的七个工作日内将本保函正本退回我方注销，但是不论贵方是否按此要求将本保函正本退回我方，我方在本保函项下的义务和责任均在保函有效期到期后自动消灭。</w:t>
      </w:r>
    </w:p>
    <w:p w14:paraId="0BF72610">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八、本保函适用的法律为中华人民共和国法律，争议裁判管辖地为中华人民共和国</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62F3FF2C">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九、本保函自我方法定代表人或授权代表签字或盖个人名章并加盖公章或合同专用章之日起生效。</w:t>
      </w:r>
    </w:p>
    <w:p w14:paraId="4E49A5CF">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十、本保函在重庆市辖区范围内的核验地点：</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核验方式：</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75B19A27">
      <w:pPr>
        <w:pStyle w:val="7"/>
        <w:ind w:left="63" w:right="63"/>
        <w:rPr>
          <w:rFonts w:ascii="仿宋" w:hAnsi="仿宋" w:eastAsia="仿宋" w:cs="仿宋"/>
          <w:color w:val="auto"/>
          <w:spacing w:val="4"/>
          <w:sz w:val="30"/>
          <w:szCs w:val="30"/>
          <w:highlight w:val="none"/>
        </w:rPr>
      </w:pPr>
    </w:p>
    <w:p w14:paraId="426EB1AB">
      <w:pPr>
        <w:pStyle w:val="7"/>
        <w:ind w:left="63" w:right="63"/>
        <w:rPr>
          <w:rFonts w:ascii="仿宋" w:hAnsi="仿宋" w:eastAsia="仿宋" w:cs="仿宋"/>
          <w:color w:val="auto"/>
          <w:spacing w:val="4"/>
          <w:sz w:val="30"/>
          <w:szCs w:val="30"/>
          <w:highlight w:val="none"/>
        </w:rPr>
      </w:pPr>
    </w:p>
    <w:p w14:paraId="550CFA7D">
      <w:pPr>
        <w:pStyle w:val="7"/>
        <w:ind w:left="63" w:right="63" w:firstLine="616" w:firstLineChars="200"/>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 </w:t>
      </w:r>
      <w:r>
        <w:rPr>
          <w:rFonts w:hint="eastAsia" w:ascii="宋体" w:hAnsi="宋体" w:cs="宋体"/>
          <w:color w:val="auto"/>
          <w:spacing w:val="4"/>
          <w:sz w:val="30"/>
          <w:szCs w:val="30"/>
          <w:highlight w:val="none"/>
        </w:rPr>
        <w:t>公</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章</w:t>
      </w:r>
      <w:r>
        <w:rPr>
          <w:rFonts w:hint="eastAsia" w:ascii="仿宋" w:hAnsi="仿宋" w:eastAsia="仿宋" w:cs="仿宋"/>
          <w:color w:val="auto"/>
          <w:spacing w:val="4"/>
          <w:sz w:val="30"/>
          <w:szCs w:val="30"/>
          <w:highlight w:val="none"/>
        </w:rPr>
        <w:t xml:space="preserve"> )</w:t>
      </w:r>
    </w:p>
    <w:p w14:paraId="39D3F825">
      <w:pPr>
        <w:rPr>
          <w:color w:val="auto"/>
          <w:highlight w:val="none"/>
        </w:rPr>
      </w:pPr>
    </w:p>
    <w:p w14:paraId="0C3B1F22">
      <w:pPr>
        <w:pStyle w:val="7"/>
        <w:ind w:left="63" w:right="63" w:firstLine="616" w:firstLineChars="200"/>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或授权代表</w:t>
      </w:r>
      <w:r>
        <w:rPr>
          <w:rFonts w:hint="eastAsia" w:ascii="仿宋" w:hAnsi="仿宋" w:eastAsia="仿宋" w:cs="仿宋"/>
          <w:color w:val="auto"/>
          <w:spacing w:val="4"/>
          <w:sz w:val="30"/>
          <w:szCs w:val="30"/>
          <w:highlight w:val="none"/>
        </w:rPr>
        <w:t xml:space="preserve">):     </w:t>
      </w:r>
      <w:r>
        <w:rPr>
          <w:rFonts w:ascii="仿宋" w:hAnsi="仿宋" w:eastAsia="仿宋" w:cs="仿宋"/>
          <w:color w:val="auto"/>
          <w:spacing w:val="4"/>
          <w:sz w:val="30"/>
          <w:szCs w:val="30"/>
          <w:highlight w:val="non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签字或盖个人名章</w:t>
      </w:r>
      <w:r>
        <w:rPr>
          <w:rFonts w:hint="eastAsia" w:ascii="仿宋" w:hAnsi="仿宋" w:eastAsia="仿宋" w:cs="仿宋"/>
          <w:color w:val="auto"/>
          <w:spacing w:val="4"/>
          <w:sz w:val="30"/>
          <w:szCs w:val="30"/>
          <w:highlight w:val="none"/>
        </w:rPr>
        <w:t>)</w:t>
      </w:r>
    </w:p>
    <w:p w14:paraId="092C0F8A">
      <w:pPr>
        <w:pStyle w:val="7"/>
        <w:ind w:left="63" w:right="63" w:firstLine="616" w:firstLineChars="200"/>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2D186075">
      <w:pPr>
        <w:pStyle w:val="7"/>
        <w:ind w:left="63" w:right="63" w:firstLine="616" w:firstLineChars="200"/>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邮政编码：</w:t>
      </w:r>
      <w:r>
        <w:rPr>
          <w:rFonts w:hint="eastAsia" w:ascii="仿宋" w:hAnsi="仿宋" w:eastAsia="仿宋" w:cs="仿宋"/>
          <w:color w:val="auto"/>
          <w:spacing w:val="4"/>
          <w:sz w:val="30"/>
          <w:szCs w:val="30"/>
          <w:highlight w:val="none"/>
        </w:rPr>
        <w:t xml:space="preserve">                                              </w:t>
      </w:r>
    </w:p>
    <w:p w14:paraId="33C67D82">
      <w:pPr>
        <w:pStyle w:val="7"/>
        <w:ind w:left="63" w:right="63" w:firstLine="616" w:firstLineChars="200"/>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电</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话：</w:t>
      </w:r>
      <w:r>
        <w:rPr>
          <w:rFonts w:hint="eastAsia" w:ascii="仿宋" w:hAnsi="仿宋" w:eastAsia="仿宋" w:cs="仿宋"/>
          <w:color w:val="auto"/>
          <w:spacing w:val="4"/>
          <w:sz w:val="30"/>
          <w:szCs w:val="30"/>
          <w:highlight w:val="none"/>
        </w:rPr>
        <w:t xml:space="preserve">                                              </w:t>
      </w:r>
    </w:p>
    <w:p w14:paraId="03D819F3">
      <w:pPr>
        <w:pStyle w:val="7"/>
        <w:ind w:left="63" w:right="63" w:firstLine="616" w:firstLineChars="200"/>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传</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真</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67538DB9">
      <w:pPr>
        <w:pStyle w:val="7"/>
        <w:ind w:left="63" w:right="63" w:firstLine="616" w:firstLineChars="200"/>
        <w:rPr>
          <w:color w:val="auto"/>
          <w:highlight w:val="none"/>
        </w:rPr>
      </w:pPr>
      <w:r>
        <w:rPr>
          <w:rFonts w:hint="eastAsia" w:ascii="宋体" w:hAnsi="宋体" w:cs="宋体"/>
          <w:color w:val="auto"/>
          <w:spacing w:val="4"/>
          <w:sz w:val="30"/>
          <w:szCs w:val="30"/>
          <w:highlight w:val="none"/>
        </w:rPr>
        <w:t>开立时间：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rPr>
        <w:t xml:space="preserve">    </w:t>
      </w:r>
    </w:p>
    <w:p w14:paraId="561414D8">
      <w:pPr>
        <w:rPr>
          <w:color w:val="auto"/>
          <w:highlight w:val="none"/>
        </w:rPr>
      </w:pPr>
    </w:p>
    <w:p w14:paraId="0EF5A99F">
      <w:pPr>
        <w:widowControl/>
        <w:jc w:val="center"/>
        <w:rPr>
          <w:rFonts w:ascii="宋体" w:hAnsi="宋体"/>
          <w:bCs/>
          <w:color w:val="auto"/>
          <w:kern w:val="0"/>
          <w:sz w:val="28"/>
          <w:szCs w:val="28"/>
          <w:highlight w:val="none"/>
        </w:rPr>
      </w:pPr>
    </w:p>
    <w:p w14:paraId="521E54D0">
      <w:pPr>
        <w:spacing w:line="360" w:lineRule="auto"/>
        <w:rPr>
          <w:rFonts w:hint="eastAsia" w:ascii="宋体" w:hAnsi="宋体"/>
          <w:color w:val="auto"/>
          <w:sz w:val="24"/>
          <w:highlight w:val="none"/>
        </w:rPr>
      </w:pPr>
    </w:p>
    <w:sectPr>
      <w:headerReference r:id="rId7" w:type="default"/>
      <w:pgSz w:w="11907" w:h="16839"/>
      <w:pgMar w:top="1134" w:right="1134" w:bottom="1134" w:left="1134" w:header="567"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MingLiU">
    <w:altName w:val="PMingLiU-ExtB"/>
    <w:panose1 w:val="02010609000101010101"/>
    <w:charset w:val="88"/>
    <w:family w:val="modern"/>
    <w:pitch w:val="default"/>
    <w:sig w:usb0="00000000" w:usb1="00000000" w:usb2="00000010" w:usb3="00000000" w:csb0="00100000" w:csb1="00000000"/>
  </w:font>
  <w:font w:name="华文中宋">
    <w:altName w:val="宋体"/>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D0744">
    <w:pPr>
      <w:pStyle w:val="8"/>
      <w:jc w:val="center"/>
      <w:rPr>
        <w:rFonts w:eastAsia="仿宋_GB2312"/>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BF74DE">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120</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49BF74DE">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120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05C0E">
    <w:pPr>
      <w:pStyle w:val="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E73876F">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120</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WTfsxAgAAZ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mD3Lwlbv&#10;LI/QUR5vV8cAOZPKUZROCXQnbjB9qU/9S4nj/ec+RT3+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1Fk37MQIAAGUEAAAOAAAAAAAAAAEAIAAAAB8BAABkcnMvZTJvRG9jLnhtbFBLBQYA&#10;AAAABgAGAFkBAADCBQAAAAA=&#10;">
              <v:fill on="f" focussize="0,0"/>
              <v:stroke on="f" weight="0.5pt"/>
              <v:imagedata o:title=""/>
              <o:lock v:ext="edit" aspectratio="f"/>
              <v:textbox inset="0mm,0mm,0mm,0mm" style="mso-fit-shape-to-text:t;">
                <w:txbxContent>
                  <w:p w14:paraId="6E73876F">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120</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EB675">
    <w:pPr>
      <w:spacing w:line="176" w:lineRule="auto"/>
      <w:ind w:left="4368"/>
      <w:rPr>
        <w:rFonts w:eastAsia="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AA73D49">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120</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5AA73D49">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120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61D17">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078F0">
    <w:pPr>
      <w:pStyle w:val="9"/>
      <w:pBdr>
        <w:bottom w:val="thinThickMediumGap" w:color="auto" w:sz="18" w:space="1"/>
      </w:pBdr>
      <w:jc w:val="left"/>
      <w:rPr>
        <w:kern w:val="18"/>
      </w:rPr>
    </w:pPr>
    <w:r>
      <w:rPr>
        <w:rFonts w:hint="eastAsia"/>
        <w:kern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BB9AB"/>
    <w:multiLevelType w:val="singleLevel"/>
    <w:tmpl w:val="923BB9AB"/>
    <w:lvl w:ilvl="0" w:tentative="0">
      <w:start w:val="1"/>
      <w:numFmt w:val="decimal"/>
      <w:suff w:val="nothing"/>
      <w:lvlText w:val="（%1）"/>
      <w:lvlJc w:val="left"/>
    </w:lvl>
  </w:abstractNum>
  <w:abstractNum w:abstractNumId="1">
    <w:nsid w:val="944572F0"/>
    <w:multiLevelType w:val="singleLevel"/>
    <w:tmpl w:val="944572F0"/>
    <w:lvl w:ilvl="0" w:tentative="0">
      <w:start w:val="1"/>
      <w:numFmt w:val="decimal"/>
      <w:suff w:val="nothing"/>
      <w:lvlText w:val="（%1）"/>
      <w:lvlJc w:val="left"/>
    </w:lvl>
  </w:abstractNum>
  <w:abstractNum w:abstractNumId="2">
    <w:nsid w:val="1FC91163"/>
    <w:multiLevelType w:val="multilevel"/>
    <w:tmpl w:val="1FC91163"/>
    <w:lvl w:ilvl="0" w:tentative="0">
      <w:start w:val="1"/>
      <w:numFmt w:val="decimal"/>
      <w:pStyle w:val="25"/>
      <w:suff w:val="nothing"/>
      <w:lvlText w:val="%1　"/>
      <w:lvlJc w:val="left"/>
      <w:pPr>
        <w:ind w:left="3544" w:firstLine="0"/>
      </w:pPr>
      <w:rPr>
        <w:rFonts w:hint="eastAsia" w:ascii="黑体" w:hAnsi="Times New Roman" w:eastAsia="黑体"/>
        <w:b w:val="0"/>
        <w:i w:val="0"/>
        <w:sz w:val="21"/>
        <w:szCs w:val="21"/>
      </w:rPr>
    </w:lvl>
    <w:lvl w:ilvl="1" w:tentative="0">
      <w:start w:val="1"/>
      <w:numFmt w:val="decimal"/>
      <w:pStyle w:val="27"/>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0B247BD"/>
    <w:multiLevelType w:val="singleLevel"/>
    <w:tmpl w:val="20B247BD"/>
    <w:lvl w:ilvl="0" w:tentative="0">
      <w:start w:val="1"/>
      <w:numFmt w:val="upperLetter"/>
      <w:suff w:val="nothing"/>
      <w:lvlText w:val="%1、"/>
      <w:lvlJc w:val="left"/>
    </w:lvl>
  </w:abstractNum>
  <w:abstractNum w:abstractNumId="4">
    <w:nsid w:val="2CAC5F95"/>
    <w:multiLevelType w:val="singleLevel"/>
    <w:tmpl w:val="2CAC5F95"/>
    <w:lvl w:ilvl="0" w:tentative="0">
      <w:start w:val="4"/>
      <w:numFmt w:val="chineseCounting"/>
      <w:suff w:val="nothing"/>
      <w:lvlText w:val="%1、"/>
      <w:lvlJc w:val="left"/>
      <w:rPr>
        <w:rFonts w:hint="eastAsia"/>
        <w:lang w:val="en-US"/>
      </w:rPr>
    </w:lvl>
  </w:abstractNum>
  <w:abstractNum w:abstractNumId="5">
    <w:nsid w:val="5EE13876"/>
    <w:multiLevelType w:val="multilevel"/>
    <w:tmpl w:val="5EE13876"/>
    <w:lvl w:ilvl="0" w:tentative="0">
      <w:start w:val="1"/>
      <w:numFmt w:val="decimal"/>
      <w:lvlText w:val="%1"/>
      <w:lvlJc w:val="left"/>
      <w:pPr>
        <w:ind w:left="425" w:hanging="425"/>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62A2B154"/>
    <w:multiLevelType w:val="singleLevel"/>
    <w:tmpl w:val="62A2B154"/>
    <w:lvl w:ilvl="0" w:tentative="0">
      <w:start w:val="1"/>
      <w:numFmt w:val="decimal"/>
      <w:suff w:val="nothing"/>
      <w:lvlText w:val="（%1）"/>
      <w:lvlJc w:val="left"/>
    </w:lvl>
  </w:abstractNum>
  <w:abstractNum w:abstractNumId="7">
    <w:nsid w:val="76B26BF2"/>
    <w:multiLevelType w:val="multilevel"/>
    <w:tmpl w:val="76B26BF2"/>
    <w:lvl w:ilvl="0" w:tentative="0">
      <w:start w:val="5"/>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78A17D2A"/>
    <w:multiLevelType w:val="singleLevel"/>
    <w:tmpl w:val="78A17D2A"/>
    <w:lvl w:ilvl="0" w:tentative="0">
      <w:start w:val="1"/>
      <w:numFmt w:val="chineseCounting"/>
      <w:suff w:val="nothing"/>
      <w:lvlText w:val="%1、"/>
      <w:lvlJc w:val="left"/>
      <w:rPr>
        <w:rFonts w:hint="eastAsia"/>
      </w:rPr>
    </w:lvl>
  </w:abstractNum>
  <w:num w:numId="1">
    <w:abstractNumId w:val="2"/>
  </w:num>
  <w:num w:numId="2">
    <w:abstractNumId w:val="8"/>
  </w:num>
  <w:num w:numId="3">
    <w:abstractNumId w:val="4"/>
  </w:num>
  <w:num w:numId="4">
    <w:abstractNumId w:val="6"/>
  </w:num>
  <w:num w:numId="5">
    <w:abstractNumId w:val="0"/>
  </w:num>
  <w:num w:numId="6">
    <w:abstractNumId w:val="1"/>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882"/>
    <w:rsid w:val="000115BF"/>
    <w:rsid w:val="00014CB0"/>
    <w:rsid w:val="00082D37"/>
    <w:rsid w:val="000834A1"/>
    <w:rsid w:val="00096F79"/>
    <w:rsid w:val="000C1E8C"/>
    <w:rsid w:val="00121DC3"/>
    <w:rsid w:val="0012223B"/>
    <w:rsid w:val="00125FA0"/>
    <w:rsid w:val="001633C2"/>
    <w:rsid w:val="001D48D5"/>
    <w:rsid w:val="001D72F5"/>
    <w:rsid w:val="001E73D5"/>
    <w:rsid w:val="00220A0C"/>
    <w:rsid w:val="002439A6"/>
    <w:rsid w:val="002B1F91"/>
    <w:rsid w:val="002C3176"/>
    <w:rsid w:val="002D62DF"/>
    <w:rsid w:val="002F077C"/>
    <w:rsid w:val="003163CF"/>
    <w:rsid w:val="003536FA"/>
    <w:rsid w:val="00387164"/>
    <w:rsid w:val="00396B0D"/>
    <w:rsid w:val="003B5C92"/>
    <w:rsid w:val="003E6377"/>
    <w:rsid w:val="003F2E8A"/>
    <w:rsid w:val="00410882"/>
    <w:rsid w:val="00415360"/>
    <w:rsid w:val="004562BE"/>
    <w:rsid w:val="004873D3"/>
    <w:rsid w:val="004A4272"/>
    <w:rsid w:val="004B5BBE"/>
    <w:rsid w:val="004D0BD1"/>
    <w:rsid w:val="005357D9"/>
    <w:rsid w:val="00542ADD"/>
    <w:rsid w:val="00584163"/>
    <w:rsid w:val="006130E4"/>
    <w:rsid w:val="0063764C"/>
    <w:rsid w:val="00640DAC"/>
    <w:rsid w:val="00672F6B"/>
    <w:rsid w:val="006F276B"/>
    <w:rsid w:val="00721D0B"/>
    <w:rsid w:val="00776615"/>
    <w:rsid w:val="007B3CF6"/>
    <w:rsid w:val="007E41EB"/>
    <w:rsid w:val="008857F6"/>
    <w:rsid w:val="00885C77"/>
    <w:rsid w:val="00887F9F"/>
    <w:rsid w:val="008B64BE"/>
    <w:rsid w:val="008F2214"/>
    <w:rsid w:val="008F7024"/>
    <w:rsid w:val="009150D0"/>
    <w:rsid w:val="009C0AE5"/>
    <w:rsid w:val="00A53673"/>
    <w:rsid w:val="00A92103"/>
    <w:rsid w:val="00AA07CD"/>
    <w:rsid w:val="00AB7CD9"/>
    <w:rsid w:val="00AD2B6E"/>
    <w:rsid w:val="00AD350D"/>
    <w:rsid w:val="00B47430"/>
    <w:rsid w:val="00BE6F57"/>
    <w:rsid w:val="00C1153A"/>
    <w:rsid w:val="00C546E8"/>
    <w:rsid w:val="00C57E16"/>
    <w:rsid w:val="00C73E79"/>
    <w:rsid w:val="00C74410"/>
    <w:rsid w:val="00CB6C9E"/>
    <w:rsid w:val="00CE1276"/>
    <w:rsid w:val="00DA129F"/>
    <w:rsid w:val="00E55874"/>
    <w:rsid w:val="00E65254"/>
    <w:rsid w:val="00EC0658"/>
    <w:rsid w:val="00F251A4"/>
    <w:rsid w:val="01407DFE"/>
    <w:rsid w:val="01CA3F1A"/>
    <w:rsid w:val="031663E9"/>
    <w:rsid w:val="03D401FE"/>
    <w:rsid w:val="041A45D7"/>
    <w:rsid w:val="04CA2DA2"/>
    <w:rsid w:val="06C675E3"/>
    <w:rsid w:val="075E46C1"/>
    <w:rsid w:val="0B1B7564"/>
    <w:rsid w:val="0CF74C6E"/>
    <w:rsid w:val="0DF52C6F"/>
    <w:rsid w:val="0E664FCA"/>
    <w:rsid w:val="0EBA407A"/>
    <w:rsid w:val="0FBB574F"/>
    <w:rsid w:val="1031378F"/>
    <w:rsid w:val="10DF0323"/>
    <w:rsid w:val="11420714"/>
    <w:rsid w:val="1208017F"/>
    <w:rsid w:val="12BB58E4"/>
    <w:rsid w:val="12BF484E"/>
    <w:rsid w:val="12DE784D"/>
    <w:rsid w:val="180513B0"/>
    <w:rsid w:val="1883444F"/>
    <w:rsid w:val="18A0021C"/>
    <w:rsid w:val="18E90CD1"/>
    <w:rsid w:val="19A75820"/>
    <w:rsid w:val="1ACB068F"/>
    <w:rsid w:val="1BC82E20"/>
    <w:rsid w:val="1CB168E1"/>
    <w:rsid w:val="1D995533"/>
    <w:rsid w:val="1E490A99"/>
    <w:rsid w:val="1ECE257B"/>
    <w:rsid w:val="1ED33FB6"/>
    <w:rsid w:val="1F8E612F"/>
    <w:rsid w:val="1FE70832"/>
    <w:rsid w:val="20BA466B"/>
    <w:rsid w:val="2164183D"/>
    <w:rsid w:val="216655B5"/>
    <w:rsid w:val="219C02A4"/>
    <w:rsid w:val="236D1A5F"/>
    <w:rsid w:val="245C4CD3"/>
    <w:rsid w:val="254E1297"/>
    <w:rsid w:val="25BE7053"/>
    <w:rsid w:val="261E1A36"/>
    <w:rsid w:val="274370A4"/>
    <w:rsid w:val="2B2D6198"/>
    <w:rsid w:val="2EED69CE"/>
    <w:rsid w:val="2EF83608"/>
    <w:rsid w:val="2F8C615C"/>
    <w:rsid w:val="2FA33530"/>
    <w:rsid w:val="322724D4"/>
    <w:rsid w:val="33165873"/>
    <w:rsid w:val="33A87367"/>
    <w:rsid w:val="33CA5530"/>
    <w:rsid w:val="340C1E14"/>
    <w:rsid w:val="34D941C9"/>
    <w:rsid w:val="358E07DF"/>
    <w:rsid w:val="359978AF"/>
    <w:rsid w:val="35D408E8"/>
    <w:rsid w:val="38B467AE"/>
    <w:rsid w:val="3C3C2D43"/>
    <w:rsid w:val="3C507AAD"/>
    <w:rsid w:val="3CA1704A"/>
    <w:rsid w:val="3D31435C"/>
    <w:rsid w:val="3D3B2FFA"/>
    <w:rsid w:val="3DD079F6"/>
    <w:rsid w:val="3FFF71F2"/>
    <w:rsid w:val="40195815"/>
    <w:rsid w:val="41171FD0"/>
    <w:rsid w:val="43243258"/>
    <w:rsid w:val="43EE7018"/>
    <w:rsid w:val="44200866"/>
    <w:rsid w:val="44A447D8"/>
    <w:rsid w:val="46F91CF8"/>
    <w:rsid w:val="478A52AA"/>
    <w:rsid w:val="49935F6C"/>
    <w:rsid w:val="4AE65862"/>
    <w:rsid w:val="4BD33739"/>
    <w:rsid w:val="4CC4300C"/>
    <w:rsid w:val="4D2910C1"/>
    <w:rsid w:val="4D7A36CB"/>
    <w:rsid w:val="4DBB652F"/>
    <w:rsid w:val="4E221B99"/>
    <w:rsid w:val="4E6C1E8B"/>
    <w:rsid w:val="511432A7"/>
    <w:rsid w:val="515661FD"/>
    <w:rsid w:val="53266CED"/>
    <w:rsid w:val="53EF504B"/>
    <w:rsid w:val="53F95F9A"/>
    <w:rsid w:val="542477F4"/>
    <w:rsid w:val="56BE671B"/>
    <w:rsid w:val="56C10D79"/>
    <w:rsid w:val="56C377C5"/>
    <w:rsid w:val="56FA6C77"/>
    <w:rsid w:val="56FE46AB"/>
    <w:rsid w:val="57D50C32"/>
    <w:rsid w:val="588875E4"/>
    <w:rsid w:val="588C0AC2"/>
    <w:rsid w:val="5A8738CB"/>
    <w:rsid w:val="5EA36BFC"/>
    <w:rsid w:val="618119F8"/>
    <w:rsid w:val="642C24F3"/>
    <w:rsid w:val="64D66DF5"/>
    <w:rsid w:val="654B7174"/>
    <w:rsid w:val="661E78ED"/>
    <w:rsid w:val="67182A90"/>
    <w:rsid w:val="67840CA7"/>
    <w:rsid w:val="699D0A15"/>
    <w:rsid w:val="69DF2DDC"/>
    <w:rsid w:val="6A9455F7"/>
    <w:rsid w:val="6C3D64DF"/>
    <w:rsid w:val="6C850193"/>
    <w:rsid w:val="6D6455ED"/>
    <w:rsid w:val="6D6655C2"/>
    <w:rsid w:val="6DBA07BF"/>
    <w:rsid w:val="6DC42A14"/>
    <w:rsid w:val="70512559"/>
    <w:rsid w:val="732B09DE"/>
    <w:rsid w:val="74015CD1"/>
    <w:rsid w:val="74F00593"/>
    <w:rsid w:val="74FB4333"/>
    <w:rsid w:val="75CE7892"/>
    <w:rsid w:val="7732131B"/>
    <w:rsid w:val="77B61176"/>
    <w:rsid w:val="781E1E4E"/>
    <w:rsid w:val="782E6C42"/>
    <w:rsid w:val="7BC260B9"/>
    <w:rsid w:val="7BD133DE"/>
    <w:rsid w:val="7C362E56"/>
    <w:rsid w:val="7C8D5568"/>
    <w:rsid w:val="7E256E37"/>
    <w:rsid w:val="7FAC456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autoSpaceDE w:val="0"/>
      <w:autoSpaceDN w:val="0"/>
      <w:adjustRightInd w:val="0"/>
      <w:spacing w:line="360" w:lineRule="auto"/>
      <w:jc w:val="left"/>
      <w:outlineLvl w:val="2"/>
    </w:pPr>
    <w:rPr>
      <w:rFonts w:ascii="仿宋_GB2312" w:hAnsi="仿宋_GB2312"/>
      <w:b/>
      <w:kern w:val="0"/>
      <w:szCs w:val="28"/>
    </w:rPr>
  </w:style>
  <w:style w:type="paragraph" w:styleId="5">
    <w:name w:val="heading 4"/>
    <w:next w:val="1"/>
    <w:qFormat/>
    <w:uiPriority w:val="0"/>
    <w:pPr>
      <w:keepNext/>
      <w:keepLines/>
      <w:widowControl w:val="0"/>
      <w:spacing w:before="280" w:after="290" w:line="372" w:lineRule="auto"/>
      <w:jc w:val="both"/>
      <w:outlineLvl w:val="3"/>
    </w:pPr>
    <w:rPr>
      <w:rFonts w:ascii="Cambria" w:hAnsi="Cambria" w:eastAsia="宋体" w:cs="Times New Roman"/>
      <w:b/>
      <w:bCs/>
      <w:kern w:val="2"/>
      <w:sz w:val="28"/>
      <w:szCs w:val="28"/>
      <w:lang w:val="en-US" w:eastAsia="zh-CN" w:bidi="ar-SA"/>
    </w:rPr>
  </w:style>
  <w:style w:type="character" w:default="1" w:styleId="14">
    <w:name w:val="Default Paragraph Font"/>
    <w:semiHidden/>
    <w:uiPriority w:val="0"/>
  </w:style>
  <w:style w:type="table" w:default="1" w:styleId="13">
    <w:name w:val="Normal Table"/>
    <w:semiHidden/>
    <w:uiPriority w:val="0"/>
    <w:tblPr>
      <w:tblStyle w:val="13"/>
      <w:tblCellMar>
        <w:top w:w="0" w:type="dxa"/>
        <w:left w:w="108" w:type="dxa"/>
        <w:bottom w:w="0" w:type="dxa"/>
        <w:right w:w="108" w:type="dxa"/>
      </w:tblCellMar>
    </w:tblPr>
  </w:style>
  <w:style w:type="paragraph" w:styleId="6">
    <w:name w:val="annotation text"/>
    <w:basedOn w:val="1"/>
    <w:uiPriority w:val="99"/>
    <w:pPr>
      <w:adjustRightInd w:val="0"/>
      <w:spacing w:line="360" w:lineRule="atLeast"/>
      <w:jc w:val="left"/>
      <w:textAlignment w:val="baseline"/>
    </w:pPr>
    <w:rPr>
      <w:kern w:val="0"/>
      <w:sz w:val="24"/>
      <w:szCs w:val="20"/>
    </w:rPr>
  </w:style>
  <w:style w:type="paragraph" w:styleId="7">
    <w:name w:val="Body Text"/>
    <w:basedOn w:val="1"/>
    <w:qFormat/>
    <w:uiPriority w:val="0"/>
    <w:pPr>
      <w:spacing w:after="120"/>
    </w:pPr>
  </w:style>
  <w:style w:type="paragraph" w:styleId="8">
    <w:name w:val="footer"/>
    <w:basedOn w:val="1"/>
    <w:link w:val="16"/>
    <w:uiPriority w:val="0"/>
    <w:pPr>
      <w:tabs>
        <w:tab w:val="center" w:pos="4153"/>
        <w:tab w:val="right" w:pos="8306"/>
      </w:tabs>
      <w:snapToGrid w:val="0"/>
      <w:jc w:val="left"/>
    </w:pPr>
    <w:rPr>
      <w:sz w:val="18"/>
      <w:szCs w:val="18"/>
    </w:rPr>
  </w:style>
  <w:style w:type="paragraph" w:styleId="9">
    <w:name w:val="header"/>
    <w:basedOn w:val="1"/>
    <w:link w:val="17"/>
    <w:uiPriority w:val="0"/>
    <w:pPr>
      <w:pBdr>
        <w:bottom w:val="single" w:color="auto" w:sz="6" w:space="1"/>
      </w:pBdr>
      <w:tabs>
        <w:tab w:val="center" w:pos="4153"/>
        <w:tab w:val="right" w:pos="8306"/>
      </w:tabs>
      <w:snapToGrid w:val="0"/>
      <w:jc w:val="center"/>
    </w:pPr>
    <w:rPr>
      <w:sz w:val="18"/>
      <w:szCs w:val="18"/>
    </w:rPr>
  </w:style>
  <w:style w:type="paragraph" w:styleId="10">
    <w:name w:val="toc 2"/>
    <w:basedOn w:val="1"/>
    <w:next w:val="1"/>
    <w:qFormat/>
    <w:uiPriority w:val="39"/>
    <w:pPr>
      <w:ind w:left="420" w:leftChars="200"/>
    </w:pPr>
    <w:rPr>
      <w:rFonts w:ascii="Times New Roman" w:hAnsi="Times New Roman"/>
    </w:rPr>
  </w:style>
  <w:style w:type="paragraph" w:styleId="11">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unhideWhenUsed/>
    <w:qFormat/>
    <w:uiPriority w:val="0"/>
    <w:pPr>
      <w:spacing w:beforeAutospacing="1" w:afterAutospacing="1"/>
      <w:jc w:val="left"/>
    </w:pPr>
    <w:rPr>
      <w:kern w:val="0"/>
      <w:sz w:val="24"/>
    </w:rPr>
  </w:style>
  <w:style w:type="character" w:styleId="15">
    <w:name w:val="Hyperlink"/>
    <w:uiPriority w:val="99"/>
    <w:rPr>
      <w:color w:val="000000"/>
      <w:u w:val="none"/>
    </w:rPr>
  </w:style>
  <w:style w:type="character" w:customStyle="1" w:styleId="16">
    <w:name w:val="页脚 Char"/>
    <w:link w:val="8"/>
    <w:uiPriority w:val="0"/>
    <w:rPr>
      <w:kern w:val="2"/>
      <w:sz w:val="18"/>
      <w:szCs w:val="18"/>
    </w:rPr>
  </w:style>
  <w:style w:type="character" w:customStyle="1" w:styleId="17">
    <w:name w:val="页眉 Char"/>
    <w:link w:val="9"/>
    <w:uiPriority w:val="0"/>
    <w:rPr>
      <w:kern w:val="2"/>
      <w:sz w:val="18"/>
      <w:szCs w:val="18"/>
    </w:rPr>
  </w:style>
  <w:style w:type="paragraph" w:customStyle="1" w:styleId="18">
    <w:name w:val="3（条）正文标题"/>
    <w:basedOn w:val="1"/>
    <w:qFormat/>
    <w:uiPriority w:val="0"/>
    <w:pPr>
      <w:spacing w:line="360" w:lineRule="auto"/>
      <w:ind w:firstLine="562" w:firstLineChars="200"/>
    </w:pPr>
  </w:style>
  <w:style w:type="paragraph" w:customStyle="1" w:styleId="19">
    <w:name w:val="正文（首行缩进） Char"/>
    <w:basedOn w:val="1"/>
    <w:qFormat/>
    <w:uiPriority w:val="0"/>
    <w:pPr>
      <w:spacing w:line="360" w:lineRule="auto"/>
      <w:ind w:firstLine="480" w:firstLineChars="200"/>
    </w:pPr>
    <w:rPr>
      <w:rFonts w:ascii="Arial" w:hAnsi="Arial"/>
      <w:color w:val="000000"/>
      <w:sz w:val="24"/>
    </w:rPr>
  </w:style>
  <w:style w:type="paragraph" w:customStyle="1" w:styleId="20">
    <w:name w:val="Heading3"/>
    <w:basedOn w:val="1"/>
    <w:next w:val="1"/>
    <w:qFormat/>
    <w:uiPriority w:val="0"/>
    <w:pPr>
      <w:keepNext/>
      <w:keepLines/>
      <w:spacing w:before="260" w:after="260" w:line="416" w:lineRule="auto"/>
    </w:pPr>
    <w:rPr>
      <w:b/>
      <w:bCs/>
      <w:kern w:val="0"/>
      <w:sz w:val="32"/>
      <w:szCs w:val="32"/>
    </w:rPr>
  </w:style>
  <w:style w:type="character" w:customStyle="1" w:styleId="21">
    <w:name w:val="NormalCharacter"/>
    <w:qFormat/>
    <w:uiPriority w:val="0"/>
  </w:style>
  <w:style w:type="paragraph" w:customStyle="1" w:styleId="22">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23">
    <w:name w:val="Table Normal"/>
    <w:basedOn w:val="13"/>
    <w:unhideWhenUsed/>
    <w:qFormat/>
    <w:uiPriority w:val="0"/>
    <w:tblPr>
      <w:tblStyle w:val="13"/>
      <w:tblCellMar>
        <w:left w:w="0" w:type="dxa"/>
        <w:right w:w="0" w:type="dxa"/>
      </w:tblCellMar>
    </w:tblPr>
  </w:style>
  <w:style w:type="paragraph" w:customStyle="1" w:styleId="24">
    <w:name w:val="目次、标准名称标题"/>
    <w:next w:val="22"/>
    <w:qFormat/>
    <w:uiPriority w:val="0"/>
    <w:pPr>
      <w:keepNext/>
      <w:pageBreakBefore/>
      <w:shd w:val="clear" w:color="FFFFFF" w:fill="FFFFFF"/>
      <w:spacing w:before="640" w:after="560" w:line="460" w:lineRule="exact"/>
      <w:jc w:val="center"/>
      <w:outlineLvl w:val="0"/>
    </w:pPr>
    <w:rPr>
      <w:rFonts w:ascii="黑体" w:hAnsi="Times New Roman" w:eastAsia="黑体" w:cs="Times New Roman"/>
      <w:sz w:val="32"/>
      <w:lang w:val="en-US" w:eastAsia="zh-CN" w:bidi="ar-SA"/>
    </w:rPr>
  </w:style>
  <w:style w:type="paragraph" w:customStyle="1" w:styleId="25">
    <w:name w:val="章标题"/>
    <w:next w:val="22"/>
    <w:qFormat/>
    <w:uiPriority w:val="0"/>
    <w:pPr>
      <w:numPr>
        <w:ilvl w:val="0"/>
        <w:numId w:val="1"/>
      </w:numPr>
      <w:spacing w:beforeLines="100" w:afterLines="100"/>
      <w:ind w:left="0"/>
      <w:jc w:val="both"/>
      <w:outlineLvl w:val="1"/>
    </w:pPr>
    <w:rPr>
      <w:rFonts w:ascii="黑体" w:hAnsi="Times New Roman" w:eastAsia="黑体" w:cs="Times New Roman"/>
      <w:sz w:val="21"/>
      <w:lang w:val="en-US" w:eastAsia="zh-CN" w:bidi="ar-SA"/>
    </w:rPr>
  </w:style>
  <w:style w:type="paragraph" w:customStyle="1" w:styleId="26">
    <w:name w:val="一级无"/>
    <w:qFormat/>
    <w:uiPriority w:val="0"/>
    <w:pPr>
      <w:outlineLvl w:val="2"/>
    </w:pPr>
    <w:rPr>
      <w:rFonts w:ascii="宋体" w:hAnsi="Times New Roman" w:eastAsia="宋体" w:cs="Times New Roman"/>
      <w:sz w:val="21"/>
      <w:szCs w:val="21"/>
      <w:lang w:val="en-US" w:eastAsia="zh-CN" w:bidi="ar-SA"/>
    </w:rPr>
  </w:style>
  <w:style w:type="paragraph" w:customStyle="1" w:styleId="27">
    <w:name w:val="一级条标题"/>
    <w:next w:val="22"/>
    <w:qFormat/>
    <w:uiPriority w:val="0"/>
    <w:pPr>
      <w:numPr>
        <w:ilvl w:val="1"/>
        <w:numId w:val="1"/>
      </w:numPr>
      <w:spacing w:beforeLines="50" w:afterLines="50"/>
      <w:ind w:left="0"/>
      <w:outlineLvl w:val="2"/>
    </w:pPr>
    <w:rPr>
      <w:rFonts w:ascii="黑体" w:hAnsi="Times New Roman" w:eastAsia="黑体" w:cs="Times New Roman"/>
      <w:sz w:val="21"/>
      <w:szCs w:val="21"/>
      <w:lang w:val="en-US" w:eastAsia="zh-CN" w:bidi="ar-SA"/>
    </w:rPr>
  </w:style>
  <w:style w:type="paragraph" w:customStyle="1" w:styleId="28">
    <w:name w:val="正文图标题"/>
    <w:next w:val="22"/>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styleId="2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111</Pages>
  <Words>86</Words>
  <Characters>105</Characters>
  <Lines>14</Lines>
  <Paragraphs>4</Paragraphs>
  <TotalTime>5</TotalTime>
  <ScaleCrop>false</ScaleCrop>
  <LinksUpToDate>false</LinksUpToDate>
  <CharactersWithSpaces>140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2022-01-14T08:32:00Z</dcterms:created>
  <dc:creator>leeqiang</dc:creator>
  <cp:lastModifiedBy>杨栩</cp:lastModifiedBy>
  <dcterms:modified xsi:type="dcterms:W3CDTF">2026-10-27T07:14:40Z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8CCD24A7515C4DD1A875BEECD4076DCA_13</vt:lpwstr>
  </property>
  <property fmtid="{D5CDD505-2E9C-101B-9397-08002B2CF9AE}" pid="4" name="KSOTemplateDocerSaveRecord">
    <vt:lpwstr>eyJoZGlkIjoiMjIzODU5ZGRkYTVkODQ4NTI2Nzc3N2I3NjAyMGUzMTQiLCJ1c2VySWQiOiI0NTQ4MDg0MDgifQ==</vt:lpwstr>
  </property>
</Properties>
</file>