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984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1606" w:right="0" w:hanging="1606" w:hangingChars="500"/>
        <w:jc w:val="left"/>
        <w:textAlignment w:val="auto"/>
        <w:rPr>
          <w:rFonts w:hint="default" w:cs="宋体"/>
          <w:b/>
          <w:bCs w:val="0"/>
          <w:sz w:val="32"/>
          <w:szCs w:val="36"/>
          <w:lang w:val="en-US"/>
        </w:rPr>
      </w:pPr>
      <w:bookmarkStart w:id="0" w:name="_Toc417896685"/>
      <w:bookmarkStart w:id="1" w:name="_Toc416702955"/>
      <w:bookmarkStart w:id="2" w:name="_Toc416703361"/>
      <w:bookmarkStart w:id="3" w:name="_Toc417895952"/>
      <w:bookmarkStart w:id="4" w:name="_Toc417896502"/>
      <w:r>
        <w:rPr>
          <w:rFonts w:hint="eastAsia" w:ascii="Times New Roman" w:hAnsi="Times New Roman" w:eastAsia="宋体" w:cs="宋体"/>
          <w:b/>
          <w:bCs w:val="0"/>
          <w:kern w:val="2"/>
          <w:sz w:val="32"/>
          <w:szCs w:val="36"/>
          <w:lang w:val="en-US" w:eastAsia="zh-CN" w:bidi="ar"/>
        </w:rPr>
        <w:t>项目名称：</w:t>
      </w:r>
      <w:r>
        <w:rPr>
          <w:rFonts w:hint="eastAsia" w:ascii="Times New Roman" w:hAnsi="Times New Roman" w:cs="宋体"/>
          <w:b/>
          <w:bCs w:val="0"/>
          <w:kern w:val="2"/>
          <w:sz w:val="32"/>
          <w:szCs w:val="36"/>
          <w:lang w:val="en-US" w:eastAsia="zh-CN" w:bidi="ar"/>
        </w:rPr>
        <w:t>高性能电子纤维布（龙山）项目</w:t>
      </w:r>
      <w:r>
        <w:rPr>
          <w:rFonts w:hint="eastAsia" w:ascii="Times New Roman" w:hAnsi="Times New Roman" w:eastAsia="宋体" w:cs="宋体"/>
          <w:b/>
          <w:bCs w:val="0"/>
          <w:kern w:val="2"/>
          <w:sz w:val="32"/>
          <w:szCs w:val="36"/>
          <w:lang w:val="en-US" w:eastAsia="zh-CN" w:bidi="ar"/>
        </w:rPr>
        <w:t>质量检测服务</w:t>
      </w:r>
    </w:p>
    <w:p w14:paraId="69831051">
      <w:pPr>
        <w:keepNext w:val="0"/>
        <w:keepLines w:val="0"/>
        <w:widowControl w:val="0"/>
        <w:suppressLineNumbers w:val="0"/>
        <w:spacing w:before="0" w:beforeAutospacing="0" w:after="0" w:afterAutospacing="0"/>
        <w:ind w:left="2527" w:right="0" w:hanging="2527" w:hangingChars="1049"/>
        <w:jc w:val="left"/>
        <w:rPr>
          <w:rFonts w:cs="宋体"/>
          <w:kern w:val="0"/>
          <w:sz w:val="22"/>
          <w:szCs w:val="24"/>
          <w:lang w:val="en-US"/>
        </w:rPr>
      </w:pPr>
      <w:r>
        <w:rPr>
          <w:rFonts w:hint="default" w:ascii="Times New Roman" w:hAnsi="Times New Roman" w:eastAsia="宋体" w:cs="宋体"/>
          <w:b/>
          <w:bCs w:val="0"/>
          <w:kern w:val="2"/>
          <w:sz w:val="24"/>
          <w:szCs w:val="24"/>
          <w:lang w:val="en-US" w:eastAsia="zh-CN" w:bidi="ar"/>
        </w:rPr>
        <w:t xml:space="preserve">                                            </w:t>
      </w:r>
    </w:p>
    <w:bookmarkEnd w:id="0"/>
    <w:bookmarkEnd w:id="1"/>
    <w:bookmarkEnd w:id="2"/>
    <w:bookmarkEnd w:id="3"/>
    <w:bookmarkEnd w:id="4"/>
    <w:p w14:paraId="4A476356">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both"/>
        <w:rPr>
          <w:rFonts w:cs="宋体"/>
          <w:b/>
          <w:bCs w:val="0"/>
          <w:sz w:val="24"/>
          <w:szCs w:val="24"/>
          <w:lang w:val="en-US"/>
        </w:rPr>
      </w:pPr>
      <w:r>
        <w:rPr>
          <w:rFonts w:hint="eastAsia" w:ascii="Times New Roman" w:hAnsi="Times New Roman" w:cs="宋体"/>
          <w:b/>
          <w:bCs w:val="0"/>
          <w:kern w:val="0"/>
          <w:sz w:val="32"/>
          <w:szCs w:val="32"/>
          <w:lang w:val="en-US" w:eastAsia="zh-CN" w:bidi="ar"/>
        </w:rPr>
        <w:t>采购</w:t>
      </w:r>
      <w:r>
        <w:rPr>
          <w:rFonts w:hint="eastAsia" w:ascii="Times New Roman" w:hAnsi="Times New Roman" w:eastAsia="宋体" w:cs="宋体"/>
          <w:b/>
          <w:bCs w:val="0"/>
          <w:kern w:val="0"/>
          <w:sz w:val="32"/>
          <w:szCs w:val="32"/>
          <w:lang w:val="en-US" w:eastAsia="zh-CN" w:bidi="ar"/>
        </w:rPr>
        <w:t>编号：</w:t>
      </w:r>
      <w:r>
        <w:rPr>
          <w:rFonts w:hint="eastAsia" w:ascii="Times New Roman" w:hAnsi="Times New Roman" w:cs="宋体"/>
          <w:b/>
          <w:kern w:val="0"/>
          <w:sz w:val="32"/>
          <w:szCs w:val="32"/>
          <w:lang w:bidi="ar"/>
        </w:rPr>
        <w:t>CPIC-GCFWCG-2026-113</w:t>
      </w:r>
    </w:p>
    <w:p w14:paraId="610D891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both"/>
        <w:rPr>
          <w:rFonts w:cs="宋体"/>
          <w:b/>
          <w:bCs w:val="0"/>
          <w:kern w:val="0"/>
          <w:sz w:val="32"/>
          <w:szCs w:val="32"/>
          <w:lang w:val="en-US"/>
        </w:rPr>
      </w:pPr>
      <w:r>
        <w:rPr>
          <w:rFonts w:hint="default" w:ascii="Times New Roman" w:hAnsi="Times New Roman" w:eastAsia="宋体" w:cs="宋体"/>
          <w:b/>
          <w:bCs w:val="0"/>
          <w:kern w:val="2"/>
          <w:sz w:val="24"/>
          <w:szCs w:val="24"/>
          <w:lang w:val="en-US" w:eastAsia="zh-CN" w:bidi="ar"/>
        </w:rPr>
        <w:t xml:space="preserve">                                           </w:t>
      </w:r>
    </w:p>
    <w:p w14:paraId="4144E04C">
      <w:pPr>
        <w:keepNext w:val="0"/>
        <w:keepLines w:val="0"/>
        <w:widowControl w:val="0"/>
        <w:suppressLineNumbers w:val="0"/>
        <w:spacing w:before="0" w:beforeAutospacing="0" w:after="0" w:afterAutospacing="0"/>
        <w:ind w:left="0" w:right="0" w:firstLine="556"/>
        <w:jc w:val="both"/>
        <w:rPr>
          <w:rFonts w:cs="宋体"/>
          <w:lang w:val="en-US"/>
        </w:rPr>
      </w:pPr>
    </w:p>
    <w:p w14:paraId="60592359">
      <w:pPr>
        <w:keepNext w:val="0"/>
        <w:keepLines w:val="0"/>
        <w:widowControl w:val="0"/>
        <w:suppressLineNumbers w:val="0"/>
        <w:tabs>
          <w:tab w:val="left" w:pos="6705"/>
          <w:tab w:val="left" w:pos="7065"/>
        </w:tabs>
        <w:autoSpaceDE w:val="0"/>
        <w:autoSpaceDN w:val="0"/>
        <w:adjustRightInd w:val="0"/>
        <w:snapToGrid w:val="0"/>
        <w:spacing w:before="0" w:beforeAutospacing="0" w:after="0" w:afterAutospacing="0" w:line="360" w:lineRule="auto"/>
        <w:ind w:left="0" w:right="0" w:firstLine="530"/>
        <w:jc w:val="left"/>
        <w:rPr>
          <w:rFonts w:cs="宋体"/>
          <w:kern w:val="0"/>
          <w:sz w:val="20"/>
          <w:szCs w:val="20"/>
          <w:lang w:val="en-US"/>
        </w:rPr>
      </w:pPr>
      <w:r>
        <w:rPr>
          <w:rFonts w:hint="default" w:ascii="Times New Roman" w:hAnsi="Times New Roman" w:eastAsia="宋体" w:cs="宋体"/>
          <w:kern w:val="0"/>
          <w:sz w:val="20"/>
          <w:szCs w:val="20"/>
          <w:lang w:val="en-US" w:eastAsia="zh-CN" w:bidi="ar"/>
        </w:rPr>
        <w:tab/>
      </w:r>
      <w:r>
        <w:rPr>
          <w:rFonts w:hint="default" w:ascii="Times New Roman" w:hAnsi="Times New Roman" w:eastAsia="宋体" w:cs="宋体"/>
          <w:kern w:val="0"/>
          <w:sz w:val="20"/>
          <w:szCs w:val="20"/>
          <w:lang w:val="en-US" w:eastAsia="zh-CN" w:bidi="ar"/>
        </w:rPr>
        <w:tab/>
      </w:r>
    </w:p>
    <w:p w14:paraId="29ACF9D1">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265"/>
        <w:jc w:val="both"/>
        <w:rPr>
          <w:rFonts w:cs="宋体"/>
          <w:kern w:val="0"/>
          <w:sz w:val="10"/>
          <w:szCs w:val="10"/>
          <w:lang w:val="en-US"/>
        </w:rPr>
      </w:pPr>
    </w:p>
    <w:p w14:paraId="5BEAE5FE">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265"/>
        <w:jc w:val="center"/>
        <w:rPr>
          <w:rFonts w:cs="宋体"/>
          <w:kern w:val="0"/>
          <w:sz w:val="10"/>
          <w:szCs w:val="10"/>
          <w:lang w:val="en-US"/>
        </w:rPr>
      </w:pPr>
    </w:p>
    <w:p w14:paraId="17829BD6">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cs="宋体"/>
          <w:spacing w:val="24"/>
          <w:w w:val="80"/>
          <w:sz w:val="120"/>
          <w:szCs w:val="120"/>
          <w:lang w:val="en-US"/>
        </w:rPr>
      </w:pPr>
      <w:r>
        <w:rPr>
          <w:rFonts w:hint="eastAsia" w:ascii="Times New Roman" w:hAnsi="Times New Roman" w:eastAsia="宋体" w:cs="宋体"/>
          <w:spacing w:val="24"/>
          <w:w w:val="80"/>
          <w:kern w:val="2"/>
          <w:sz w:val="120"/>
          <w:szCs w:val="120"/>
          <w:lang w:val="en-US" w:eastAsia="zh-CN" w:bidi="ar"/>
        </w:rPr>
        <w:t>询比文件</w:t>
      </w:r>
    </w:p>
    <w:p w14:paraId="29443AD7">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30"/>
        <w:jc w:val="left"/>
        <w:rPr>
          <w:rFonts w:cs="宋体"/>
          <w:kern w:val="0"/>
          <w:sz w:val="20"/>
          <w:szCs w:val="20"/>
          <w:lang w:val="en-US"/>
        </w:rPr>
      </w:pPr>
    </w:p>
    <w:p w14:paraId="0FC3BB56">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530"/>
        <w:jc w:val="left"/>
        <w:rPr>
          <w:rFonts w:cs="宋体"/>
          <w:kern w:val="0"/>
          <w:sz w:val="20"/>
          <w:szCs w:val="20"/>
          <w:lang w:val="en-US"/>
        </w:rPr>
      </w:pPr>
    </w:p>
    <w:p w14:paraId="4BDA55C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cs="宋体"/>
          <w:b/>
          <w:sz w:val="36"/>
          <w:szCs w:val="36"/>
          <w:lang w:val="en-US"/>
        </w:rPr>
      </w:pPr>
      <w:r>
        <w:rPr>
          <w:rFonts w:hint="eastAsia" w:ascii="Times New Roman" w:hAnsi="Times New Roman" w:eastAsia="宋体" w:cs="宋体"/>
          <w:b/>
          <w:kern w:val="2"/>
          <w:sz w:val="36"/>
          <w:szCs w:val="36"/>
          <w:lang w:val="en-US" w:eastAsia="zh-CN" w:bidi="ar"/>
        </w:rPr>
        <w:t>采购人</w:t>
      </w:r>
      <w:r>
        <w:rPr>
          <w:rFonts w:hint="default" w:ascii="Times New Roman" w:hAnsi="Times New Roman" w:eastAsia="宋体" w:cs="宋体"/>
          <w:b/>
          <w:kern w:val="2"/>
          <w:sz w:val="36"/>
          <w:szCs w:val="36"/>
          <w:lang w:val="en-US" w:eastAsia="zh-CN" w:bidi="ar"/>
        </w:rPr>
        <w:t>:</w:t>
      </w:r>
      <w:r>
        <w:rPr>
          <w:rFonts w:hint="default" w:ascii="Times New Roman" w:hAnsi="Times New Roman" w:eastAsia="宋体" w:cs="Times New Roman"/>
          <w:kern w:val="2"/>
          <w:sz w:val="21"/>
          <w:szCs w:val="24"/>
          <w:lang w:val="en-US" w:eastAsia="zh-CN" w:bidi="ar"/>
        </w:rPr>
        <w:t xml:space="preserve"> </w:t>
      </w:r>
      <w:r>
        <w:rPr>
          <w:rFonts w:hint="eastAsia" w:ascii="Times New Roman" w:hAnsi="Times New Roman" w:eastAsia="宋体" w:cs="宋体"/>
          <w:b/>
          <w:kern w:val="2"/>
          <w:sz w:val="36"/>
          <w:szCs w:val="36"/>
          <w:lang w:val="en-US" w:eastAsia="zh-CN" w:bidi="ar"/>
        </w:rPr>
        <w:t>重庆国际复合材料股份有限公司</w:t>
      </w:r>
    </w:p>
    <w:p w14:paraId="34CF1074">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72E57CAE">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r>
        <w:rPr>
          <w:rFonts w:hint="eastAsia" w:ascii="Times New Roman" w:hAnsi="Times New Roman" w:eastAsia="宋体" w:cs="宋体"/>
          <w:b/>
          <w:bCs w:val="0"/>
          <w:w w:val="95"/>
          <w:kern w:val="0"/>
          <w:sz w:val="32"/>
          <w:szCs w:val="32"/>
          <w:lang w:val="en-US" w:eastAsia="zh-CN" w:bidi="ar"/>
        </w:rPr>
        <w:t>二〇二六年</w:t>
      </w:r>
      <w:r>
        <w:rPr>
          <w:rFonts w:hint="default" w:ascii="Times New Roman" w:hAnsi="Times New Roman" w:eastAsia="宋体" w:cs="宋体"/>
          <w:b/>
          <w:bCs w:val="0"/>
          <w:w w:val="95"/>
          <w:kern w:val="0"/>
          <w:sz w:val="32"/>
          <w:szCs w:val="32"/>
          <w:lang w:val="en-US" w:eastAsia="zh-CN" w:bidi="ar"/>
        </w:rPr>
        <w:t xml:space="preserve"> </w:t>
      </w:r>
      <w:r>
        <w:rPr>
          <w:rFonts w:hint="eastAsia" w:ascii="Times New Roman" w:hAnsi="Times New Roman" w:cs="宋体"/>
          <w:b/>
          <w:bCs w:val="0"/>
          <w:w w:val="95"/>
          <w:kern w:val="0"/>
          <w:sz w:val="32"/>
          <w:szCs w:val="32"/>
          <w:lang w:val="en-US" w:eastAsia="zh-CN" w:bidi="ar"/>
        </w:rPr>
        <w:t>十一</w:t>
      </w:r>
      <w:r>
        <w:rPr>
          <w:rFonts w:hint="eastAsia" w:ascii="Times New Roman" w:hAnsi="Times New Roman" w:eastAsia="宋体" w:cs="宋体"/>
          <w:b/>
          <w:bCs w:val="0"/>
          <w:w w:val="95"/>
          <w:kern w:val="0"/>
          <w:sz w:val="32"/>
          <w:szCs w:val="32"/>
          <w:lang w:val="en-US" w:eastAsia="zh-CN" w:bidi="ar"/>
        </w:rPr>
        <w:t>月</w:t>
      </w:r>
    </w:p>
    <w:p w14:paraId="520130DB">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14D27DCA">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2FF7D02C">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3D93B963">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48193327">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5451748B">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5F931D05">
      <w:pPr>
        <w:keepNext w:val="0"/>
        <w:keepLines w:val="0"/>
        <w:widowControl w:val="0"/>
        <w:suppressLineNumbers w:val="0"/>
        <w:tabs>
          <w:tab w:val="left" w:pos="3200"/>
          <w:tab w:val="left" w:pos="4320"/>
          <w:tab w:val="left" w:pos="5420"/>
        </w:tabs>
        <w:autoSpaceDE w:val="0"/>
        <w:autoSpaceDN w:val="0"/>
        <w:adjustRightInd w:val="0"/>
        <w:snapToGrid w:val="0"/>
        <w:spacing w:before="0" w:beforeAutospacing="0" w:after="0" w:afterAutospacing="0" w:line="360" w:lineRule="auto"/>
        <w:ind w:left="0" w:right="0" w:firstLine="812"/>
        <w:jc w:val="center"/>
        <w:rPr>
          <w:rFonts w:cs="宋体"/>
          <w:b/>
          <w:bCs w:val="0"/>
          <w:w w:val="95"/>
          <w:kern w:val="0"/>
          <w:sz w:val="32"/>
          <w:szCs w:val="32"/>
          <w:lang w:val="en-US"/>
        </w:rPr>
      </w:pPr>
    </w:p>
    <w:p w14:paraId="6C16443C">
      <w:pPr>
        <w:pStyle w:val="6"/>
        <w:keepNext w:val="0"/>
        <w:keepLines w:val="0"/>
        <w:widowControl w:val="0"/>
        <w:suppressLineNumbers w:val="0"/>
        <w:tabs>
          <w:tab w:val="right" w:leader="dot" w:pos="8609"/>
        </w:tabs>
        <w:spacing w:before="0" w:beforeAutospacing="0" w:after="0" w:afterAutospacing="0"/>
        <w:ind w:left="0" w:leftChars="0" w:right="0" w:firstLine="954"/>
        <w:jc w:val="both"/>
        <w:rPr>
          <w:rFonts w:hint="eastAsia" w:ascii="宋体" w:hAnsi="宋体"/>
          <w:b/>
          <w:bCs/>
          <w:sz w:val="40"/>
          <w:szCs w:val="40"/>
        </w:rPr>
      </w:pPr>
      <w:r>
        <w:rPr>
          <w:rFonts w:hint="eastAsia" w:ascii="Times New Roman" w:hAnsi="Times New Roman" w:eastAsia="宋体" w:cs="宋体"/>
          <w:kern w:val="2"/>
          <w:sz w:val="36"/>
          <w:szCs w:val="36"/>
          <w:lang w:val="en-US" w:eastAsia="zh-CN" w:bidi="ar"/>
        </w:rPr>
        <w:t>编制：</w:t>
      </w:r>
      <w:r>
        <w:rPr>
          <w:rFonts w:hint="default" w:ascii="Times New Roman" w:hAnsi="Times New Roman" w:eastAsia="宋体" w:cs="宋体"/>
          <w:kern w:val="2"/>
          <w:sz w:val="36"/>
          <w:szCs w:val="36"/>
          <w:u w:val="single"/>
          <w:lang w:val="en-US" w:eastAsia="zh-CN" w:bidi="ar"/>
        </w:rPr>
        <w:t xml:space="preserve">             </w:t>
      </w:r>
      <w:r>
        <w:rPr>
          <w:rFonts w:hint="default" w:ascii="Times New Roman" w:hAnsi="Times New Roman" w:eastAsia="宋体" w:cs="宋体"/>
          <w:kern w:val="2"/>
          <w:sz w:val="36"/>
          <w:szCs w:val="36"/>
          <w:lang w:val="en-US" w:eastAsia="zh-CN" w:bidi="ar"/>
        </w:rPr>
        <w:t xml:space="preserve">  </w:t>
      </w:r>
      <w:r>
        <w:rPr>
          <w:rFonts w:hint="eastAsia" w:ascii="Times New Roman" w:hAnsi="Times New Roman" w:eastAsia="宋体" w:cs="宋体"/>
          <w:kern w:val="2"/>
          <w:sz w:val="36"/>
          <w:szCs w:val="36"/>
          <w:lang w:val="en-US" w:eastAsia="zh-CN" w:bidi="ar"/>
        </w:rPr>
        <w:t>审核：</w:t>
      </w:r>
      <w:r>
        <w:rPr>
          <w:rFonts w:hint="default" w:ascii="Times New Roman" w:hAnsi="Times New Roman" w:eastAsia="宋体" w:cs="宋体"/>
          <w:kern w:val="2"/>
          <w:sz w:val="36"/>
          <w:szCs w:val="36"/>
          <w:u w:val="single"/>
          <w:lang w:val="en-US" w:eastAsia="zh-CN" w:bidi="ar"/>
        </w:rPr>
        <w:t xml:space="preserve">                </w:t>
      </w:r>
    </w:p>
    <w:p w14:paraId="7721A245">
      <w:pPr>
        <w:jc w:val="center"/>
        <w:rPr>
          <w:rFonts w:hint="eastAsia" w:ascii="宋体" w:hAnsi="宋体"/>
          <w:b/>
          <w:bCs/>
          <w:sz w:val="40"/>
          <w:szCs w:val="40"/>
        </w:rPr>
      </w:pPr>
    </w:p>
    <w:p w14:paraId="5F82FEB0">
      <w:pPr>
        <w:jc w:val="center"/>
        <w:rPr>
          <w:rFonts w:hint="eastAsia" w:ascii="宋体" w:hAnsi="宋体"/>
          <w:b/>
          <w:bCs/>
          <w:sz w:val="40"/>
          <w:szCs w:val="40"/>
        </w:rPr>
      </w:pPr>
      <w:r>
        <w:rPr>
          <w:rFonts w:hint="eastAsia" w:ascii="宋体" w:hAnsi="宋体"/>
          <w:b/>
          <w:bCs/>
          <w:sz w:val="40"/>
          <w:szCs w:val="40"/>
        </w:rPr>
        <w:t>询比采购文件</w:t>
      </w:r>
    </w:p>
    <w:p w14:paraId="52FCC213">
      <w:pPr>
        <w:ind w:firstLine="426"/>
        <w:rPr>
          <w:rFonts w:hint="eastAsia" w:ascii="宋体" w:hAnsi="宋体"/>
          <w:sz w:val="24"/>
        </w:rPr>
      </w:pPr>
      <w:r>
        <w:rPr>
          <w:rFonts w:hint="eastAsia" w:ascii="宋体" w:hAnsi="宋体"/>
          <w:sz w:val="24"/>
        </w:rPr>
        <w:t>重庆国际复合材料股份有限公司就</w:t>
      </w:r>
      <w:r>
        <w:rPr>
          <w:rFonts w:hint="eastAsia" w:ascii="宋体" w:hAnsi="宋体"/>
          <w:sz w:val="24"/>
          <w:u w:val="single"/>
          <w:lang w:eastAsia="zh-CN"/>
        </w:rPr>
        <w:t>高性能电子纤维布（龙山）项目质量检测服务</w:t>
      </w:r>
      <w:r>
        <w:rPr>
          <w:rFonts w:hint="eastAsia" w:ascii="宋体" w:hAnsi="宋体"/>
          <w:sz w:val="24"/>
        </w:rPr>
        <w:t>项目进行国内外询比采购，邀请潜在供应商进行报价。</w:t>
      </w:r>
    </w:p>
    <w:p w14:paraId="0E6F2290">
      <w:pPr>
        <w:numPr>
          <w:ilvl w:val="0"/>
          <w:numId w:val="1"/>
        </w:numPr>
        <w:rPr>
          <w:rFonts w:hint="eastAsia" w:ascii="宋体" w:hAnsi="宋体"/>
          <w:sz w:val="24"/>
        </w:rPr>
      </w:pPr>
      <w:r>
        <w:rPr>
          <w:rFonts w:hint="eastAsia" w:ascii="宋体" w:hAnsi="宋体"/>
          <w:sz w:val="24"/>
        </w:rPr>
        <w:t>询比采购项目编号：</w:t>
      </w:r>
      <w:r>
        <w:rPr>
          <w:rFonts w:hint="eastAsia" w:ascii="宋体" w:hAnsi="宋体"/>
          <w:sz w:val="24"/>
          <w:u w:val="single"/>
        </w:rPr>
        <w:t xml:space="preserve"> </w:t>
      </w:r>
      <w:r>
        <w:rPr>
          <w:rFonts w:hint="eastAsia" w:ascii="宋体" w:hAnsi="宋体"/>
          <w:sz w:val="24"/>
          <w:u w:val="single"/>
          <w:lang w:val="en-US" w:eastAsia="zh-CN"/>
        </w:rPr>
        <w:t>CPIC-GCFWCG-2026-113</w:t>
      </w:r>
    </w:p>
    <w:p w14:paraId="33254CF9">
      <w:pPr>
        <w:numPr>
          <w:ilvl w:val="0"/>
          <w:numId w:val="1"/>
        </w:numPr>
        <w:rPr>
          <w:rFonts w:hint="eastAsia" w:ascii="宋体" w:hAnsi="宋体"/>
          <w:sz w:val="24"/>
        </w:rPr>
      </w:pPr>
      <w:r>
        <w:rPr>
          <w:rFonts w:hint="eastAsia" w:ascii="宋体" w:hAnsi="宋体"/>
          <w:sz w:val="24"/>
        </w:rPr>
        <w:t>项目名称：</w:t>
      </w:r>
      <w:r>
        <w:rPr>
          <w:rFonts w:hint="eastAsia" w:ascii="宋体" w:hAnsi="宋体"/>
          <w:sz w:val="24"/>
          <w:u w:val="single"/>
          <w:lang w:eastAsia="zh-CN"/>
        </w:rPr>
        <w:t>高性能电子纤维布（龙山）项目质量检测服务</w:t>
      </w:r>
    </w:p>
    <w:p w14:paraId="282B7793">
      <w:pPr>
        <w:numPr>
          <w:ilvl w:val="0"/>
          <w:numId w:val="1"/>
        </w:numPr>
        <w:rPr>
          <w:rFonts w:ascii="宋体" w:hAnsi="宋体"/>
          <w:sz w:val="24"/>
        </w:rPr>
      </w:pPr>
      <w:r>
        <w:rPr>
          <w:rFonts w:hint="eastAsia" w:ascii="宋体" w:hAnsi="宋体"/>
          <w:sz w:val="24"/>
        </w:rPr>
        <w:t>询比采购内容：</w:t>
      </w:r>
    </w:p>
    <w:p w14:paraId="0E964A15">
      <w:pPr>
        <w:rPr>
          <w:rFonts w:hint="eastAsia" w:ascii="宋体" w:hAnsi="宋体"/>
          <w:sz w:val="24"/>
        </w:rPr>
      </w:pPr>
      <w:r>
        <w:rPr>
          <w:rFonts w:hint="eastAsia" w:ascii="宋体" w:hAnsi="宋体"/>
          <w:sz w:val="24"/>
        </w:rPr>
        <w:t>　　提供服务：</w:t>
      </w:r>
      <w:r>
        <w:rPr>
          <w:rFonts w:hint="eastAsia" w:ascii="宋体" w:hAnsi="宋体"/>
          <w:sz w:val="24"/>
          <w:u w:val="single"/>
        </w:rPr>
        <w:t>年产</w:t>
      </w:r>
      <w:r>
        <w:rPr>
          <w:rFonts w:hint="eastAsia" w:ascii="宋体" w:hAnsi="宋体"/>
          <w:sz w:val="24"/>
          <w:u w:val="single"/>
          <w:lang w:eastAsia="zh-CN"/>
        </w:rPr>
        <w:t>高性能电子纤维布（龙山）项目</w:t>
      </w:r>
      <w:r>
        <w:rPr>
          <w:rFonts w:hint="eastAsia" w:ascii="宋体" w:hAnsi="宋体"/>
          <w:sz w:val="24"/>
          <w:u w:val="single"/>
        </w:rPr>
        <w:t>建筑工程及安装工程质量检测服务</w:t>
      </w:r>
    </w:p>
    <w:p w14:paraId="3D27B635">
      <w:pPr>
        <w:rPr>
          <w:rFonts w:ascii="宋体" w:hAnsi="宋体"/>
          <w:sz w:val="24"/>
        </w:rPr>
      </w:pPr>
      <w:r>
        <w:rPr>
          <w:rFonts w:hint="eastAsia" w:ascii="宋体" w:hAnsi="宋体"/>
          <w:sz w:val="24"/>
        </w:rPr>
        <w:t>　　服务时间：</w:t>
      </w:r>
      <w:r>
        <w:rPr>
          <w:rFonts w:hint="eastAsia" w:ascii="宋体" w:hAnsi="宋体"/>
          <w:sz w:val="24"/>
          <w:u w:val="single"/>
        </w:rPr>
        <w:t>合同签订后直至合同约定的该项目所有工程质量检测服务工作完成。单项检测工作完成后，在</w:t>
      </w:r>
      <w:r>
        <w:rPr>
          <w:rFonts w:hint="eastAsia" w:ascii="宋体" w:hAnsi="宋体"/>
          <w:sz w:val="24"/>
          <w:u w:val="single"/>
          <w:lang w:val="en-US" w:eastAsia="zh-CN"/>
        </w:rPr>
        <w:t>5</w:t>
      </w:r>
      <w:r>
        <w:rPr>
          <w:rFonts w:hint="eastAsia" w:ascii="宋体" w:hAnsi="宋体"/>
          <w:sz w:val="24"/>
          <w:u w:val="single"/>
        </w:rPr>
        <w:t>个日历天内提交检测报告。</w:t>
      </w:r>
    </w:p>
    <w:p w14:paraId="4BAD7C3C">
      <w:pPr>
        <w:ind w:firstLine="480" w:firstLineChars="200"/>
        <w:rPr>
          <w:rFonts w:ascii="宋体" w:hAnsi="宋体"/>
          <w:sz w:val="24"/>
          <w:szCs w:val="21"/>
        </w:rPr>
      </w:pPr>
      <w:r>
        <w:rPr>
          <w:rFonts w:hint="eastAsia" w:ascii="宋体" w:hAnsi="宋体"/>
          <w:sz w:val="24"/>
        </w:rPr>
        <w:t>服务/施工地点：</w:t>
      </w:r>
      <w:r>
        <w:rPr>
          <w:rFonts w:hint="eastAsia" w:ascii="宋体" w:hAnsi="宋体"/>
          <w:sz w:val="24"/>
          <w:lang w:eastAsia="zh-CN"/>
        </w:rPr>
        <w:t>长寿经济技术开发区龙山路1号</w:t>
      </w:r>
      <w:r>
        <w:rPr>
          <w:rFonts w:hint="eastAsia" w:ascii="宋体" w:hAnsi="宋体"/>
          <w:sz w:val="24"/>
          <w:szCs w:val="21"/>
        </w:rPr>
        <w:t>。</w:t>
      </w:r>
    </w:p>
    <w:p w14:paraId="71F8579B">
      <w:pPr>
        <w:ind w:firstLine="480" w:firstLineChars="200"/>
        <w:rPr>
          <w:rFonts w:hint="eastAsia" w:ascii="宋体" w:hAnsi="宋体"/>
          <w:sz w:val="24"/>
        </w:rPr>
      </w:pPr>
      <w:r>
        <w:rPr>
          <w:rFonts w:hint="eastAsia" w:ascii="宋体" w:hAnsi="宋体"/>
          <w:sz w:val="24"/>
        </w:rPr>
        <w:t>质量检测服务规模：新建电子级玻璃纤维布生产线1条，购置喷气织布机及相关配套工艺设备，形成规模化电子级玻璃纤维布的生产能力。建筑面积约74160平方米，其中最大单体建筑面积为46216.8平方米，建筑高度为18.9米，单跨跨度为46.9米</w:t>
      </w:r>
      <w:r>
        <w:rPr>
          <w:rFonts w:hint="eastAsia" w:ascii="宋体" w:hAnsi="宋体"/>
          <w:sz w:val="24"/>
          <w:lang w:val="en-GB" w:eastAsia="zh-CN"/>
        </w:rPr>
        <w:t>。</w:t>
      </w:r>
      <w:r>
        <w:rPr>
          <w:rFonts w:hint="eastAsia" w:ascii="宋体" w:hAnsi="宋体"/>
          <w:sz w:val="24"/>
        </w:rPr>
        <w:t>工艺设备和配套辅助设备、</w:t>
      </w:r>
      <w:r>
        <w:rPr>
          <w:rFonts w:hint="eastAsia" w:ascii="宋体" w:hAnsi="宋体"/>
          <w:sz w:val="24"/>
          <w:lang w:val="en-US" w:eastAsia="zh-CN"/>
        </w:rPr>
        <w:t>土建设备基础、框架结构</w:t>
      </w:r>
      <w:r>
        <w:rPr>
          <w:rFonts w:hint="eastAsia" w:ascii="宋体" w:hAnsi="宋体"/>
          <w:sz w:val="24"/>
        </w:rPr>
        <w:t>设施</w:t>
      </w:r>
      <w:r>
        <w:rPr>
          <w:rFonts w:hint="eastAsia" w:ascii="宋体" w:hAnsi="宋体"/>
          <w:sz w:val="24"/>
          <w:lang w:eastAsia="zh-CN"/>
        </w:rPr>
        <w:t>、</w:t>
      </w:r>
      <w:r>
        <w:rPr>
          <w:rFonts w:hint="eastAsia" w:ascii="宋体" w:hAnsi="宋体"/>
          <w:sz w:val="24"/>
          <w:lang w:val="en-US" w:eastAsia="zh-CN"/>
        </w:rPr>
        <w:t>消防工程、</w:t>
      </w:r>
      <w:r>
        <w:rPr>
          <w:rFonts w:hint="eastAsia" w:ascii="宋体" w:hAnsi="宋体"/>
          <w:sz w:val="24"/>
        </w:rPr>
        <w:t>以及配套的安装工程所需的质量检测服务。</w:t>
      </w:r>
    </w:p>
    <w:p w14:paraId="44463A85">
      <w:pPr>
        <w:ind w:firstLine="480" w:firstLineChars="200"/>
        <w:rPr>
          <w:rFonts w:hint="eastAsia" w:ascii="宋体" w:hAnsi="宋体"/>
          <w:sz w:val="24"/>
        </w:rPr>
      </w:pPr>
      <w:r>
        <w:rPr>
          <w:rFonts w:hint="eastAsia" w:ascii="宋体" w:hAnsi="宋体"/>
          <w:sz w:val="24"/>
        </w:rPr>
        <w:t>以上建筑及安装工程所需的质量检测服务</w:t>
      </w:r>
    </w:p>
    <w:p w14:paraId="4E46AE7E">
      <w:pPr>
        <w:numPr>
          <w:ilvl w:val="0"/>
          <w:numId w:val="2"/>
        </w:numPr>
        <w:rPr>
          <w:rFonts w:hint="eastAsia" w:ascii="宋体" w:hAnsi="宋体"/>
          <w:sz w:val="24"/>
        </w:rPr>
      </w:pPr>
      <w:r>
        <w:rPr>
          <w:rFonts w:hint="eastAsia" w:ascii="宋体" w:hAnsi="宋体"/>
          <w:sz w:val="24"/>
        </w:rPr>
        <w:t>报价人资格</w:t>
      </w:r>
    </w:p>
    <w:p w14:paraId="33C707D4">
      <w:pPr>
        <w:ind w:firstLine="480" w:firstLineChars="200"/>
        <w:rPr>
          <w:rFonts w:hint="eastAsia" w:ascii="宋体" w:hAnsi="宋体"/>
          <w:sz w:val="24"/>
        </w:rPr>
      </w:pPr>
      <w:r>
        <w:rPr>
          <w:rFonts w:hint="eastAsia" w:ascii="宋体" w:hAnsi="宋体"/>
          <w:sz w:val="24"/>
        </w:rPr>
        <w:t>本次询比采购实行资格后审，报价人应满足下列资格条件</w:t>
      </w:r>
    </w:p>
    <w:p w14:paraId="20D00DF0">
      <w:pPr>
        <w:rPr>
          <w:rFonts w:hint="eastAsia" w:ascii="宋体" w:hAnsi="宋体"/>
          <w:sz w:val="24"/>
        </w:rPr>
      </w:pPr>
      <w:r>
        <w:rPr>
          <w:rFonts w:hint="eastAsia" w:ascii="宋体" w:hAnsi="宋体"/>
          <w:sz w:val="24"/>
        </w:rPr>
        <w:t>　 （</w:t>
      </w:r>
      <w:r>
        <w:rPr>
          <w:rFonts w:ascii="宋体" w:hAnsi="宋体"/>
          <w:sz w:val="24"/>
        </w:rPr>
        <w:t>1</w:t>
      </w:r>
      <w:r>
        <w:rPr>
          <w:rFonts w:hint="eastAsia" w:ascii="宋体" w:hAnsi="宋体"/>
          <w:sz w:val="24"/>
        </w:rPr>
        <w:t>）报价人具有独立订立合同的权利;具有履行合同的能力</w:t>
      </w:r>
    </w:p>
    <w:p w14:paraId="22757E35">
      <w:pPr>
        <w:ind w:firstLine="960" w:firstLineChars="400"/>
        <w:rPr>
          <w:rFonts w:hint="eastAsia" w:ascii="宋体" w:hAnsi="宋体"/>
          <w:sz w:val="24"/>
        </w:rPr>
      </w:pPr>
      <w:r>
        <w:rPr>
          <w:rFonts w:hint="eastAsia" w:ascii="宋体" w:hAnsi="宋体"/>
          <w:sz w:val="24"/>
        </w:rPr>
        <w:t>提供：营业执照复印件并加盖报价人公章</w:t>
      </w:r>
    </w:p>
    <w:p w14:paraId="65D4A74D">
      <w:pPr>
        <w:topLinePunct/>
        <w:adjustRightInd w:val="0"/>
        <w:snapToGrid w:val="0"/>
        <w:spacing w:line="440" w:lineRule="exact"/>
        <w:ind w:firstLine="480"/>
        <w:rPr>
          <w:rFonts w:hint="eastAsia" w:ascii="宋体" w:hAnsi="宋体"/>
          <w:sz w:val="24"/>
        </w:rPr>
      </w:pPr>
      <w:r>
        <w:rPr>
          <w:rFonts w:hint="eastAsia" w:ascii="宋体" w:hAnsi="宋体"/>
          <w:sz w:val="24"/>
        </w:rPr>
        <w:t>（2）报价人具备省级(含直辖市或自治区)及以上建设行政主管部门颁发的建设工程质量检测机构资质证书（检测类别须同时包含①建筑材料及构配件②主体结构及装饰装修③钢结构④地基基础⑤建筑节能⑥建筑幕墙⑦市政工程材料⑧道路工程</w:t>
      </w:r>
      <w:r>
        <w:rPr>
          <w:rFonts w:hint="eastAsia" w:ascii="宋体" w:hAnsi="宋体"/>
          <w:sz w:val="24"/>
        </w:rPr>
        <w:fldChar w:fldCharType="begin"/>
      </w:r>
      <w:r>
        <w:rPr>
          <w:rFonts w:hint="eastAsia" w:ascii="宋体" w:hAnsi="宋体"/>
          <w:sz w:val="24"/>
        </w:rPr>
        <w:instrText xml:space="preserve"> eq \o\ac(○,9)</w:instrText>
      </w:r>
      <w:r>
        <w:rPr>
          <w:rFonts w:hint="eastAsia" w:ascii="宋体" w:hAnsi="宋体"/>
          <w:sz w:val="24"/>
        </w:rPr>
        <w:fldChar w:fldCharType="end"/>
      </w:r>
      <w:r>
        <w:rPr>
          <w:rFonts w:hint="eastAsia" w:ascii="宋体" w:hAnsi="宋体"/>
          <w:sz w:val="24"/>
        </w:rPr>
        <w:t>桥梁及地下工程）。</w:t>
      </w:r>
    </w:p>
    <w:p w14:paraId="46CFF89C">
      <w:pPr>
        <w:topLinePunct/>
        <w:adjustRightInd w:val="0"/>
        <w:snapToGrid w:val="0"/>
        <w:spacing w:line="440" w:lineRule="exact"/>
        <w:ind w:firstLine="480"/>
        <w:rPr>
          <w:rFonts w:hint="eastAsia" w:ascii="宋体" w:hAnsi="宋体"/>
          <w:sz w:val="24"/>
          <w:szCs w:val="21"/>
        </w:rPr>
      </w:pPr>
      <w:r>
        <w:rPr>
          <w:rFonts w:hint="eastAsia" w:ascii="宋体" w:hAnsi="宋体"/>
          <w:sz w:val="24"/>
        </w:rPr>
        <w:t>提供：资质证书复印件并加盖报价人公章</w:t>
      </w:r>
    </w:p>
    <w:p w14:paraId="29FFDB5C">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（3）CNCA（中国国家认证认可监督管理委员会）或省级(含直辖市或自治区)及以上质量技术监督部门颁发的检验检测机构资质认定证书（CMA)；</w:t>
      </w:r>
    </w:p>
    <w:p w14:paraId="41ECD745">
      <w:pPr>
        <w:topLinePunct/>
        <w:adjustRightInd w:val="0"/>
        <w:snapToGrid w:val="0"/>
        <w:spacing w:line="440" w:lineRule="exact"/>
        <w:ind w:firstLine="480"/>
        <w:rPr>
          <w:rFonts w:ascii="宋体" w:hAnsi="宋体"/>
          <w:sz w:val="24"/>
          <w:szCs w:val="21"/>
        </w:rPr>
      </w:pPr>
      <w:r>
        <w:rPr>
          <w:rFonts w:hint="eastAsia" w:ascii="宋体" w:hAnsi="宋体"/>
          <w:sz w:val="24"/>
          <w:szCs w:val="21"/>
        </w:rPr>
        <w:t>提供：资质认定证书复印件并加盖报价人公章</w:t>
      </w:r>
    </w:p>
    <w:p w14:paraId="24EEBE46">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（4）报价人自行承诺（格式自拟）不得存在下列情形之一：</w:t>
      </w:r>
    </w:p>
    <w:p w14:paraId="68DF4CAB">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a被人民法院在“中国执行信息公开网”网站（https://zxgk.court.gov.cn/）列入失信被执行人名单；</w:t>
      </w:r>
    </w:p>
    <w:p w14:paraId="6A8C532C">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b被国家、重庆市（含市或任意区县）有关行政部门处以暂停投标资格行政处罚，且在处罚期限内；</w:t>
      </w:r>
    </w:p>
    <w:p w14:paraId="39FAE351">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c处于被责令停业，财产被接管、冻结或破产状态；</w:t>
      </w:r>
    </w:p>
    <w:p w14:paraId="28DBEF35">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d报价人及报价人法定代表人近三年不得在中国裁判文书网（https://wenshu.court.gov.cn/）有行贿记录；</w:t>
      </w:r>
    </w:p>
    <w:p w14:paraId="3CDBCDBF">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（5）业绩要求</w:t>
      </w:r>
    </w:p>
    <w:p w14:paraId="29CC2828">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近三年（ 2023年</w:t>
      </w:r>
      <w:r>
        <w:rPr>
          <w:rFonts w:hint="eastAsia" w:ascii="宋体" w:hAnsi="宋体"/>
          <w:sz w:val="24"/>
          <w:szCs w:val="21"/>
          <w:lang w:val="en-US" w:eastAsia="zh-CN"/>
        </w:rPr>
        <w:t>9</w:t>
      </w:r>
      <w:r>
        <w:rPr>
          <w:rFonts w:hint="eastAsia" w:ascii="宋体" w:hAnsi="宋体"/>
          <w:sz w:val="24"/>
          <w:szCs w:val="21"/>
        </w:rPr>
        <w:t>月1日至报价文件递交截止之日，以合同签订时间为准）至少承担过2个单项合同金额</w:t>
      </w:r>
      <w:r>
        <w:rPr>
          <w:rFonts w:hint="eastAsia" w:ascii="宋体" w:hAnsi="宋体"/>
          <w:sz w:val="24"/>
          <w:szCs w:val="21"/>
          <w:lang w:val="en-US" w:eastAsia="zh-CN"/>
        </w:rPr>
        <w:t>50</w:t>
      </w:r>
      <w:r>
        <w:rPr>
          <w:rFonts w:hint="eastAsia" w:ascii="宋体" w:hAnsi="宋体"/>
          <w:sz w:val="24"/>
          <w:szCs w:val="21"/>
        </w:rPr>
        <w:t>万元及以上的工程质量检测业绩。（提供合同复印件，加盖报价人公章）</w:t>
      </w:r>
    </w:p>
    <w:p w14:paraId="1BEA3677">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（6）本次询比采购不接受联合体</w:t>
      </w:r>
    </w:p>
    <w:p w14:paraId="2C61B984">
      <w:pPr>
        <w:topLinePunct/>
        <w:adjustRightInd w:val="0"/>
        <w:snapToGrid w:val="0"/>
        <w:spacing w:line="440" w:lineRule="exact"/>
        <w:ind w:firstLine="480"/>
        <w:rPr>
          <w:rFonts w:hint="eastAsia" w:ascii="宋体" w:hAnsi="宋体"/>
          <w:sz w:val="24"/>
          <w:szCs w:val="21"/>
        </w:rPr>
      </w:pPr>
      <w:r>
        <w:rPr>
          <w:rFonts w:hint="eastAsia" w:ascii="宋体" w:hAnsi="宋体"/>
          <w:sz w:val="24"/>
          <w:szCs w:val="21"/>
        </w:rPr>
        <w:t>（7）成交人应负责本项目范围内的所有检测项目，若部分项目检测内容超出成交人资质范围，成交人须取得采购人同意后另行委托具备相应检测资质的其他检测单位（被委托单位数量不得超过1家）进行检测，并出具检测报告（检测报告中注明分包的检验检测项目以及承担分包项目的检验检测机构）且加盖检验检测机构公章及检验检测专用章。</w:t>
      </w:r>
    </w:p>
    <w:p w14:paraId="1A401501">
      <w:pPr>
        <w:numPr>
          <w:ilvl w:val="0"/>
          <w:numId w:val="2"/>
        </w:numPr>
        <w:rPr>
          <w:rFonts w:hint="eastAsia" w:ascii="宋体" w:hAnsi="宋体"/>
          <w:sz w:val="24"/>
        </w:rPr>
      </w:pPr>
      <w:r>
        <w:rPr>
          <w:rFonts w:hint="eastAsia" w:ascii="宋体" w:hAnsi="宋体"/>
          <w:sz w:val="24"/>
        </w:rPr>
        <w:t>报价文件要求：</w:t>
      </w:r>
    </w:p>
    <w:p w14:paraId="28FA7BD3">
      <w:pPr>
        <w:numPr>
          <w:ilvl w:val="0"/>
          <w:numId w:val="3"/>
        </w:numPr>
        <w:rPr>
          <w:rFonts w:hint="eastAsia" w:ascii="宋体" w:hAnsi="宋体"/>
          <w:sz w:val="24"/>
          <w:szCs w:val="21"/>
        </w:rPr>
      </w:pPr>
      <w:r>
        <w:rPr>
          <w:rFonts w:hint="eastAsia" w:ascii="宋体" w:hAnsi="宋体"/>
          <w:sz w:val="24"/>
          <w:szCs w:val="21"/>
        </w:rPr>
        <w:t>报价文件加盖公章，除法定代表人和委托代理人签字外，其余手填无效。</w:t>
      </w:r>
    </w:p>
    <w:p w14:paraId="7F9B8D02">
      <w:pPr>
        <w:numPr>
          <w:ilvl w:val="0"/>
          <w:numId w:val="3"/>
        </w:numPr>
        <w:rPr>
          <w:rFonts w:hint="eastAsia" w:ascii="宋体" w:hAnsi="宋体"/>
          <w:sz w:val="24"/>
          <w:szCs w:val="21"/>
        </w:rPr>
      </w:pPr>
      <w:r>
        <w:rPr>
          <w:rFonts w:hint="eastAsia" w:ascii="宋体" w:hAnsi="宋体"/>
          <w:sz w:val="24"/>
          <w:szCs w:val="21"/>
        </w:rPr>
        <w:t>报价文件应密封，封皮注明询比采购项目、报价单位及报价日期并加盖公章，并提供PDF电子文件一份（签字盖章的扫描件）。</w:t>
      </w:r>
    </w:p>
    <w:p w14:paraId="6B40B431">
      <w:pPr>
        <w:numPr>
          <w:ilvl w:val="0"/>
          <w:numId w:val="3"/>
        </w:numPr>
        <w:rPr>
          <w:rFonts w:hint="eastAsia" w:ascii="宋体" w:hAnsi="宋体"/>
          <w:sz w:val="24"/>
          <w:szCs w:val="21"/>
        </w:rPr>
      </w:pPr>
      <w:r>
        <w:rPr>
          <w:rFonts w:hint="eastAsia" w:ascii="宋体" w:hAnsi="宋体"/>
          <w:sz w:val="24"/>
          <w:szCs w:val="21"/>
        </w:rPr>
        <w:t>有效期：报价文件及有关承诺文件有效期为报价文件投递截止之日起90天。</w:t>
      </w:r>
    </w:p>
    <w:p w14:paraId="164C0920">
      <w:pPr>
        <w:numPr>
          <w:ilvl w:val="0"/>
          <w:numId w:val="3"/>
        </w:numPr>
        <w:rPr>
          <w:rFonts w:ascii="宋体" w:hAnsi="宋体"/>
          <w:sz w:val="24"/>
          <w:szCs w:val="21"/>
        </w:rPr>
      </w:pPr>
      <w:r>
        <w:rPr>
          <w:rFonts w:hint="eastAsia" w:ascii="宋体" w:hAnsi="宋体"/>
          <w:sz w:val="24"/>
          <w:szCs w:val="21"/>
        </w:rPr>
        <w:t>报价人提交的报价文件由报价、资格审查资料和报价人所作的一切有效补充、修改和承诺书等文件组成。</w:t>
      </w:r>
    </w:p>
    <w:p w14:paraId="728EFAFE">
      <w:pPr>
        <w:numPr>
          <w:ilvl w:val="0"/>
          <w:numId w:val="3"/>
        </w:numPr>
        <w:rPr>
          <w:rFonts w:ascii="宋体" w:hAnsi="宋体"/>
          <w:sz w:val="24"/>
          <w:szCs w:val="21"/>
        </w:rPr>
      </w:pPr>
      <w:r>
        <w:rPr>
          <w:rFonts w:hint="eastAsia" w:ascii="宋体" w:hAnsi="宋体"/>
          <w:sz w:val="24"/>
          <w:szCs w:val="21"/>
        </w:rPr>
        <w:t>报价函格式自拟，安装工程部分各检测项目均需报价</w:t>
      </w:r>
    </w:p>
    <w:p w14:paraId="2ACEF563">
      <w:pPr>
        <w:numPr>
          <w:ilvl w:val="0"/>
          <w:numId w:val="2"/>
        </w:numPr>
        <w:rPr>
          <w:rFonts w:hint="eastAsia" w:ascii="宋体" w:hAnsi="宋体"/>
          <w:sz w:val="24"/>
        </w:rPr>
      </w:pPr>
      <w:r>
        <w:rPr>
          <w:rFonts w:hint="eastAsia" w:ascii="宋体" w:hAnsi="宋体"/>
          <w:sz w:val="24"/>
        </w:rPr>
        <w:t>报价要求：</w:t>
      </w:r>
    </w:p>
    <w:p w14:paraId="27973BCD">
      <w:pPr>
        <w:rPr>
          <w:rFonts w:hint="eastAsia" w:ascii="宋体" w:hAnsi="宋体"/>
          <w:sz w:val="24"/>
        </w:rPr>
      </w:pPr>
      <w:r>
        <w:rPr>
          <w:rFonts w:hint="eastAsia" w:ascii="宋体" w:hAnsi="宋体"/>
          <w:sz w:val="24"/>
        </w:rPr>
        <w:t>（1）本项目报价以人民币报价，该项目设置最高限价：人民币</w:t>
      </w:r>
      <w:r>
        <w:rPr>
          <w:rFonts w:hint="eastAsia" w:ascii="宋体" w:hAnsi="宋体"/>
          <w:sz w:val="24"/>
          <w:u w:val="single"/>
          <w:lang w:val="en-US" w:eastAsia="zh-CN"/>
        </w:rPr>
        <w:t>99.4</w:t>
      </w:r>
      <w:r>
        <w:rPr>
          <w:rFonts w:hint="eastAsia" w:ascii="宋体" w:hAnsi="宋体"/>
          <w:sz w:val="24"/>
        </w:rPr>
        <w:t>万元，其中建筑工程部分检测限价为：</w:t>
      </w:r>
      <w:r>
        <w:rPr>
          <w:rFonts w:hint="eastAsia" w:ascii="宋体" w:hAnsi="宋体"/>
          <w:color w:val="auto"/>
          <w:sz w:val="24"/>
          <w:u w:val="single"/>
          <w:lang w:val="en-US" w:eastAsia="zh-CN"/>
        </w:rPr>
        <w:t>78</w:t>
      </w:r>
      <w:r>
        <w:rPr>
          <w:rFonts w:hint="eastAsia" w:ascii="宋体" w:hAnsi="宋体"/>
          <w:sz w:val="24"/>
        </w:rPr>
        <w:t>万元，安装工程部分检测限价为：</w:t>
      </w:r>
      <w:r>
        <w:rPr>
          <w:rFonts w:hint="eastAsia" w:ascii="宋体" w:hAnsi="宋体"/>
          <w:sz w:val="24"/>
          <w:u w:val="single"/>
          <w:lang w:val="en-US" w:eastAsia="zh-CN"/>
        </w:rPr>
        <w:t>21.4</w:t>
      </w:r>
      <w:r>
        <w:rPr>
          <w:rFonts w:hint="eastAsia" w:ascii="宋体" w:hAnsi="宋体"/>
          <w:sz w:val="24"/>
        </w:rPr>
        <w:t>万元，所有单位报价不得超过最高限价，该最高限价的范围包括卖方为完成合同全部义务应承担的一切成本、费用和支出以及卖方的合理利润。（包括但不限于材料款、安装费、包装费、上车费、运费、卸货费、运输保险费材料到厂后卸货至买方指定地点）</w:t>
      </w:r>
    </w:p>
    <w:p w14:paraId="2AD885BA">
      <w:pPr>
        <w:rPr>
          <w:rFonts w:hint="eastAsia" w:ascii="宋体" w:hAnsi="宋体"/>
          <w:sz w:val="24"/>
        </w:rPr>
      </w:pPr>
      <w:r>
        <w:rPr>
          <w:rFonts w:hint="eastAsia" w:ascii="宋体" w:hAnsi="宋体"/>
          <w:sz w:val="24"/>
        </w:rPr>
        <w:t>（2）建筑工程检测限价：</w:t>
      </w:r>
      <w:r>
        <w:rPr>
          <w:rFonts w:hint="eastAsia" w:ascii="宋体" w:hAnsi="宋体"/>
          <w:sz w:val="24"/>
          <w:u w:val="single"/>
          <w:lang w:val="en-US" w:eastAsia="zh-CN"/>
        </w:rPr>
        <w:t>78</w:t>
      </w:r>
      <w:r>
        <w:rPr>
          <w:rFonts w:hint="eastAsia" w:ascii="宋体" w:hAnsi="宋体"/>
          <w:sz w:val="24"/>
        </w:rPr>
        <w:t>万元（包干价）</w:t>
      </w:r>
    </w:p>
    <w:p w14:paraId="67222041">
      <w:pPr>
        <w:rPr>
          <w:rFonts w:ascii="宋体" w:hAnsi="宋体"/>
          <w:sz w:val="24"/>
        </w:rPr>
      </w:pPr>
      <w:r>
        <w:rPr>
          <w:rFonts w:hint="eastAsia" w:ascii="宋体" w:hAnsi="宋体"/>
          <w:sz w:val="24"/>
        </w:rPr>
        <w:t>（3）安装工程部分检测限价为：</w:t>
      </w:r>
      <w:r>
        <w:rPr>
          <w:rFonts w:hint="eastAsia" w:ascii="宋体" w:hAnsi="宋体"/>
          <w:sz w:val="24"/>
          <w:u w:val="single"/>
          <w:lang w:val="en-US" w:eastAsia="zh-CN"/>
        </w:rPr>
        <w:t>21.4</w:t>
      </w:r>
      <w:r>
        <w:rPr>
          <w:rFonts w:hint="eastAsia" w:ascii="宋体" w:hAnsi="宋体"/>
          <w:sz w:val="24"/>
        </w:rPr>
        <w:t>万元（结算金额=实际检测内容及数量*每项检测清单全费用综合单价）</w:t>
      </w:r>
    </w:p>
    <w:tbl>
      <w:tblPr>
        <w:tblStyle w:val="8"/>
        <w:tblW w:w="0" w:type="auto"/>
        <w:tblInd w:w="0" w:type="dxa"/>
        <w:tblLayout w:type="fixed"/>
        <w:tblCellMar>
          <w:top w:w="0" w:type="dxa"/>
          <w:left w:w="108" w:type="dxa"/>
          <w:bottom w:w="0" w:type="dxa"/>
          <w:right w:w="108" w:type="dxa"/>
        </w:tblCellMar>
      </w:tblPr>
      <w:tblGrid>
        <w:gridCol w:w="477"/>
        <w:gridCol w:w="1134"/>
        <w:gridCol w:w="3261"/>
        <w:gridCol w:w="1134"/>
        <w:gridCol w:w="1134"/>
        <w:gridCol w:w="1275"/>
      </w:tblGrid>
      <w:tr w14:paraId="1D7CB96C">
        <w:tblPrEx>
          <w:tblCellMar>
            <w:top w:w="0" w:type="dxa"/>
            <w:left w:w="108" w:type="dxa"/>
            <w:bottom w:w="0" w:type="dxa"/>
            <w:right w:w="108" w:type="dxa"/>
          </w:tblCellMar>
        </w:tblPrEx>
        <w:trPr>
          <w:trHeight w:val="840" w:hRule="atLeast"/>
        </w:trPr>
        <w:tc>
          <w:tcPr>
            <w:tcW w:w="477" w:type="dxa"/>
            <w:tcBorders>
              <w:top w:val="single" w:color="auto" w:sz="4" w:space="0"/>
              <w:left w:val="single" w:color="auto" w:sz="4" w:space="0"/>
              <w:bottom w:val="single" w:color="auto" w:sz="4" w:space="0"/>
              <w:right w:val="single" w:color="auto" w:sz="4" w:space="0"/>
            </w:tcBorders>
            <w:noWrap/>
            <w:vAlign w:val="center"/>
          </w:tcPr>
          <w:p w14:paraId="21656F59">
            <w:pPr>
              <w:widowControl/>
              <w:jc w:val="center"/>
              <w:rPr>
                <w:rFonts w:hint="eastAsia" w:ascii="宋体" w:hAnsi="宋体" w:cs="宋体"/>
                <w:b/>
                <w:bCs/>
                <w:color w:val="000000"/>
                <w:kern w:val="0"/>
                <w:sz w:val="22"/>
              </w:rPr>
            </w:pPr>
            <w:r>
              <w:rPr>
                <w:rFonts w:hint="eastAsia" w:ascii="宋体" w:hAnsi="宋体" w:cs="宋体"/>
                <w:b/>
                <w:bCs/>
                <w:color w:val="000000"/>
                <w:kern w:val="0"/>
                <w:sz w:val="22"/>
              </w:rPr>
              <w:t>序号</w:t>
            </w:r>
          </w:p>
        </w:tc>
        <w:tc>
          <w:tcPr>
            <w:tcW w:w="1134" w:type="dxa"/>
            <w:tcBorders>
              <w:top w:val="single" w:color="auto" w:sz="4" w:space="0"/>
              <w:left w:val="nil"/>
              <w:bottom w:val="single" w:color="auto" w:sz="4" w:space="0"/>
              <w:right w:val="single" w:color="auto" w:sz="4" w:space="0"/>
            </w:tcBorders>
            <w:noWrap/>
            <w:vAlign w:val="center"/>
          </w:tcPr>
          <w:p w14:paraId="51A94D3F">
            <w:pPr>
              <w:widowControl/>
              <w:jc w:val="center"/>
              <w:rPr>
                <w:rFonts w:hint="eastAsia" w:ascii="宋体" w:hAnsi="宋体" w:cs="宋体"/>
                <w:b/>
                <w:bCs/>
                <w:color w:val="000000"/>
                <w:kern w:val="0"/>
                <w:sz w:val="22"/>
              </w:rPr>
            </w:pPr>
            <w:r>
              <w:rPr>
                <w:rFonts w:hint="eastAsia" w:ascii="宋体" w:hAnsi="宋体" w:cs="宋体"/>
                <w:b/>
                <w:bCs/>
                <w:color w:val="000000"/>
                <w:kern w:val="0"/>
                <w:sz w:val="22"/>
              </w:rPr>
              <w:t>检测项目</w:t>
            </w:r>
          </w:p>
        </w:tc>
        <w:tc>
          <w:tcPr>
            <w:tcW w:w="3261" w:type="dxa"/>
            <w:tcBorders>
              <w:top w:val="single" w:color="auto" w:sz="4" w:space="0"/>
              <w:left w:val="nil"/>
              <w:bottom w:val="single" w:color="auto" w:sz="4" w:space="0"/>
              <w:right w:val="single" w:color="auto" w:sz="4" w:space="0"/>
            </w:tcBorders>
            <w:noWrap/>
            <w:vAlign w:val="center"/>
          </w:tcPr>
          <w:p w14:paraId="3C5F9360">
            <w:pPr>
              <w:widowControl/>
              <w:jc w:val="center"/>
              <w:rPr>
                <w:rFonts w:hint="eastAsia" w:ascii="宋体" w:hAnsi="宋体" w:cs="宋体"/>
                <w:b/>
                <w:bCs/>
                <w:color w:val="000000"/>
                <w:kern w:val="0"/>
                <w:sz w:val="22"/>
              </w:rPr>
            </w:pPr>
            <w:r>
              <w:rPr>
                <w:rFonts w:hint="eastAsia" w:ascii="宋体" w:hAnsi="宋体" w:cs="宋体"/>
                <w:b/>
                <w:bCs/>
                <w:color w:val="000000"/>
                <w:kern w:val="0"/>
                <w:sz w:val="22"/>
              </w:rPr>
              <w:t>检测参数</w:t>
            </w:r>
          </w:p>
        </w:tc>
        <w:tc>
          <w:tcPr>
            <w:tcW w:w="1134" w:type="dxa"/>
            <w:tcBorders>
              <w:top w:val="single" w:color="auto" w:sz="4" w:space="0"/>
              <w:left w:val="nil"/>
              <w:bottom w:val="single" w:color="auto" w:sz="4" w:space="0"/>
              <w:right w:val="single" w:color="auto" w:sz="4" w:space="0"/>
            </w:tcBorders>
            <w:noWrap w:val="0"/>
            <w:vAlign w:val="center"/>
          </w:tcPr>
          <w:p w14:paraId="21F888BB">
            <w:pPr>
              <w:widowControl/>
              <w:jc w:val="center"/>
              <w:rPr>
                <w:rFonts w:hint="eastAsia" w:ascii="宋体" w:hAnsi="宋体" w:cs="宋体"/>
                <w:b/>
                <w:bCs/>
                <w:color w:val="000000"/>
                <w:kern w:val="0"/>
                <w:sz w:val="22"/>
              </w:rPr>
            </w:pPr>
            <w:r>
              <w:rPr>
                <w:rFonts w:hint="eastAsia" w:ascii="宋体" w:hAnsi="宋体" w:cs="宋体"/>
                <w:b/>
                <w:bCs/>
                <w:color w:val="000000"/>
                <w:kern w:val="0"/>
                <w:sz w:val="22"/>
              </w:rPr>
              <w:t>最高限价（元/组）</w:t>
            </w:r>
          </w:p>
        </w:tc>
        <w:tc>
          <w:tcPr>
            <w:tcW w:w="1134" w:type="dxa"/>
            <w:tcBorders>
              <w:top w:val="single" w:color="auto" w:sz="4" w:space="0"/>
              <w:left w:val="nil"/>
              <w:bottom w:val="single" w:color="auto" w:sz="4" w:space="0"/>
              <w:right w:val="single" w:color="auto" w:sz="4" w:space="0"/>
            </w:tcBorders>
            <w:noWrap w:val="0"/>
            <w:vAlign w:val="center"/>
          </w:tcPr>
          <w:p w14:paraId="38943E02">
            <w:pPr>
              <w:widowControl/>
              <w:jc w:val="center"/>
              <w:rPr>
                <w:rFonts w:hint="eastAsia" w:ascii="宋体" w:hAnsi="宋体" w:cs="宋体"/>
                <w:b/>
                <w:bCs/>
                <w:color w:val="000000"/>
                <w:kern w:val="0"/>
                <w:sz w:val="22"/>
              </w:rPr>
            </w:pPr>
            <w:r>
              <w:rPr>
                <w:rFonts w:hint="eastAsia" w:ascii="宋体" w:hAnsi="宋体" w:cs="宋体"/>
                <w:b/>
                <w:bCs/>
                <w:color w:val="000000"/>
                <w:kern w:val="0"/>
                <w:sz w:val="22"/>
              </w:rPr>
              <w:t>预估检测数量（组）</w:t>
            </w:r>
          </w:p>
        </w:tc>
        <w:tc>
          <w:tcPr>
            <w:tcW w:w="1275" w:type="dxa"/>
            <w:tcBorders>
              <w:top w:val="single" w:color="auto" w:sz="4" w:space="0"/>
              <w:left w:val="nil"/>
              <w:bottom w:val="single" w:color="auto" w:sz="4" w:space="0"/>
              <w:right w:val="single" w:color="auto" w:sz="4" w:space="0"/>
            </w:tcBorders>
            <w:noWrap w:val="0"/>
            <w:vAlign w:val="center"/>
          </w:tcPr>
          <w:p w14:paraId="2701612B">
            <w:pPr>
              <w:widowControl/>
              <w:jc w:val="center"/>
              <w:rPr>
                <w:rFonts w:hint="eastAsia" w:ascii="宋体" w:hAnsi="宋体" w:cs="宋体"/>
                <w:b/>
                <w:bCs/>
                <w:color w:val="000000"/>
                <w:kern w:val="0"/>
                <w:sz w:val="22"/>
              </w:rPr>
            </w:pPr>
            <w:r>
              <w:rPr>
                <w:rFonts w:hint="eastAsia" w:ascii="宋体" w:hAnsi="宋体" w:cs="宋体"/>
                <w:b/>
                <w:bCs/>
                <w:color w:val="000000"/>
                <w:kern w:val="0"/>
                <w:sz w:val="22"/>
              </w:rPr>
              <w:t>预估单项限价（元）</w:t>
            </w:r>
          </w:p>
        </w:tc>
      </w:tr>
      <w:tr w14:paraId="7B8CF8CF">
        <w:tblPrEx>
          <w:tblCellMar>
            <w:top w:w="0" w:type="dxa"/>
            <w:left w:w="108" w:type="dxa"/>
            <w:bottom w:w="0" w:type="dxa"/>
            <w:right w:w="108" w:type="dxa"/>
          </w:tblCellMar>
        </w:tblPrEx>
        <w:trPr>
          <w:trHeight w:val="560" w:hRule="atLeast"/>
        </w:trPr>
        <w:tc>
          <w:tcPr>
            <w:tcW w:w="477" w:type="dxa"/>
            <w:tcBorders>
              <w:top w:val="nil"/>
              <w:left w:val="single" w:color="auto" w:sz="4" w:space="0"/>
              <w:bottom w:val="single" w:color="auto" w:sz="4" w:space="0"/>
              <w:right w:val="single" w:color="auto" w:sz="4" w:space="0"/>
            </w:tcBorders>
            <w:noWrap/>
            <w:vAlign w:val="center"/>
          </w:tcPr>
          <w:p w14:paraId="6DA83AD4">
            <w:pPr>
              <w:widowControl/>
              <w:jc w:val="center"/>
              <w:rPr>
                <w:rFonts w:hint="eastAsia" w:ascii="宋体" w:hAnsi="宋体" w:cs="宋体"/>
                <w:color w:val="000000"/>
                <w:kern w:val="0"/>
                <w:sz w:val="22"/>
              </w:rPr>
            </w:pPr>
            <w:r>
              <w:rPr>
                <w:rFonts w:hint="eastAsia" w:ascii="宋体" w:hAnsi="宋体" w:cs="宋体"/>
                <w:color w:val="000000"/>
                <w:kern w:val="0"/>
                <w:sz w:val="22"/>
              </w:rPr>
              <w:t>1</w:t>
            </w:r>
          </w:p>
        </w:tc>
        <w:tc>
          <w:tcPr>
            <w:tcW w:w="1134" w:type="dxa"/>
            <w:tcBorders>
              <w:top w:val="nil"/>
              <w:left w:val="nil"/>
              <w:bottom w:val="single" w:color="auto" w:sz="4" w:space="0"/>
              <w:right w:val="single" w:color="auto" w:sz="4" w:space="0"/>
            </w:tcBorders>
            <w:noWrap/>
            <w:vAlign w:val="center"/>
          </w:tcPr>
          <w:p w14:paraId="5C3271E2">
            <w:pPr>
              <w:widowControl/>
              <w:jc w:val="center"/>
              <w:rPr>
                <w:rFonts w:hint="eastAsia" w:ascii="宋体" w:hAnsi="宋体" w:cs="宋体"/>
                <w:color w:val="000000"/>
                <w:kern w:val="0"/>
                <w:sz w:val="22"/>
              </w:rPr>
            </w:pPr>
            <w:r>
              <w:rPr>
                <w:rFonts w:hint="eastAsia" w:ascii="宋体" w:hAnsi="宋体" w:cs="宋体"/>
                <w:color w:val="000000"/>
                <w:kern w:val="0"/>
                <w:sz w:val="22"/>
              </w:rPr>
              <w:t>电缆</w:t>
            </w:r>
          </w:p>
        </w:tc>
        <w:tc>
          <w:tcPr>
            <w:tcW w:w="3261" w:type="dxa"/>
            <w:tcBorders>
              <w:top w:val="nil"/>
              <w:left w:val="nil"/>
              <w:bottom w:val="single" w:color="auto" w:sz="4" w:space="0"/>
              <w:right w:val="single" w:color="auto" w:sz="4" w:space="0"/>
            </w:tcBorders>
            <w:noWrap w:val="0"/>
            <w:vAlign w:val="center"/>
          </w:tcPr>
          <w:p w14:paraId="7262A40C">
            <w:pPr>
              <w:widowControl/>
              <w:rPr>
                <w:rFonts w:hint="eastAsia" w:ascii="宋体" w:hAnsi="宋体" w:cs="宋体"/>
                <w:color w:val="000000"/>
                <w:kern w:val="0"/>
                <w:sz w:val="22"/>
              </w:rPr>
            </w:pPr>
            <w:r>
              <w:rPr>
                <w:rFonts w:hint="eastAsia" w:ascii="宋体" w:hAnsi="宋体" w:cs="宋体"/>
                <w:color w:val="000000"/>
                <w:kern w:val="0"/>
                <w:sz w:val="22"/>
              </w:rPr>
              <w:t>导体截面积、直流电阻、绝缘层厚度</w:t>
            </w:r>
          </w:p>
        </w:tc>
        <w:tc>
          <w:tcPr>
            <w:tcW w:w="1134" w:type="dxa"/>
            <w:tcBorders>
              <w:top w:val="nil"/>
              <w:left w:val="nil"/>
              <w:bottom w:val="single" w:color="auto" w:sz="4" w:space="0"/>
              <w:right w:val="single" w:color="auto" w:sz="4" w:space="0"/>
            </w:tcBorders>
            <w:noWrap/>
            <w:vAlign w:val="center"/>
          </w:tcPr>
          <w:p w14:paraId="267E1C3C">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500</w:t>
            </w:r>
          </w:p>
        </w:tc>
        <w:tc>
          <w:tcPr>
            <w:tcW w:w="1134" w:type="dxa"/>
            <w:tcBorders>
              <w:top w:val="nil"/>
              <w:left w:val="nil"/>
              <w:bottom w:val="single" w:color="auto" w:sz="4" w:space="0"/>
              <w:right w:val="single" w:color="auto" w:sz="4" w:space="0"/>
            </w:tcBorders>
            <w:noWrap/>
            <w:vAlign w:val="center"/>
          </w:tcPr>
          <w:p w14:paraId="5454CE7A">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70</w:t>
            </w:r>
          </w:p>
        </w:tc>
        <w:tc>
          <w:tcPr>
            <w:tcW w:w="1275" w:type="dxa"/>
            <w:tcBorders>
              <w:top w:val="nil"/>
              <w:left w:val="nil"/>
              <w:bottom w:val="single" w:color="auto" w:sz="4" w:space="0"/>
              <w:right w:val="single" w:color="auto" w:sz="4" w:space="0"/>
            </w:tcBorders>
            <w:noWrap/>
            <w:vAlign w:val="center"/>
          </w:tcPr>
          <w:p w14:paraId="75C100DC">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35000</w:t>
            </w:r>
          </w:p>
        </w:tc>
      </w:tr>
      <w:tr w14:paraId="76396E0F">
        <w:tblPrEx>
          <w:tblCellMar>
            <w:top w:w="0" w:type="dxa"/>
            <w:left w:w="108" w:type="dxa"/>
            <w:bottom w:w="0" w:type="dxa"/>
            <w:right w:w="108" w:type="dxa"/>
          </w:tblCellMar>
        </w:tblPrEx>
        <w:trPr>
          <w:trHeight w:val="300" w:hRule="atLeast"/>
        </w:trPr>
        <w:tc>
          <w:tcPr>
            <w:tcW w:w="477" w:type="dxa"/>
            <w:tcBorders>
              <w:top w:val="nil"/>
              <w:left w:val="single" w:color="auto" w:sz="4" w:space="0"/>
              <w:bottom w:val="single" w:color="auto" w:sz="4" w:space="0"/>
              <w:right w:val="single" w:color="auto" w:sz="4" w:space="0"/>
            </w:tcBorders>
            <w:noWrap/>
            <w:vAlign w:val="center"/>
          </w:tcPr>
          <w:p w14:paraId="1D572FEC">
            <w:pPr>
              <w:widowControl/>
              <w:jc w:val="center"/>
              <w:rPr>
                <w:rFonts w:hint="eastAsia" w:ascii="宋体" w:hAnsi="宋体" w:cs="宋体"/>
                <w:color w:val="000000"/>
                <w:kern w:val="0"/>
                <w:sz w:val="22"/>
              </w:rPr>
            </w:pPr>
            <w:r>
              <w:rPr>
                <w:rFonts w:hint="eastAsia" w:ascii="宋体" w:hAnsi="宋体" w:cs="宋体"/>
                <w:color w:val="000000"/>
                <w:kern w:val="0"/>
                <w:sz w:val="22"/>
              </w:rPr>
              <w:t>2</w:t>
            </w:r>
          </w:p>
        </w:tc>
        <w:tc>
          <w:tcPr>
            <w:tcW w:w="1134" w:type="dxa"/>
            <w:tcBorders>
              <w:top w:val="nil"/>
              <w:left w:val="nil"/>
              <w:bottom w:val="single" w:color="auto" w:sz="4" w:space="0"/>
              <w:right w:val="single" w:color="auto" w:sz="4" w:space="0"/>
            </w:tcBorders>
            <w:noWrap/>
            <w:vAlign w:val="center"/>
          </w:tcPr>
          <w:p w14:paraId="71166D04">
            <w:pPr>
              <w:widowControl/>
              <w:jc w:val="center"/>
              <w:rPr>
                <w:rFonts w:hint="eastAsia" w:ascii="宋体" w:hAnsi="宋体" w:cs="宋体"/>
                <w:color w:val="000000"/>
                <w:kern w:val="0"/>
                <w:sz w:val="22"/>
              </w:rPr>
            </w:pPr>
            <w:r>
              <w:rPr>
                <w:rFonts w:hint="eastAsia" w:ascii="宋体" w:hAnsi="宋体" w:cs="宋体"/>
                <w:color w:val="000000"/>
                <w:kern w:val="0"/>
                <w:sz w:val="22"/>
              </w:rPr>
              <w:t>钢材</w:t>
            </w:r>
          </w:p>
        </w:tc>
        <w:tc>
          <w:tcPr>
            <w:tcW w:w="3261" w:type="dxa"/>
            <w:tcBorders>
              <w:top w:val="nil"/>
              <w:left w:val="nil"/>
              <w:bottom w:val="single" w:color="auto" w:sz="4" w:space="0"/>
              <w:right w:val="single" w:color="auto" w:sz="4" w:space="0"/>
            </w:tcBorders>
            <w:noWrap w:val="0"/>
            <w:vAlign w:val="center"/>
          </w:tcPr>
          <w:p w14:paraId="134D3160">
            <w:pPr>
              <w:widowControl/>
              <w:rPr>
                <w:rFonts w:hint="eastAsia" w:ascii="宋体" w:hAnsi="宋体" w:cs="宋体"/>
                <w:color w:val="000000"/>
                <w:kern w:val="0"/>
                <w:sz w:val="22"/>
              </w:rPr>
            </w:pPr>
            <w:r>
              <w:rPr>
                <w:rFonts w:hint="eastAsia" w:ascii="宋体" w:hAnsi="宋体" w:cs="宋体"/>
                <w:color w:val="000000"/>
                <w:kern w:val="0"/>
                <w:sz w:val="22"/>
              </w:rPr>
              <w:t>型钢、钢板的屈服强度、抗拉强度、冷弯、断后伸长率</w:t>
            </w:r>
          </w:p>
        </w:tc>
        <w:tc>
          <w:tcPr>
            <w:tcW w:w="1134" w:type="dxa"/>
            <w:tcBorders>
              <w:top w:val="nil"/>
              <w:left w:val="nil"/>
              <w:bottom w:val="single" w:color="auto" w:sz="4" w:space="0"/>
              <w:right w:val="single" w:color="auto" w:sz="4" w:space="0"/>
            </w:tcBorders>
            <w:noWrap/>
            <w:vAlign w:val="center"/>
          </w:tcPr>
          <w:p w14:paraId="33EBCC07">
            <w:pPr>
              <w:widowControl/>
              <w:jc w:val="right"/>
              <w:rPr>
                <w:rFonts w:hint="eastAsia" w:ascii="宋体" w:hAnsi="宋体" w:cs="宋体"/>
                <w:color w:val="000000"/>
                <w:kern w:val="0"/>
                <w:sz w:val="22"/>
              </w:rPr>
            </w:pPr>
            <w:r>
              <w:rPr>
                <w:rFonts w:hint="eastAsia" w:ascii="宋体" w:hAnsi="宋体" w:cs="宋体"/>
                <w:color w:val="000000"/>
                <w:kern w:val="0"/>
                <w:sz w:val="22"/>
                <w:lang w:val="en-US" w:eastAsia="zh-CN"/>
              </w:rPr>
              <w:t>100</w:t>
            </w:r>
          </w:p>
        </w:tc>
        <w:tc>
          <w:tcPr>
            <w:tcW w:w="1134" w:type="dxa"/>
            <w:tcBorders>
              <w:top w:val="nil"/>
              <w:left w:val="nil"/>
              <w:bottom w:val="single" w:color="auto" w:sz="4" w:space="0"/>
              <w:right w:val="single" w:color="auto" w:sz="4" w:space="0"/>
            </w:tcBorders>
            <w:noWrap/>
            <w:vAlign w:val="center"/>
          </w:tcPr>
          <w:p w14:paraId="4A1150D0">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100</w:t>
            </w:r>
          </w:p>
        </w:tc>
        <w:tc>
          <w:tcPr>
            <w:tcW w:w="1275" w:type="dxa"/>
            <w:tcBorders>
              <w:top w:val="nil"/>
              <w:left w:val="nil"/>
              <w:bottom w:val="single" w:color="auto" w:sz="4" w:space="0"/>
              <w:right w:val="single" w:color="auto" w:sz="4" w:space="0"/>
            </w:tcBorders>
            <w:noWrap/>
            <w:vAlign w:val="center"/>
          </w:tcPr>
          <w:p w14:paraId="44654E07">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10000</w:t>
            </w:r>
          </w:p>
        </w:tc>
      </w:tr>
      <w:tr w14:paraId="4EDDA260">
        <w:tblPrEx>
          <w:tblCellMar>
            <w:top w:w="0" w:type="dxa"/>
            <w:left w:w="108" w:type="dxa"/>
            <w:bottom w:w="0" w:type="dxa"/>
            <w:right w:w="108" w:type="dxa"/>
          </w:tblCellMar>
        </w:tblPrEx>
        <w:trPr>
          <w:trHeight w:val="280" w:hRule="atLeast"/>
        </w:trPr>
        <w:tc>
          <w:tcPr>
            <w:tcW w:w="477" w:type="dxa"/>
            <w:tcBorders>
              <w:top w:val="nil"/>
              <w:left w:val="single" w:color="auto" w:sz="4" w:space="0"/>
              <w:bottom w:val="single" w:color="auto" w:sz="4" w:space="0"/>
              <w:right w:val="single" w:color="auto" w:sz="4" w:space="0"/>
            </w:tcBorders>
            <w:noWrap/>
            <w:vAlign w:val="center"/>
          </w:tcPr>
          <w:p w14:paraId="7477F0E3">
            <w:pPr>
              <w:widowControl/>
              <w:jc w:val="center"/>
              <w:rPr>
                <w:rFonts w:hint="eastAsia" w:ascii="宋体" w:hAnsi="宋体" w:cs="宋体"/>
                <w:color w:val="000000"/>
                <w:kern w:val="0"/>
                <w:sz w:val="22"/>
              </w:rPr>
            </w:pPr>
            <w:r>
              <w:rPr>
                <w:rFonts w:hint="eastAsia" w:ascii="宋体" w:hAnsi="宋体" w:cs="宋体"/>
                <w:color w:val="000000"/>
                <w:kern w:val="0"/>
                <w:sz w:val="22"/>
              </w:rPr>
              <w:t>3</w:t>
            </w:r>
          </w:p>
        </w:tc>
        <w:tc>
          <w:tcPr>
            <w:tcW w:w="1134" w:type="dxa"/>
            <w:tcBorders>
              <w:top w:val="nil"/>
              <w:left w:val="nil"/>
              <w:bottom w:val="single" w:color="auto" w:sz="4" w:space="0"/>
              <w:right w:val="single" w:color="auto" w:sz="4" w:space="0"/>
            </w:tcBorders>
            <w:noWrap/>
            <w:vAlign w:val="center"/>
          </w:tcPr>
          <w:p w14:paraId="2D2AA504">
            <w:pPr>
              <w:widowControl/>
              <w:jc w:val="center"/>
              <w:rPr>
                <w:rFonts w:hint="eastAsia" w:ascii="宋体" w:hAnsi="宋体" w:cs="宋体"/>
                <w:color w:val="000000"/>
                <w:kern w:val="0"/>
                <w:sz w:val="22"/>
              </w:rPr>
            </w:pPr>
            <w:r>
              <w:rPr>
                <w:rFonts w:hint="eastAsia" w:ascii="宋体" w:hAnsi="宋体" w:cs="宋体"/>
                <w:color w:val="000000"/>
                <w:kern w:val="0"/>
                <w:sz w:val="22"/>
              </w:rPr>
              <w:t>管材及管件</w:t>
            </w:r>
          </w:p>
        </w:tc>
        <w:tc>
          <w:tcPr>
            <w:tcW w:w="3261" w:type="dxa"/>
            <w:tcBorders>
              <w:top w:val="nil"/>
              <w:left w:val="nil"/>
              <w:bottom w:val="single" w:color="auto" w:sz="4" w:space="0"/>
              <w:right w:val="single" w:color="auto" w:sz="4" w:space="0"/>
            </w:tcBorders>
            <w:noWrap w:val="0"/>
            <w:vAlign w:val="center"/>
          </w:tcPr>
          <w:p w14:paraId="6AADE7D8">
            <w:pPr>
              <w:widowControl/>
              <w:rPr>
                <w:rFonts w:hint="eastAsia" w:ascii="宋体" w:hAnsi="宋体" w:cs="宋体"/>
                <w:color w:val="000000"/>
                <w:kern w:val="0"/>
                <w:sz w:val="22"/>
              </w:rPr>
            </w:pPr>
            <w:r>
              <w:rPr>
                <w:rFonts w:hint="eastAsia" w:ascii="宋体" w:hAnsi="宋体" w:cs="宋体"/>
                <w:color w:val="000000"/>
                <w:kern w:val="0"/>
                <w:sz w:val="22"/>
              </w:rPr>
              <w:t>物理性能常规</w:t>
            </w:r>
          </w:p>
        </w:tc>
        <w:tc>
          <w:tcPr>
            <w:tcW w:w="1134" w:type="dxa"/>
            <w:tcBorders>
              <w:top w:val="nil"/>
              <w:left w:val="nil"/>
              <w:bottom w:val="single" w:color="auto" w:sz="4" w:space="0"/>
              <w:right w:val="single" w:color="auto" w:sz="4" w:space="0"/>
            </w:tcBorders>
            <w:noWrap/>
            <w:vAlign w:val="center"/>
          </w:tcPr>
          <w:p w14:paraId="34E3DF1F">
            <w:pPr>
              <w:widowControl/>
              <w:jc w:val="right"/>
              <w:rPr>
                <w:rFonts w:hint="eastAsia" w:ascii="宋体" w:hAnsi="宋体" w:cs="宋体"/>
                <w:color w:val="000000"/>
                <w:kern w:val="0"/>
                <w:sz w:val="22"/>
              </w:rPr>
            </w:pPr>
            <w:r>
              <w:rPr>
                <w:rFonts w:hint="eastAsia" w:ascii="宋体" w:hAnsi="宋体" w:cs="宋体"/>
                <w:color w:val="000000"/>
                <w:kern w:val="0"/>
                <w:sz w:val="22"/>
                <w:lang w:val="en-US" w:eastAsia="zh-CN"/>
              </w:rPr>
              <w:t>700</w:t>
            </w:r>
          </w:p>
        </w:tc>
        <w:tc>
          <w:tcPr>
            <w:tcW w:w="1134" w:type="dxa"/>
            <w:tcBorders>
              <w:top w:val="nil"/>
              <w:left w:val="nil"/>
              <w:bottom w:val="single" w:color="auto" w:sz="4" w:space="0"/>
              <w:right w:val="single" w:color="auto" w:sz="4" w:space="0"/>
            </w:tcBorders>
            <w:noWrap/>
            <w:vAlign w:val="center"/>
          </w:tcPr>
          <w:p w14:paraId="06C8C3D6">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70</w:t>
            </w:r>
          </w:p>
        </w:tc>
        <w:tc>
          <w:tcPr>
            <w:tcW w:w="1275" w:type="dxa"/>
            <w:tcBorders>
              <w:top w:val="nil"/>
              <w:left w:val="nil"/>
              <w:bottom w:val="single" w:color="auto" w:sz="4" w:space="0"/>
              <w:right w:val="single" w:color="auto" w:sz="4" w:space="0"/>
            </w:tcBorders>
            <w:noWrap/>
            <w:vAlign w:val="center"/>
          </w:tcPr>
          <w:p w14:paraId="2ABA8E94">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49000</w:t>
            </w:r>
          </w:p>
        </w:tc>
      </w:tr>
      <w:tr w14:paraId="0F0FFDA0">
        <w:tblPrEx>
          <w:tblCellMar>
            <w:top w:w="0" w:type="dxa"/>
            <w:left w:w="108" w:type="dxa"/>
            <w:bottom w:w="0" w:type="dxa"/>
            <w:right w:w="108" w:type="dxa"/>
          </w:tblCellMar>
        </w:tblPrEx>
        <w:trPr>
          <w:trHeight w:val="280" w:hRule="atLeast"/>
        </w:trPr>
        <w:tc>
          <w:tcPr>
            <w:tcW w:w="477" w:type="dxa"/>
            <w:tcBorders>
              <w:top w:val="nil"/>
              <w:left w:val="single" w:color="auto" w:sz="4" w:space="0"/>
              <w:bottom w:val="single" w:color="auto" w:sz="4" w:space="0"/>
              <w:right w:val="single" w:color="auto" w:sz="4" w:space="0"/>
            </w:tcBorders>
            <w:noWrap/>
            <w:vAlign w:val="center"/>
          </w:tcPr>
          <w:p w14:paraId="49B97CDF">
            <w:pPr>
              <w:widowControl/>
              <w:jc w:val="center"/>
              <w:rPr>
                <w:rFonts w:hint="eastAsia" w:ascii="宋体" w:hAnsi="宋体" w:cs="宋体"/>
                <w:color w:val="000000"/>
                <w:kern w:val="0"/>
                <w:sz w:val="22"/>
              </w:rPr>
            </w:pPr>
            <w:r>
              <w:rPr>
                <w:rFonts w:hint="eastAsia" w:ascii="宋体" w:hAnsi="宋体" w:cs="宋体"/>
                <w:color w:val="000000"/>
                <w:kern w:val="0"/>
                <w:sz w:val="22"/>
              </w:rPr>
              <w:t>4</w:t>
            </w:r>
          </w:p>
        </w:tc>
        <w:tc>
          <w:tcPr>
            <w:tcW w:w="1134" w:type="dxa"/>
            <w:tcBorders>
              <w:top w:val="nil"/>
              <w:left w:val="nil"/>
              <w:bottom w:val="single" w:color="auto" w:sz="4" w:space="0"/>
              <w:right w:val="single" w:color="auto" w:sz="4" w:space="0"/>
            </w:tcBorders>
            <w:noWrap/>
            <w:vAlign w:val="center"/>
          </w:tcPr>
          <w:p w14:paraId="77316C77">
            <w:pPr>
              <w:widowControl/>
              <w:jc w:val="center"/>
              <w:rPr>
                <w:rFonts w:hint="eastAsia" w:ascii="宋体" w:hAnsi="宋体" w:cs="宋体"/>
                <w:color w:val="000000"/>
                <w:kern w:val="0"/>
                <w:sz w:val="22"/>
              </w:rPr>
            </w:pPr>
            <w:r>
              <w:rPr>
                <w:rFonts w:hint="eastAsia" w:ascii="宋体" w:hAnsi="宋体" w:cs="宋体"/>
                <w:color w:val="000000"/>
                <w:kern w:val="0"/>
                <w:sz w:val="22"/>
              </w:rPr>
              <w:t>高强螺栓</w:t>
            </w:r>
          </w:p>
        </w:tc>
        <w:tc>
          <w:tcPr>
            <w:tcW w:w="3261" w:type="dxa"/>
            <w:tcBorders>
              <w:top w:val="nil"/>
              <w:left w:val="nil"/>
              <w:bottom w:val="single" w:color="auto" w:sz="4" w:space="0"/>
              <w:right w:val="single" w:color="auto" w:sz="4" w:space="0"/>
            </w:tcBorders>
            <w:noWrap w:val="0"/>
            <w:vAlign w:val="center"/>
          </w:tcPr>
          <w:p w14:paraId="03491191">
            <w:pPr>
              <w:widowControl/>
              <w:rPr>
                <w:rFonts w:hint="eastAsia" w:ascii="宋体" w:hAnsi="宋体" w:cs="宋体"/>
                <w:color w:val="000000"/>
                <w:kern w:val="0"/>
                <w:sz w:val="22"/>
              </w:rPr>
            </w:pPr>
            <w:r>
              <w:rPr>
                <w:rFonts w:hint="eastAsia" w:ascii="宋体" w:hAnsi="宋体" w:cs="宋体"/>
                <w:color w:val="000000"/>
                <w:kern w:val="0"/>
                <w:sz w:val="22"/>
              </w:rPr>
              <w:t>预拉力</w:t>
            </w:r>
          </w:p>
        </w:tc>
        <w:tc>
          <w:tcPr>
            <w:tcW w:w="1134" w:type="dxa"/>
            <w:tcBorders>
              <w:top w:val="nil"/>
              <w:left w:val="nil"/>
              <w:bottom w:val="single" w:color="auto" w:sz="4" w:space="0"/>
              <w:right w:val="single" w:color="auto" w:sz="4" w:space="0"/>
            </w:tcBorders>
            <w:noWrap/>
            <w:vAlign w:val="center"/>
          </w:tcPr>
          <w:p w14:paraId="35F1078A">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500</w:t>
            </w:r>
          </w:p>
        </w:tc>
        <w:tc>
          <w:tcPr>
            <w:tcW w:w="1134" w:type="dxa"/>
            <w:tcBorders>
              <w:top w:val="nil"/>
              <w:left w:val="nil"/>
              <w:bottom w:val="single" w:color="auto" w:sz="4" w:space="0"/>
              <w:right w:val="single" w:color="auto" w:sz="4" w:space="0"/>
            </w:tcBorders>
            <w:noWrap/>
            <w:vAlign w:val="center"/>
          </w:tcPr>
          <w:p w14:paraId="7D4B5034">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50</w:t>
            </w:r>
          </w:p>
        </w:tc>
        <w:tc>
          <w:tcPr>
            <w:tcW w:w="1275" w:type="dxa"/>
            <w:tcBorders>
              <w:top w:val="nil"/>
              <w:left w:val="nil"/>
              <w:bottom w:val="single" w:color="auto" w:sz="4" w:space="0"/>
              <w:right w:val="single" w:color="auto" w:sz="4" w:space="0"/>
            </w:tcBorders>
            <w:noWrap/>
            <w:vAlign w:val="center"/>
          </w:tcPr>
          <w:p w14:paraId="5F715FFA">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25000</w:t>
            </w:r>
          </w:p>
        </w:tc>
      </w:tr>
      <w:tr w14:paraId="7C6AF698">
        <w:tblPrEx>
          <w:tblCellMar>
            <w:top w:w="0" w:type="dxa"/>
            <w:left w:w="108" w:type="dxa"/>
            <w:bottom w:w="0" w:type="dxa"/>
            <w:right w:w="108" w:type="dxa"/>
          </w:tblCellMar>
        </w:tblPrEx>
        <w:trPr>
          <w:trHeight w:val="560" w:hRule="atLeast"/>
        </w:trPr>
        <w:tc>
          <w:tcPr>
            <w:tcW w:w="477" w:type="dxa"/>
            <w:tcBorders>
              <w:top w:val="nil"/>
              <w:left w:val="single" w:color="auto" w:sz="4" w:space="0"/>
              <w:bottom w:val="single" w:color="auto" w:sz="4" w:space="0"/>
              <w:right w:val="single" w:color="auto" w:sz="4" w:space="0"/>
            </w:tcBorders>
            <w:noWrap/>
            <w:vAlign w:val="center"/>
          </w:tcPr>
          <w:p w14:paraId="3DDAA204">
            <w:pPr>
              <w:widowControl/>
              <w:jc w:val="center"/>
              <w:rPr>
                <w:rFonts w:hint="eastAsia" w:ascii="宋体" w:hAnsi="宋体" w:cs="宋体"/>
                <w:color w:val="000000"/>
                <w:kern w:val="0"/>
                <w:sz w:val="22"/>
              </w:rPr>
            </w:pPr>
            <w:r>
              <w:rPr>
                <w:rFonts w:hint="eastAsia" w:ascii="宋体" w:hAnsi="宋体" w:cs="宋体"/>
                <w:color w:val="000000"/>
                <w:kern w:val="0"/>
                <w:sz w:val="22"/>
              </w:rPr>
              <w:t>5</w:t>
            </w:r>
          </w:p>
        </w:tc>
        <w:tc>
          <w:tcPr>
            <w:tcW w:w="1134" w:type="dxa"/>
            <w:tcBorders>
              <w:top w:val="nil"/>
              <w:left w:val="nil"/>
              <w:bottom w:val="single" w:color="auto" w:sz="4" w:space="0"/>
              <w:right w:val="single" w:color="auto" w:sz="4" w:space="0"/>
            </w:tcBorders>
            <w:noWrap/>
            <w:vAlign w:val="center"/>
          </w:tcPr>
          <w:p w14:paraId="1D399EE6">
            <w:pPr>
              <w:widowControl/>
              <w:jc w:val="center"/>
              <w:rPr>
                <w:rFonts w:hint="eastAsia" w:ascii="宋体" w:hAnsi="宋体" w:cs="宋体"/>
                <w:color w:val="000000"/>
                <w:kern w:val="0"/>
                <w:sz w:val="22"/>
              </w:rPr>
            </w:pPr>
            <w:r>
              <w:rPr>
                <w:rFonts w:hint="eastAsia" w:ascii="宋体" w:hAnsi="宋体" w:cs="宋体"/>
                <w:color w:val="000000"/>
                <w:kern w:val="0"/>
                <w:sz w:val="22"/>
              </w:rPr>
              <w:t>高强螺栓</w:t>
            </w:r>
          </w:p>
        </w:tc>
        <w:tc>
          <w:tcPr>
            <w:tcW w:w="3261" w:type="dxa"/>
            <w:tcBorders>
              <w:top w:val="nil"/>
              <w:left w:val="nil"/>
              <w:bottom w:val="single" w:color="auto" w:sz="4" w:space="0"/>
              <w:right w:val="single" w:color="auto" w:sz="4" w:space="0"/>
            </w:tcBorders>
            <w:noWrap w:val="0"/>
            <w:vAlign w:val="center"/>
          </w:tcPr>
          <w:p w14:paraId="57014F4D">
            <w:pPr>
              <w:widowControl/>
              <w:rPr>
                <w:rFonts w:hint="eastAsia" w:ascii="宋体" w:hAnsi="宋体" w:cs="宋体"/>
                <w:color w:val="000000"/>
                <w:kern w:val="0"/>
                <w:sz w:val="22"/>
              </w:rPr>
            </w:pPr>
            <w:r>
              <w:rPr>
                <w:rFonts w:hint="eastAsia" w:ascii="宋体" w:hAnsi="宋体" w:cs="宋体"/>
                <w:color w:val="000000"/>
                <w:kern w:val="0"/>
                <w:sz w:val="22"/>
              </w:rPr>
              <w:t>扭矩系数</w:t>
            </w:r>
          </w:p>
        </w:tc>
        <w:tc>
          <w:tcPr>
            <w:tcW w:w="1134" w:type="dxa"/>
            <w:tcBorders>
              <w:top w:val="nil"/>
              <w:left w:val="nil"/>
              <w:bottom w:val="single" w:color="auto" w:sz="4" w:space="0"/>
              <w:right w:val="single" w:color="auto" w:sz="4" w:space="0"/>
            </w:tcBorders>
            <w:noWrap/>
            <w:vAlign w:val="center"/>
          </w:tcPr>
          <w:p w14:paraId="4B5A9523">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800</w:t>
            </w:r>
          </w:p>
        </w:tc>
        <w:tc>
          <w:tcPr>
            <w:tcW w:w="1134" w:type="dxa"/>
            <w:tcBorders>
              <w:top w:val="nil"/>
              <w:left w:val="nil"/>
              <w:bottom w:val="single" w:color="auto" w:sz="4" w:space="0"/>
              <w:right w:val="single" w:color="auto" w:sz="4" w:space="0"/>
            </w:tcBorders>
            <w:noWrap/>
            <w:vAlign w:val="center"/>
          </w:tcPr>
          <w:p w14:paraId="5EC6814B">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30</w:t>
            </w:r>
          </w:p>
        </w:tc>
        <w:tc>
          <w:tcPr>
            <w:tcW w:w="1275" w:type="dxa"/>
            <w:tcBorders>
              <w:top w:val="nil"/>
              <w:left w:val="nil"/>
              <w:bottom w:val="single" w:color="auto" w:sz="4" w:space="0"/>
              <w:right w:val="single" w:color="auto" w:sz="4" w:space="0"/>
            </w:tcBorders>
            <w:noWrap/>
            <w:vAlign w:val="center"/>
          </w:tcPr>
          <w:p w14:paraId="55016AD7">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24000</w:t>
            </w:r>
          </w:p>
        </w:tc>
      </w:tr>
      <w:tr w14:paraId="4B0EB136">
        <w:tblPrEx>
          <w:tblCellMar>
            <w:top w:w="0" w:type="dxa"/>
            <w:left w:w="108" w:type="dxa"/>
            <w:bottom w:w="0" w:type="dxa"/>
            <w:right w:w="108" w:type="dxa"/>
          </w:tblCellMar>
        </w:tblPrEx>
        <w:trPr>
          <w:trHeight w:val="280" w:hRule="atLeast"/>
        </w:trPr>
        <w:tc>
          <w:tcPr>
            <w:tcW w:w="477" w:type="dxa"/>
            <w:tcBorders>
              <w:top w:val="nil"/>
              <w:left w:val="single" w:color="auto" w:sz="4" w:space="0"/>
              <w:bottom w:val="single" w:color="auto" w:sz="4" w:space="0"/>
              <w:right w:val="single" w:color="auto" w:sz="4" w:space="0"/>
            </w:tcBorders>
            <w:noWrap/>
            <w:vAlign w:val="center"/>
          </w:tcPr>
          <w:p w14:paraId="1ACE29DA">
            <w:pPr>
              <w:widowControl/>
              <w:jc w:val="center"/>
              <w:rPr>
                <w:rFonts w:hint="eastAsia" w:ascii="宋体" w:hAnsi="宋体" w:cs="宋体"/>
                <w:color w:val="000000"/>
                <w:kern w:val="0"/>
                <w:sz w:val="22"/>
              </w:rPr>
            </w:pPr>
            <w:r>
              <w:rPr>
                <w:rFonts w:hint="eastAsia" w:ascii="宋体" w:hAnsi="宋体" w:cs="宋体"/>
                <w:color w:val="000000"/>
                <w:kern w:val="0"/>
                <w:sz w:val="22"/>
              </w:rPr>
              <w:t>6</w:t>
            </w:r>
          </w:p>
        </w:tc>
        <w:tc>
          <w:tcPr>
            <w:tcW w:w="1134" w:type="dxa"/>
            <w:tcBorders>
              <w:top w:val="nil"/>
              <w:left w:val="nil"/>
              <w:bottom w:val="single" w:color="auto" w:sz="4" w:space="0"/>
              <w:right w:val="single" w:color="auto" w:sz="4" w:space="0"/>
            </w:tcBorders>
            <w:noWrap/>
            <w:vAlign w:val="center"/>
          </w:tcPr>
          <w:p w14:paraId="6848C174">
            <w:pPr>
              <w:widowControl/>
              <w:jc w:val="center"/>
              <w:rPr>
                <w:rFonts w:hint="eastAsia" w:ascii="宋体" w:hAnsi="宋体" w:cs="宋体"/>
                <w:color w:val="000000"/>
                <w:kern w:val="0"/>
                <w:sz w:val="22"/>
              </w:rPr>
            </w:pPr>
            <w:r>
              <w:rPr>
                <w:rFonts w:hint="eastAsia" w:ascii="宋体" w:hAnsi="宋体" w:cs="宋体"/>
                <w:color w:val="000000"/>
                <w:kern w:val="0"/>
                <w:sz w:val="22"/>
              </w:rPr>
              <w:t>高强螺栓</w:t>
            </w:r>
          </w:p>
        </w:tc>
        <w:tc>
          <w:tcPr>
            <w:tcW w:w="3261" w:type="dxa"/>
            <w:tcBorders>
              <w:top w:val="nil"/>
              <w:left w:val="nil"/>
              <w:bottom w:val="single" w:color="auto" w:sz="4" w:space="0"/>
              <w:right w:val="single" w:color="auto" w:sz="4" w:space="0"/>
            </w:tcBorders>
            <w:noWrap w:val="0"/>
            <w:vAlign w:val="center"/>
          </w:tcPr>
          <w:p w14:paraId="0CE49186">
            <w:pPr>
              <w:widowControl/>
              <w:rPr>
                <w:rFonts w:hint="eastAsia" w:ascii="宋体" w:hAnsi="宋体" w:cs="宋体"/>
                <w:color w:val="000000"/>
                <w:kern w:val="0"/>
                <w:sz w:val="22"/>
              </w:rPr>
            </w:pPr>
            <w:r>
              <w:rPr>
                <w:rFonts w:hint="eastAsia" w:ascii="宋体" w:hAnsi="宋体" w:cs="宋体"/>
                <w:color w:val="000000"/>
                <w:kern w:val="0"/>
                <w:sz w:val="22"/>
              </w:rPr>
              <w:t>抗滑移系数</w:t>
            </w:r>
          </w:p>
        </w:tc>
        <w:tc>
          <w:tcPr>
            <w:tcW w:w="1134" w:type="dxa"/>
            <w:tcBorders>
              <w:top w:val="nil"/>
              <w:left w:val="nil"/>
              <w:bottom w:val="single" w:color="auto" w:sz="4" w:space="0"/>
              <w:right w:val="single" w:color="auto" w:sz="4" w:space="0"/>
            </w:tcBorders>
            <w:noWrap/>
            <w:vAlign w:val="center"/>
          </w:tcPr>
          <w:p w14:paraId="2B7F9CFD">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800</w:t>
            </w:r>
          </w:p>
        </w:tc>
        <w:tc>
          <w:tcPr>
            <w:tcW w:w="1134" w:type="dxa"/>
            <w:tcBorders>
              <w:top w:val="nil"/>
              <w:left w:val="nil"/>
              <w:bottom w:val="single" w:color="auto" w:sz="4" w:space="0"/>
              <w:right w:val="single" w:color="auto" w:sz="4" w:space="0"/>
            </w:tcBorders>
            <w:noWrap/>
            <w:vAlign w:val="center"/>
          </w:tcPr>
          <w:p w14:paraId="3EBDB0FE">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30</w:t>
            </w:r>
          </w:p>
        </w:tc>
        <w:tc>
          <w:tcPr>
            <w:tcW w:w="1275" w:type="dxa"/>
            <w:tcBorders>
              <w:top w:val="nil"/>
              <w:left w:val="nil"/>
              <w:bottom w:val="single" w:color="auto" w:sz="4" w:space="0"/>
              <w:right w:val="single" w:color="auto" w:sz="4" w:space="0"/>
            </w:tcBorders>
            <w:noWrap/>
            <w:vAlign w:val="center"/>
          </w:tcPr>
          <w:p w14:paraId="1318EE5A">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24000</w:t>
            </w:r>
          </w:p>
        </w:tc>
      </w:tr>
      <w:tr w14:paraId="0E8049B3">
        <w:tblPrEx>
          <w:tblCellMar>
            <w:top w:w="0" w:type="dxa"/>
            <w:left w:w="108" w:type="dxa"/>
            <w:bottom w:w="0" w:type="dxa"/>
            <w:right w:w="108" w:type="dxa"/>
          </w:tblCellMar>
        </w:tblPrEx>
        <w:trPr>
          <w:trHeight w:val="280" w:hRule="atLeast"/>
        </w:trPr>
        <w:tc>
          <w:tcPr>
            <w:tcW w:w="477" w:type="dxa"/>
            <w:tcBorders>
              <w:top w:val="nil"/>
              <w:left w:val="single" w:color="auto" w:sz="4" w:space="0"/>
              <w:bottom w:val="single" w:color="auto" w:sz="4" w:space="0"/>
              <w:right w:val="single" w:color="auto" w:sz="4" w:space="0"/>
            </w:tcBorders>
            <w:noWrap/>
            <w:vAlign w:val="center"/>
          </w:tcPr>
          <w:p w14:paraId="5EB620FC">
            <w:pPr>
              <w:widowControl/>
              <w:jc w:val="center"/>
              <w:rPr>
                <w:rFonts w:hint="eastAsia" w:ascii="宋体" w:hAnsi="宋体" w:cs="宋体"/>
                <w:color w:val="000000"/>
                <w:kern w:val="0"/>
                <w:sz w:val="22"/>
              </w:rPr>
            </w:pPr>
            <w:r>
              <w:rPr>
                <w:rFonts w:hint="eastAsia" w:ascii="宋体" w:hAnsi="宋体" w:cs="宋体"/>
                <w:color w:val="000000"/>
                <w:kern w:val="0"/>
                <w:sz w:val="22"/>
              </w:rPr>
              <w:t>7</w:t>
            </w:r>
          </w:p>
        </w:tc>
        <w:tc>
          <w:tcPr>
            <w:tcW w:w="1134" w:type="dxa"/>
            <w:tcBorders>
              <w:top w:val="nil"/>
              <w:left w:val="nil"/>
              <w:bottom w:val="single" w:color="auto" w:sz="4" w:space="0"/>
              <w:right w:val="single" w:color="auto" w:sz="4" w:space="0"/>
            </w:tcBorders>
            <w:noWrap/>
            <w:vAlign w:val="center"/>
          </w:tcPr>
          <w:p w14:paraId="75341ADD">
            <w:pPr>
              <w:widowControl/>
              <w:jc w:val="center"/>
              <w:rPr>
                <w:rFonts w:hint="eastAsia" w:ascii="宋体" w:hAnsi="宋体" w:cs="宋体"/>
                <w:color w:val="000000"/>
                <w:kern w:val="0"/>
                <w:sz w:val="22"/>
              </w:rPr>
            </w:pPr>
            <w:r>
              <w:rPr>
                <w:rFonts w:hint="eastAsia" w:ascii="宋体" w:hAnsi="宋体" w:cs="宋体"/>
                <w:color w:val="000000"/>
                <w:kern w:val="0"/>
                <w:sz w:val="22"/>
              </w:rPr>
              <w:t>高强螺栓</w:t>
            </w:r>
          </w:p>
        </w:tc>
        <w:tc>
          <w:tcPr>
            <w:tcW w:w="3261" w:type="dxa"/>
            <w:tcBorders>
              <w:top w:val="nil"/>
              <w:left w:val="nil"/>
              <w:bottom w:val="single" w:color="auto" w:sz="4" w:space="0"/>
              <w:right w:val="single" w:color="auto" w:sz="4" w:space="0"/>
            </w:tcBorders>
            <w:noWrap w:val="0"/>
            <w:vAlign w:val="center"/>
          </w:tcPr>
          <w:p w14:paraId="65A68D58">
            <w:pPr>
              <w:widowControl/>
              <w:rPr>
                <w:rFonts w:hint="eastAsia" w:ascii="宋体" w:hAnsi="宋体" w:cs="宋体"/>
                <w:color w:val="000000"/>
                <w:kern w:val="0"/>
                <w:sz w:val="22"/>
              </w:rPr>
            </w:pPr>
            <w:r>
              <w:rPr>
                <w:rFonts w:hint="eastAsia" w:ascii="宋体" w:hAnsi="宋体" w:cs="宋体"/>
                <w:color w:val="000000"/>
                <w:kern w:val="0"/>
                <w:sz w:val="22"/>
              </w:rPr>
              <w:t>硬度</w:t>
            </w:r>
          </w:p>
        </w:tc>
        <w:tc>
          <w:tcPr>
            <w:tcW w:w="1134" w:type="dxa"/>
            <w:tcBorders>
              <w:top w:val="nil"/>
              <w:left w:val="nil"/>
              <w:bottom w:val="single" w:color="auto" w:sz="4" w:space="0"/>
              <w:right w:val="single" w:color="auto" w:sz="4" w:space="0"/>
            </w:tcBorders>
            <w:noWrap/>
            <w:vAlign w:val="center"/>
          </w:tcPr>
          <w:p w14:paraId="66E200DD">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100</w:t>
            </w:r>
          </w:p>
        </w:tc>
        <w:tc>
          <w:tcPr>
            <w:tcW w:w="1134" w:type="dxa"/>
            <w:tcBorders>
              <w:top w:val="nil"/>
              <w:left w:val="nil"/>
              <w:bottom w:val="single" w:color="auto" w:sz="4" w:space="0"/>
              <w:right w:val="single" w:color="auto" w:sz="4" w:space="0"/>
            </w:tcBorders>
            <w:noWrap/>
            <w:vAlign w:val="center"/>
          </w:tcPr>
          <w:p w14:paraId="26EB72F0">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40</w:t>
            </w:r>
          </w:p>
        </w:tc>
        <w:tc>
          <w:tcPr>
            <w:tcW w:w="1275" w:type="dxa"/>
            <w:tcBorders>
              <w:top w:val="nil"/>
              <w:left w:val="nil"/>
              <w:bottom w:val="single" w:color="auto" w:sz="4" w:space="0"/>
              <w:right w:val="single" w:color="auto" w:sz="4" w:space="0"/>
            </w:tcBorders>
            <w:noWrap/>
            <w:vAlign w:val="center"/>
          </w:tcPr>
          <w:p w14:paraId="6381DC8D">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4000</w:t>
            </w:r>
          </w:p>
        </w:tc>
      </w:tr>
      <w:tr w14:paraId="118DA005">
        <w:tblPrEx>
          <w:tblCellMar>
            <w:top w:w="0" w:type="dxa"/>
            <w:left w:w="108" w:type="dxa"/>
            <w:bottom w:w="0" w:type="dxa"/>
            <w:right w:w="108" w:type="dxa"/>
          </w:tblCellMar>
        </w:tblPrEx>
        <w:trPr>
          <w:trHeight w:val="280" w:hRule="atLeast"/>
        </w:trPr>
        <w:tc>
          <w:tcPr>
            <w:tcW w:w="477" w:type="dxa"/>
            <w:tcBorders>
              <w:top w:val="nil"/>
              <w:left w:val="single" w:color="auto" w:sz="4" w:space="0"/>
              <w:bottom w:val="single" w:color="auto" w:sz="4" w:space="0"/>
              <w:right w:val="single" w:color="auto" w:sz="4" w:space="0"/>
            </w:tcBorders>
            <w:noWrap/>
            <w:vAlign w:val="center"/>
          </w:tcPr>
          <w:p w14:paraId="6F645717">
            <w:pPr>
              <w:widowControl/>
              <w:jc w:val="center"/>
              <w:rPr>
                <w:rFonts w:hint="eastAsia" w:ascii="宋体" w:hAnsi="宋体" w:cs="宋体"/>
                <w:color w:val="000000"/>
                <w:kern w:val="0"/>
                <w:sz w:val="22"/>
              </w:rPr>
            </w:pPr>
            <w:r>
              <w:rPr>
                <w:rFonts w:hint="eastAsia" w:ascii="宋体" w:hAnsi="宋体" w:cs="宋体"/>
                <w:color w:val="000000"/>
                <w:kern w:val="0"/>
                <w:sz w:val="22"/>
              </w:rPr>
              <w:t>8</w:t>
            </w:r>
          </w:p>
        </w:tc>
        <w:tc>
          <w:tcPr>
            <w:tcW w:w="1134" w:type="dxa"/>
            <w:tcBorders>
              <w:top w:val="nil"/>
              <w:left w:val="nil"/>
              <w:bottom w:val="single" w:color="auto" w:sz="4" w:space="0"/>
              <w:right w:val="single" w:color="auto" w:sz="4" w:space="0"/>
            </w:tcBorders>
            <w:noWrap/>
            <w:vAlign w:val="center"/>
          </w:tcPr>
          <w:p w14:paraId="190B9CED">
            <w:pPr>
              <w:widowControl/>
              <w:jc w:val="center"/>
              <w:rPr>
                <w:rFonts w:hint="eastAsia" w:ascii="宋体" w:hAnsi="宋体" w:cs="宋体"/>
                <w:color w:val="000000"/>
                <w:kern w:val="0"/>
                <w:sz w:val="22"/>
              </w:rPr>
            </w:pPr>
            <w:r>
              <w:rPr>
                <w:rFonts w:hint="eastAsia" w:ascii="宋体" w:hAnsi="宋体" w:cs="宋体"/>
                <w:color w:val="000000"/>
                <w:kern w:val="0"/>
                <w:sz w:val="22"/>
              </w:rPr>
              <w:t>钢结构</w:t>
            </w:r>
          </w:p>
        </w:tc>
        <w:tc>
          <w:tcPr>
            <w:tcW w:w="3261" w:type="dxa"/>
            <w:tcBorders>
              <w:top w:val="nil"/>
              <w:left w:val="nil"/>
              <w:bottom w:val="single" w:color="auto" w:sz="4" w:space="0"/>
              <w:right w:val="single" w:color="auto" w:sz="4" w:space="0"/>
            </w:tcBorders>
            <w:noWrap w:val="0"/>
            <w:vAlign w:val="center"/>
          </w:tcPr>
          <w:p w14:paraId="0738AC5D">
            <w:pPr>
              <w:widowControl/>
              <w:rPr>
                <w:rFonts w:hint="eastAsia" w:ascii="宋体" w:hAnsi="宋体" w:cs="宋体"/>
                <w:color w:val="000000"/>
                <w:kern w:val="0"/>
                <w:sz w:val="22"/>
              </w:rPr>
            </w:pPr>
            <w:r>
              <w:rPr>
                <w:rFonts w:hint="eastAsia" w:ascii="宋体" w:hAnsi="宋体" w:cs="宋体"/>
                <w:color w:val="000000"/>
                <w:kern w:val="0"/>
                <w:sz w:val="22"/>
              </w:rPr>
              <w:t>焊缝探伤</w:t>
            </w:r>
          </w:p>
        </w:tc>
        <w:tc>
          <w:tcPr>
            <w:tcW w:w="1134" w:type="dxa"/>
            <w:tcBorders>
              <w:top w:val="nil"/>
              <w:left w:val="nil"/>
              <w:bottom w:val="single" w:color="auto" w:sz="4" w:space="0"/>
              <w:right w:val="single" w:color="auto" w:sz="4" w:space="0"/>
            </w:tcBorders>
            <w:noWrap/>
            <w:vAlign w:val="center"/>
          </w:tcPr>
          <w:p w14:paraId="7DDB5A5D">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80</w:t>
            </w:r>
          </w:p>
        </w:tc>
        <w:tc>
          <w:tcPr>
            <w:tcW w:w="1134" w:type="dxa"/>
            <w:tcBorders>
              <w:top w:val="nil"/>
              <w:left w:val="nil"/>
              <w:bottom w:val="single" w:color="auto" w:sz="4" w:space="0"/>
              <w:right w:val="single" w:color="auto" w:sz="4" w:space="0"/>
            </w:tcBorders>
            <w:noWrap/>
            <w:vAlign w:val="center"/>
          </w:tcPr>
          <w:p w14:paraId="4879871D">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100</w:t>
            </w:r>
          </w:p>
        </w:tc>
        <w:tc>
          <w:tcPr>
            <w:tcW w:w="1275" w:type="dxa"/>
            <w:tcBorders>
              <w:top w:val="nil"/>
              <w:left w:val="nil"/>
              <w:bottom w:val="single" w:color="auto" w:sz="4" w:space="0"/>
              <w:right w:val="single" w:color="auto" w:sz="4" w:space="0"/>
            </w:tcBorders>
            <w:noWrap/>
            <w:vAlign w:val="center"/>
          </w:tcPr>
          <w:p w14:paraId="0DA5B63D">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8000</w:t>
            </w:r>
          </w:p>
        </w:tc>
      </w:tr>
      <w:tr w14:paraId="7743DD86">
        <w:tblPrEx>
          <w:tblCellMar>
            <w:top w:w="0" w:type="dxa"/>
            <w:left w:w="108" w:type="dxa"/>
            <w:bottom w:w="0" w:type="dxa"/>
            <w:right w:w="108" w:type="dxa"/>
          </w:tblCellMar>
        </w:tblPrEx>
        <w:trPr>
          <w:trHeight w:val="90" w:hRule="atLeast"/>
        </w:trPr>
        <w:tc>
          <w:tcPr>
            <w:tcW w:w="477" w:type="dxa"/>
            <w:tcBorders>
              <w:top w:val="nil"/>
              <w:left w:val="single" w:color="auto" w:sz="4" w:space="0"/>
              <w:bottom w:val="single" w:color="auto" w:sz="4" w:space="0"/>
              <w:right w:val="single" w:color="auto" w:sz="4" w:space="0"/>
            </w:tcBorders>
            <w:noWrap/>
            <w:vAlign w:val="center"/>
          </w:tcPr>
          <w:p w14:paraId="48B80ABB">
            <w:pPr>
              <w:widowControl/>
              <w:jc w:val="center"/>
              <w:rPr>
                <w:rFonts w:hint="eastAsia" w:ascii="宋体" w:hAnsi="宋体" w:cs="宋体"/>
                <w:color w:val="000000"/>
                <w:kern w:val="0"/>
                <w:sz w:val="22"/>
              </w:rPr>
            </w:pPr>
            <w:r>
              <w:rPr>
                <w:rFonts w:hint="eastAsia" w:ascii="宋体" w:hAnsi="宋体" w:cs="宋体"/>
                <w:color w:val="000000"/>
                <w:kern w:val="0"/>
                <w:sz w:val="22"/>
              </w:rPr>
              <w:t>9</w:t>
            </w:r>
          </w:p>
        </w:tc>
        <w:tc>
          <w:tcPr>
            <w:tcW w:w="1134" w:type="dxa"/>
            <w:tcBorders>
              <w:top w:val="nil"/>
              <w:left w:val="nil"/>
              <w:bottom w:val="single" w:color="auto" w:sz="4" w:space="0"/>
              <w:right w:val="single" w:color="auto" w:sz="4" w:space="0"/>
            </w:tcBorders>
            <w:noWrap/>
            <w:vAlign w:val="center"/>
          </w:tcPr>
          <w:p w14:paraId="2268856E">
            <w:pPr>
              <w:widowControl/>
              <w:jc w:val="center"/>
              <w:rPr>
                <w:rFonts w:hint="eastAsia" w:ascii="宋体" w:hAnsi="宋体" w:cs="宋体"/>
                <w:color w:val="000000"/>
                <w:kern w:val="0"/>
                <w:sz w:val="22"/>
              </w:rPr>
            </w:pPr>
            <w:r>
              <w:rPr>
                <w:rFonts w:hint="eastAsia" w:ascii="宋体" w:hAnsi="宋体" w:cs="宋体"/>
                <w:color w:val="000000"/>
                <w:kern w:val="0"/>
                <w:sz w:val="22"/>
              </w:rPr>
              <w:t>保温材料</w:t>
            </w:r>
          </w:p>
        </w:tc>
        <w:tc>
          <w:tcPr>
            <w:tcW w:w="3261" w:type="dxa"/>
            <w:tcBorders>
              <w:top w:val="nil"/>
              <w:left w:val="nil"/>
              <w:bottom w:val="single" w:color="auto" w:sz="4" w:space="0"/>
              <w:right w:val="single" w:color="auto" w:sz="4" w:space="0"/>
            </w:tcBorders>
            <w:noWrap w:val="0"/>
            <w:vAlign w:val="center"/>
          </w:tcPr>
          <w:p w14:paraId="49423A8D">
            <w:pPr>
              <w:widowControl/>
              <w:rPr>
                <w:rFonts w:hint="eastAsia" w:ascii="宋体" w:hAnsi="宋体" w:cs="宋体"/>
                <w:color w:val="000000"/>
                <w:kern w:val="0"/>
                <w:sz w:val="22"/>
              </w:rPr>
            </w:pPr>
            <w:r>
              <w:rPr>
                <w:rFonts w:hint="eastAsia" w:ascii="宋体" w:hAnsi="宋体" w:cs="宋体"/>
                <w:color w:val="000000"/>
                <w:kern w:val="0"/>
                <w:sz w:val="22"/>
              </w:rPr>
              <w:t>保温层钻芯厚度（不含燃烧性能）</w:t>
            </w:r>
          </w:p>
        </w:tc>
        <w:tc>
          <w:tcPr>
            <w:tcW w:w="1134" w:type="dxa"/>
            <w:tcBorders>
              <w:top w:val="nil"/>
              <w:left w:val="nil"/>
              <w:bottom w:val="single" w:color="auto" w:sz="4" w:space="0"/>
              <w:right w:val="single" w:color="auto" w:sz="4" w:space="0"/>
            </w:tcBorders>
            <w:noWrap/>
            <w:vAlign w:val="center"/>
          </w:tcPr>
          <w:p w14:paraId="10C728D3">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200</w:t>
            </w:r>
          </w:p>
        </w:tc>
        <w:tc>
          <w:tcPr>
            <w:tcW w:w="1134" w:type="dxa"/>
            <w:tcBorders>
              <w:top w:val="nil"/>
              <w:left w:val="nil"/>
              <w:bottom w:val="single" w:color="auto" w:sz="4" w:space="0"/>
              <w:right w:val="single" w:color="auto" w:sz="4" w:space="0"/>
            </w:tcBorders>
            <w:noWrap/>
            <w:vAlign w:val="center"/>
          </w:tcPr>
          <w:p w14:paraId="4EB5674A">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50</w:t>
            </w:r>
          </w:p>
        </w:tc>
        <w:tc>
          <w:tcPr>
            <w:tcW w:w="1275" w:type="dxa"/>
            <w:tcBorders>
              <w:top w:val="nil"/>
              <w:left w:val="nil"/>
              <w:bottom w:val="single" w:color="auto" w:sz="4" w:space="0"/>
              <w:right w:val="single" w:color="auto" w:sz="4" w:space="0"/>
            </w:tcBorders>
            <w:noWrap/>
            <w:vAlign w:val="center"/>
          </w:tcPr>
          <w:p w14:paraId="21A2B001">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10000</w:t>
            </w:r>
          </w:p>
        </w:tc>
      </w:tr>
      <w:tr w14:paraId="62D52C11">
        <w:tblPrEx>
          <w:tblCellMar>
            <w:top w:w="0" w:type="dxa"/>
            <w:left w:w="108" w:type="dxa"/>
            <w:bottom w:w="0" w:type="dxa"/>
            <w:right w:w="108" w:type="dxa"/>
          </w:tblCellMar>
        </w:tblPrEx>
        <w:trPr>
          <w:trHeight w:val="280" w:hRule="atLeast"/>
        </w:trPr>
        <w:tc>
          <w:tcPr>
            <w:tcW w:w="477" w:type="dxa"/>
            <w:tcBorders>
              <w:top w:val="nil"/>
              <w:left w:val="single" w:color="auto" w:sz="4" w:space="0"/>
              <w:bottom w:val="single" w:color="auto" w:sz="4" w:space="0"/>
              <w:right w:val="single" w:color="auto" w:sz="4" w:space="0"/>
            </w:tcBorders>
            <w:noWrap/>
            <w:vAlign w:val="center"/>
          </w:tcPr>
          <w:p w14:paraId="0340F5E0">
            <w:pPr>
              <w:widowControl/>
              <w:jc w:val="center"/>
              <w:rPr>
                <w:rFonts w:hint="eastAsia" w:ascii="宋体" w:hAnsi="宋体" w:cs="宋体"/>
                <w:color w:val="000000"/>
                <w:kern w:val="0"/>
                <w:sz w:val="22"/>
              </w:rPr>
            </w:pPr>
            <w:r>
              <w:rPr>
                <w:rFonts w:hint="eastAsia" w:ascii="宋体" w:hAnsi="宋体" w:cs="宋体"/>
                <w:color w:val="000000"/>
                <w:kern w:val="0"/>
                <w:sz w:val="22"/>
              </w:rPr>
              <w:t>10</w:t>
            </w:r>
          </w:p>
        </w:tc>
        <w:tc>
          <w:tcPr>
            <w:tcW w:w="1134" w:type="dxa"/>
            <w:tcBorders>
              <w:top w:val="nil"/>
              <w:left w:val="nil"/>
              <w:bottom w:val="single" w:color="auto" w:sz="4" w:space="0"/>
              <w:right w:val="single" w:color="auto" w:sz="4" w:space="0"/>
            </w:tcBorders>
            <w:noWrap/>
            <w:vAlign w:val="center"/>
          </w:tcPr>
          <w:p w14:paraId="1CFD7EAB">
            <w:pPr>
              <w:widowControl/>
              <w:jc w:val="center"/>
              <w:rPr>
                <w:rFonts w:hint="eastAsia" w:ascii="宋体" w:hAnsi="宋体" w:cs="宋体"/>
                <w:color w:val="000000"/>
                <w:kern w:val="0"/>
                <w:sz w:val="22"/>
              </w:rPr>
            </w:pPr>
            <w:r>
              <w:rPr>
                <w:rFonts w:hint="eastAsia" w:ascii="宋体" w:hAnsi="宋体" w:cs="宋体"/>
                <w:color w:val="000000"/>
                <w:kern w:val="0"/>
                <w:sz w:val="22"/>
              </w:rPr>
              <w:t>保温板</w:t>
            </w:r>
          </w:p>
        </w:tc>
        <w:tc>
          <w:tcPr>
            <w:tcW w:w="3261" w:type="dxa"/>
            <w:tcBorders>
              <w:top w:val="nil"/>
              <w:left w:val="nil"/>
              <w:bottom w:val="single" w:color="auto" w:sz="4" w:space="0"/>
              <w:right w:val="single" w:color="auto" w:sz="4" w:space="0"/>
            </w:tcBorders>
            <w:noWrap w:val="0"/>
            <w:vAlign w:val="center"/>
          </w:tcPr>
          <w:p w14:paraId="297B9E1F">
            <w:pPr>
              <w:widowControl/>
              <w:rPr>
                <w:rFonts w:hint="eastAsia" w:ascii="宋体" w:hAnsi="宋体" w:cs="宋体"/>
                <w:color w:val="000000"/>
                <w:kern w:val="0"/>
                <w:sz w:val="22"/>
              </w:rPr>
            </w:pPr>
            <w:r>
              <w:rPr>
                <w:rFonts w:hint="eastAsia" w:ascii="宋体" w:hAnsi="宋体" w:cs="宋体"/>
                <w:color w:val="000000"/>
                <w:kern w:val="0"/>
                <w:sz w:val="22"/>
              </w:rPr>
              <w:t>保温层钻芯厚度（不含燃烧性能）</w:t>
            </w:r>
          </w:p>
        </w:tc>
        <w:tc>
          <w:tcPr>
            <w:tcW w:w="1134" w:type="dxa"/>
            <w:tcBorders>
              <w:top w:val="nil"/>
              <w:left w:val="nil"/>
              <w:bottom w:val="single" w:color="auto" w:sz="4" w:space="0"/>
              <w:right w:val="single" w:color="auto" w:sz="4" w:space="0"/>
            </w:tcBorders>
            <w:noWrap/>
            <w:vAlign w:val="center"/>
          </w:tcPr>
          <w:p w14:paraId="1576E7C9">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500</w:t>
            </w:r>
          </w:p>
        </w:tc>
        <w:tc>
          <w:tcPr>
            <w:tcW w:w="1134" w:type="dxa"/>
            <w:tcBorders>
              <w:top w:val="nil"/>
              <w:left w:val="nil"/>
              <w:bottom w:val="single" w:color="auto" w:sz="4" w:space="0"/>
              <w:right w:val="single" w:color="auto" w:sz="4" w:space="0"/>
            </w:tcBorders>
            <w:noWrap/>
            <w:vAlign w:val="center"/>
          </w:tcPr>
          <w:p w14:paraId="2E8B33F4">
            <w:pPr>
              <w:widowControl/>
              <w:jc w:val="center"/>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50</w:t>
            </w:r>
          </w:p>
        </w:tc>
        <w:tc>
          <w:tcPr>
            <w:tcW w:w="1275" w:type="dxa"/>
            <w:tcBorders>
              <w:top w:val="nil"/>
              <w:left w:val="nil"/>
              <w:bottom w:val="single" w:color="auto" w:sz="4" w:space="0"/>
              <w:right w:val="single" w:color="auto" w:sz="4" w:space="0"/>
            </w:tcBorders>
            <w:noWrap/>
            <w:vAlign w:val="center"/>
          </w:tcPr>
          <w:p w14:paraId="086B7E69">
            <w:pPr>
              <w:widowControl/>
              <w:jc w:val="right"/>
              <w:rPr>
                <w:rFonts w:hint="default" w:ascii="宋体" w:hAnsi="宋体" w:eastAsia="宋体" w:cs="宋体"/>
                <w:color w:val="000000"/>
                <w:kern w:val="0"/>
                <w:sz w:val="22"/>
                <w:lang w:val="en-US" w:eastAsia="zh-CN"/>
              </w:rPr>
            </w:pPr>
            <w:r>
              <w:rPr>
                <w:rFonts w:hint="eastAsia" w:ascii="宋体" w:hAnsi="宋体" w:cs="宋体"/>
                <w:color w:val="000000"/>
                <w:kern w:val="0"/>
                <w:sz w:val="22"/>
                <w:lang w:val="en-US" w:eastAsia="zh-CN"/>
              </w:rPr>
              <w:t>25000</w:t>
            </w:r>
          </w:p>
        </w:tc>
      </w:tr>
      <w:tr w14:paraId="5424868D">
        <w:tblPrEx>
          <w:tblCellMar>
            <w:top w:w="0" w:type="dxa"/>
            <w:left w:w="108" w:type="dxa"/>
            <w:bottom w:w="0" w:type="dxa"/>
            <w:right w:w="108" w:type="dxa"/>
          </w:tblCellMar>
        </w:tblPrEx>
        <w:trPr>
          <w:trHeight w:val="560" w:hRule="atLeast"/>
        </w:trPr>
        <w:tc>
          <w:tcPr>
            <w:tcW w:w="7140" w:type="dxa"/>
            <w:gridSpan w:val="5"/>
            <w:tcBorders>
              <w:top w:val="single" w:color="auto" w:sz="4" w:space="0"/>
              <w:left w:val="single" w:color="auto" w:sz="4" w:space="0"/>
              <w:bottom w:val="single" w:color="auto" w:sz="4" w:space="0"/>
              <w:right w:val="single" w:color="auto" w:sz="4" w:space="0"/>
            </w:tcBorders>
            <w:noWrap/>
            <w:vAlign w:val="center"/>
          </w:tcPr>
          <w:p w14:paraId="1B55C116">
            <w:pPr>
              <w:widowControl/>
              <w:jc w:val="right"/>
              <w:rPr>
                <w:rFonts w:hint="eastAsia" w:ascii="宋体" w:hAnsi="宋体" w:cs="宋体"/>
                <w:b/>
                <w:bCs/>
                <w:color w:val="000000"/>
                <w:kern w:val="0"/>
                <w:sz w:val="22"/>
              </w:rPr>
            </w:pPr>
            <w:r>
              <w:rPr>
                <w:rFonts w:hint="eastAsia" w:ascii="宋体" w:hAnsi="宋体" w:cs="宋体"/>
                <w:b/>
                <w:bCs/>
                <w:color w:val="000000"/>
                <w:kern w:val="0"/>
                <w:sz w:val="22"/>
              </w:rPr>
              <w:t>合计总价</w:t>
            </w:r>
          </w:p>
        </w:tc>
        <w:tc>
          <w:tcPr>
            <w:tcW w:w="1275" w:type="dxa"/>
            <w:tcBorders>
              <w:top w:val="single" w:color="auto" w:sz="4" w:space="0"/>
              <w:left w:val="nil"/>
              <w:bottom w:val="single" w:color="auto" w:sz="4" w:space="0"/>
              <w:right w:val="single" w:color="auto" w:sz="4" w:space="0"/>
            </w:tcBorders>
            <w:noWrap/>
            <w:vAlign w:val="center"/>
          </w:tcPr>
          <w:p w14:paraId="3805A0E5">
            <w:pPr>
              <w:widowControl/>
              <w:jc w:val="right"/>
              <w:rPr>
                <w:rFonts w:hint="default" w:ascii="宋体" w:hAnsi="宋体" w:cs="宋体"/>
                <w:color w:val="000000"/>
                <w:kern w:val="0"/>
                <w:sz w:val="22"/>
                <w:szCs w:val="24"/>
                <w:lang w:val="en-US" w:eastAsia="zh-CN" w:bidi="ar-SA"/>
              </w:rPr>
            </w:pPr>
            <w:r>
              <w:rPr>
                <w:rFonts w:hint="eastAsia" w:ascii="宋体" w:hAnsi="宋体" w:cs="宋体"/>
                <w:color w:val="000000"/>
                <w:kern w:val="0"/>
                <w:sz w:val="22"/>
                <w:szCs w:val="24"/>
                <w:lang w:val="en-US" w:eastAsia="zh-CN" w:bidi="ar-SA"/>
              </w:rPr>
              <w:t>214000</w:t>
            </w:r>
          </w:p>
        </w:tc>
      </w:tr>
    </w:tbl>
    <w:p w14:paraId="075B8C8F">
      <w:pPr>
        <w:numPr>
          <w:ilvl w:val="0"/>
          <w:numId w:val="2"/>
        </w:numPr>
        <w:rPr>
          <w:rFonts w:hint="eastAsia" w:ascii="宋体" w:hAnsi="宋体"/>
          <w:sz w:val="24"/>
        </w:rPr>
      </w:pPr>
      <w:r>
        <w:rPr>
          <w:rFonts w:hint="eastAsia" w:ascii="宋体" w:hAnsi="宋体"/>
          <w:sz w:val="24"/>
        </w:rPr>
        <w:t>付款方式：约定为银行承兑汇票。</w:t>
      </w:r>
    </w:p>
    <w:p w14:paraId="473AF12E">
      <w:pPr>
        <w:rPr>
          <w:rFonts w:hint="eastAsia" w:ascii="宋体" w:hAnsi="宋体"/>
          <w:sz w:val="24"/>
        </w:rPr>
      </w:pPr>
      <w:r>
        <w:rPr>
          <w:rFonts w:hint="eastAsia" w:ascii="宋体" w:hAnsi="宋体"/>
          <w:sz w:val="24"/>
        </w:rPr>
        <w:t>（1）本工程成交人进场后，采购人不预付检测费用。</w:t>
      </w:r>
    </w:p>
    <w:p w14:paraId="105A2CC6">
      <w:pPr>
        <w:rPr>
          <w:rFonts w:hint="eastAsia" w:ascii="宋体" w:hAnsi="宋体"/>
          <w:sz w:val="24"/>
        </w:rPr>
      </w:pPr>
      <w:r>
        <w:rPr>
          <w:rFonts w:hint="eastAsia" w:ascii="宋体" w:hAnsi="宋体"/>
          <w:sz w:val="24"/>
        </w:rPr>
        <w:t>（2）第一次支付：开工报告载明的开工日期起</w:t>
      </w:r>
      <w:r>
        <w:rPr>
          <w:rFonts w:hint="eastAsia" w:ascii="宋体" w:hAnsi="宋体"/>
          <w:sz w:val="24"/>
          <w:lang w:val="en-US" w:eastAsia="zh-CN"/>
        </w:rPr>
        <w:t>90</w:t>
      </w:r>
      <w:r>
        <w:rPr>
          <w:rFonts w:hint="eastAsia" w:ascii="宋体" w:hAnsi="宋体"/>
          <w:sz w:val="24"/>
        </w:rPr>
        <w:t>个工作日内采购人向成交人支付建筑工程部分合同金额20％的检测款项。</w:t>
      </w:r>
    </w:p>
    <w:p w14:paraId="5E4D3449">
      <w:pPr>
        <w:rPr>
          <w:rFonts w:hint="eastAsia" w:ascii="宋体" w:hAnsi="宋体"/>
          <w:sz w:val="24"/>
        </w:rPr>
      </w:pPr>
      <w:r>
        <w:rPr>
          <w:rFonts w:hint="eastAsia" w:ascii="宋体" w:hAnsi="宋体"/>
          <w:sz w:val="24"/>
        </w:rPr>
        <w:t>（3）第二次支付：开工报告载明的开工日期起</w:t>
      </w:r>
      <w:r>
        <w:rPr>
          <w:rFonts w:hint="eastAsia" w:ascii="宋体" w:hAnsi="宋体"/>
          <w:sz w:val="24"/>
          <w:lang w:val="en-US" w:eastAsia="zh-CN"/>
        </w:rPr>
        <w:t>120</w:t>
      </w:r>
      <w:r>
        <w:rPr>
          <w:rFonts w:hint="eastAsia" w:ascii="宋体" w:hAnsi="宋体"/>
          <w:sz w:val="24"/>
        </w:rPr>
        <w:t>个工作日后采购人向成交人支付建筑工程部分合同金额20％的检测款项。</w:t>
      </w:r>
    </w:p>
    <w:p w14:paraId="569253AB">
      <w:pPr>
        <w:rPr>
          <w:rFonts w:hint="eastAsia" w:ascii="宋体" w:hAnsi="宋体"/>
          <w:sz w:val="24"/>
        </w:rPr>
      </w:pPr>
      <w:r>
        <w:rPr>
          <w:rFonts w:hint="eastAsia" w:ascii="宋体" w:hAnsi="宋体"/>
          <w:sz w:val="24"/>
        </w:rPr>
        <w:t>（4）第三次支付：开工报告载明的开工日期</w:t>
      </w:r>
      <w:r>
        <w:rPr>
          <w:rFonts w:hint="eastAsia" w:ascii="宋体" w:hAnsi="宋体"/>
          <w:sz w:val="24"/>
          <w:lang w:val="en-US" w:eastAsia="zh-CN"/>
        </w:rPr>
        <w:t>180</w:t>
      </w:r>
      <w:r>
        <w:rPr>
          <w:rFonts w:hint="eastAsia" w:ascii="宋体" w:hAnsi="宋体"/>
          <w:sz w:val="24"/>
        </w:rPr>
        <w:t>个工作日后采购人向成交人支付建筑工程部分合同金额20％的检测款项。</w:t>
      </w:r>
    </w:p>
    <w:p w14:paraId="416BFAF7">
      <w:pPr>
        <w:rPr>
          <w:rFonts w:hint="eastAsia"/>
        </w:rPr>
      </w:pPr>
      <w:r>
        <w:rPr>
          <w:rFonts w:hint="eastAsia" w:ascii="宋体" w:hAnsi="宋体"/>
          <w:sz w:val="24"/>
          <w:lang w:eastAsia="zh-CN"/>
        </w:rPr>
        <w:t>（</w:t>
      </w:r>
      <w:r>
        <w:rPr>
          <w:rFonts w:hint="eastAsia" w:ascii="宋体" w:hAnsi="宋体"/>
          <w:sz w:val="24"/>
          <w:lang w:val="en-US" w:eastAsia="zh-CN"/>
        </w:rPr>
        <w:t>5</w:t>
      </w:r>
      <w:r>
        <w:rPr>
          <w:rFonts w:hint="eastAsia" w:ascii="宋体" w:hAnsi="宋体"/>
          <w:sz w:val="24"/>
          <w:lang w:eastAsia="zh-CN"/>
        </w:rPr>
        <w:t>）</w:t>
      </w:r>
      <w:r>
        <w:rPr>
          <w:rFonts w:hint="eastAsia" w:ascii="宋体" w:hAnsi="宋体"/>
          <w:sz w:val="24"/>
        </w:rPr>
        <w:t>第</w:t>
      </w:r>
      <w:r>
        <w:rPr>
          <w:rFonts w:hint="eastAsia" w:ascii="宋体" w:hAnsi="宋体"/>
          <w:sz w:val="24"/>
          <w:lang w:val="en-US" w:eastAsia="zh-CN"/>
        </w:rPr>
        <w:t>四</w:t>
      </w:r>
      <w:r>
        <w:rPr>
          <w:rFonts w:hint="eastAsia" w:ascii="宋体" w:hAnsi="宋体"/>
          <w:sz w:val="24"/>
        </w:rPr>
        <w:t>次支付：开工报告载明的开工日期</w:t>
      </w:r>
      <w:r>
        <w:rPr>
          <w:rFonts w:hint="eastAsia" w:ascii="宋体" w:hAnsi="宋体"/>
          <w:sz w:val="24"/>
          <w:lang w:val="en-US" w:eastAsia="zh-CN"/>
        </w:rPr>
        <w:t>210</w:t>
      </w:r>
      <w:r>
        <w:rPr>
          <w:rFonts w:hint="eastAsia" w:ascii="宋体" w:hAnsi="宋体"/>
          <w:sz w:val="24"/>
        </w:rPr>
        <w:t>个工作日后采购人向成交人支付建筑工程部分合同金额20％的检测款项。</w:t>
      </w:r>
    </w:p>
    <w:p w14:paraId="1F19DBA3">
      <w:pPr>
        <w:rPr>
          <w:rFonts w:hint="eastAsia" w:ascii="宋体" w:hAnsi="宋体"/>
          <w:sz w:val="24"/>
        </w:rPr>
      </w:pPr>
      <w:r>
        <w:rPr>
          <w:rFonts w:hint="eastAsia" w:ascii="宋体" w:hAnsi="宋体"/>
          <w:sz w:val="24"/>
        </w:rPr>
        <w:t>（</w:t>
      </w:r>
      <w:r>
        <w:rPr>
          <w:rFonts w:hint="eastAsia" w:ascii="宋体" w:hAnsi="宋体"/>
          <w:sz w:val="24"/>
          <w:lang w:val="en-US" w:eastAsia="zh-CN"/>
        </w:rPr>
        <w:t>6</w:t>
      </w:r>
      <w:r>
        <w:rPr>
          <w:rFonts w:hint="eastAsia" w:ascii="宋体" w:hAnsi="宋体"/>
          <w:sz w:val="24"/>
        </w:rPr>
        <w:t>）第四次支付：该项目竣工验收合格并出具完成所有检测报告并完成合同结算后，支付至合同结算金额的100%。</w:t>
      </w:r>
    </w:p>
    <w:p w14:paraId="7C076642">
      <w:pPr>
        <w:rPr>
          <w:rFonts w:hint="eastAsia" w:ascii="宋体" w:hAnsi="宋体"/>
          <w:sz w:val="24"/>
        </w:rPr>
      </w:pPr>
      <w:r>
        <w:rPr>
          <w:rFonts w:hint="eastAsia" w:ascii="宋体" w:hAnsi="宋体"/>
          <w:sz w:val="24"/>
        </w:rPr>
        <w:t>（</w:t>
      </w:r>
      <w:r>
        <w:rPr>
          <w:rFonts w:hint="eastAsia" w:ascii="宋体" w:hAnsi="宋体"/>
          <w:sz w:val="24"/>
          <w:lang w:val="en-US" w:eastAsia="zh-CN"/>
        </w:rPr>
        <w:t>7</w:t>
      </w:r>
      <w:r>
        <w:rPr>
          <w:rFonts w:hint="eastAsia" w:ascii="宋体" w:hAnsi="宋体"/>
          <w:sz w:val="24"/>
        </w:rPr>
        <w:t>）付款前采购人须收到成交人开具对应付款金额的增值税专用发票（6%），否则采购人不予支付相关费用。</w:t>
      </w:r>
    </w:p>
    <w:p w14:paraId="6D3BFAA2">
      <w:pPr>
        <w:rPr>
          <w:rFonts w:hint="eastAsia" w:ascii="宋体" w:hAnsi="宋体"/>
          <w:sz w:val="24"/>
        </w:rPr>
      </w:pPr>
      <w:r>
        <w:rPr>
          <w:rFonts w:hint="eastAsia" w:ascii="宋体" w:hAnsi="宋体"/>
          <w:sz w:val="24"/>
        </w:rPr>
        <w:t>支付方式为银行承兑汇票，若付款方式为电汇付款，则成交人对采购人的支付金额给予1%的现金折扣(发票需开具合同总金额全额发票，配置票据后结算尾差≤5000元的现金支付部分除外)</w:t>
      </w:r>
    </w:p>
    <w:p w14:paraId="2ED8A71B">
      <w:pPr>
        <w:rPr>
          <w:rFonts w:ascii="宋体" w:hAnsi="宋体"/>
          <w:sz w:val="24"/>
        </w:rPr>
      </w:pPr>
      <w:r>
        <w:rPr>
          <w:rFonts w:hint="eastAsia" w:ascii="宋体" w:hAnsi="宋体"/>
          <w:sz w:val="24"/>
        </w:rPr>
        <w:t>（</w:t>
      </w:r>
      <w:r>
        <w:rPr>
          <w:rFonts w:hint="eastAsia" w:ascii="宋体" w:hAnsi="宋体"/>
          <w:sz w:val="24"/>
          <w:lang w:val="en-US" w:eastAsia="zh-CN"/>
        </w:rPr>
        <w:t>8</w:t>
      </w:r>
      <w:r>
        <w:rPr>
          <w:rFonts w:hint="eastAsia" w:ascii="宋体" w:hAnsi="宋体"/>
          <w:sz w:val="24"/>
        </w:rPr>
        <w:t>）合同结算：本项目合同为暂估总价合同，其中建筑工程部分为包干价，安装工程部分合同结算金额=实际检测内容及数量*每项检测清单全费用综合单价。实际检测内容及数量由采购人、成交人双方共同签字确认，采购人签字人员必须包含采购人指定现场专业负责人、项目执行经理。</w:t>
      </w:r>
    </w:p>
    <w:p w14:paraId="4EB254C0">
      <w:pPr>
        <w:numPr>
          <w:ilvl w:val="0"/>
          <w:numId w:val="2"/>
        </w:numPr>
        <w:rPr>
          <w:rFonts w:hint="eastAsia" w:ascii="宋体" w:hAnsi="宋体"/>
          <w:sz w:val="24"/>
        </w:rPr>
      </w:pPr>
      <w:r>
        <w:rPr>
          <w:rFonts w:hint="eastAsia" w:ascii="宋体" w:hAnsi="宋体"/>
          <w:sz w:val="24"/>
        </w:rPr>
        <w:t>询比采购公告时间</w:t>
      </w:r>
    </w:p>
    <w:p w14:paraId="01D48329">
      <w:pPr>
        <w:numPr>
          <w:ilvl w:val="0"/>
          <w:numId w:val="4"/>
        </w:numPr>
        <w:rPr>
          <w:rFonts w:ascii="宋体" w:hAnsi="宋体" w:cs="宋体"/>
          <w:sz w:val="24"/>
          <w:szCs w:val="21"/>
        </w:rPr>
      </w:pPr>
      <w:r>
        <w:rPr>
          <w:rFonts w:hint="eastAsia" w:ascii="宋体" w:hAnsi="宋体"/>
          <w:sz w:val="24"/>
        </w:rPr>
        <w:t>本次询比采购公告开始时间</w:t>
      </w:r>
      <w:r>
        <w:rPr>
          <w:rFonts w:hint="eastAsia" w:ascii="宋体" w:hAnsi="宋体"/>
          <w:sz w:val="24"/>
          <w:u w:val="single"/>
        </w:rPr>
        <w:t>2026</w:t>
      </w:r>
      <w:r>
        <w:rPr>
          <w:rFonts w:hint="eastAsia" w:ascii="宋体" w:hAnsi="宋体"/>
          <w:sz w:val="24"/>
        </w:rPr>
        <w:t>年</w:t>
      </w:r>
      <w:r>
        <w:rPr>
          <w:rFonts w:hint="eastAsia" w:ascii="宋体" w:hAnsi="宋体"/>
          <w:sz w:val="24"/>
          <w:u w:val="single"/>
          <w:lang w:val="en-US" w:eastAsia="zh-CN"/>
        </w:rPr>
        <w:t>11</w:t>
      </w:r>
      <w:r>
        <w:rPr>
          <w:rFonts w:hint="eastAsia" w:ascii="宋体" w:hAnsi="宋体"/>
          <w:sz w:val="24"/>
        </w:rPr>
        <w:t>月</w:t>
      </w:r>
      <w:r>
        <w:rPr>
          <w:rFonts w:hint="eastAsia" w:ascii="宋体" w:hAnsi="宋体"/>
          <w:sz w:val="24"/>
          <w:u w:val="single"/>
          <w:lang w:val="en-US" w:eastAsia="zh-CN"/>
        </w:rPr>
        <w:t>2</w:t>
      </w:r>
      <w:r>
        <w:rPr>
          <w:rFonts w:hint="eastAsia" w:ascii="宋体" w:hAnsi="宋体"/>
          <w:sz w:val="24"/>
        </w:rPr>
        <w:t>日，公告结束时间</w:t>
      </w:r>
      <w:r>
        <w:rPr>
          <w:rFonts w:hint="eastAsia" w:ascii="宋体" w:hAnsi="宋体"/>
          <w:sz w:val="24"/>
          <w:u w:val="single"/>
        </w:rPr>
        <w:t>2026</w:t>
      </w:r>
      <w:r>
        <w:rPr>
          <w:rFonts w:hint="eastAsia" w:ascii="宋体" w:hAnsi="宋体"/>
          <w:sz w:val="24"/>
        </w:rPr>
        <w:t>年</w:t>
      </w:r>
      <w:r>
        <w:rPr>
          <w:rFonts w:hint="eastAsia" w:ascii="宋体" w:hAnsi="宋体"/>
          <w:sz w:val="24"/>
          <w:u w:val="single"/>
          <w:lang w:val="en-US" w:eastAsia="zh-CN"/>
        </w:rPr>
        <w:t>11</w:t>
      </w:r>
      <w:r>
        <w:rPr>
          <w:rFonts w:hint="eastAsia" w:ascii="宋体" w:hAnsi="宋体"/>
          <w:sz w:val="24"/>
        </w:rPr>
        <w:t>月</w:t>
      </w:r>
      <w:r>
        <w:rPr>
          <w:rFonts w:hint="eastAsia" w:ascii="宋体" w:hAnsi="宋体"/>
          <w:sz w:val="24"/>
          <w:u w:val="single"/>
          <w:lang w:val="en-US" w:eastAsia="zh-CN"/>
        </w:rPr>
        <w:t>4</w:t>
      </w:r>
      <w:r>
        <w:rPr>
          <w:rFonts w:hint="eastAsia" w:ascii="宋体" w:hAnsi="宋体"/>
          <w:sz w:val="24"/>
        </w:rPr>
        <w:t>日。</w:t>
      </w:r>
    </w:p>
    <w:p w14:paraId="24ABB872">
      <w:pPr>
        <w:numPr>
          <w:ilvl w:val="0"/>
          <w:numId w:val="4"/>
        </w:numPr>
        <w:rPr>
          <w:rFonts w:hint="eastAsia" w:ascii="宋体" w:hAnsi="宋体"/>
          <w:sz w:val="24"/>
        </w:rPr>
      </w:pPr>
      <w:r>
        <w:rPr>
          <w:rFonts w:hint="eastAsia" w:ascii="宋体" w:hAnsi="宋体"/>
          <w:sz w:val="24"/>
        </w:rPr>
        <w:t xml:space="preserve">取得询比采购文件的联系方式： </w:t>
      </w:r>
    </w:p>
    <w:p w14:paraId="70275436">
      <w:pPr>
        <w:ind w:firstLine="480" w:firstLineChars="200"/>
        <w:rPr>
          <w:rFonts w:hint="eastAsia" w:ascii="宋体" w:hAnsi="宋体"/>
          <w:sz w:val="24"/>
        </w:rPr>
      </w:pPr>
      <w:r>
        <w:rPr>
          <w:rFonts w:hint="eastAsia" w:ascii="宋体" w:hAnsi="宋体"/>
          <w:sz w:val="24"/>
        </w:rPr>
        <w:t>采   购   人：重庆国际复合材料股份有限公司</w:t>
      </w:r>
    </w:p>
    <w:p w14:paraId="029F4824">
      <w:pPr>
        <w:ind w:firstLine="480" w:firstLineChars="200"/>
        <w:rPr>
          <w:rFonts w:hint="eastAsia" w:ascii="宋体" w:hAnsi="宋体"/>
          <w:sz w:val="24"/>
        </w:rPr>
      </w:pPr>
      <w:r>
        <w:rPr>
          <w:rFonts w:hint="eastAsia" w:ascii="宋体" w:hAnsi="宋体"/>
          <w:sz w:val="24"/>
        </w:rPr>
        <w:t>办  公 地 址：重庆市大渡口区建桥工业园B区</w:t>
      </w:r>
    </w:p>
    <w:p w14:paraId="63162698">
      <w:pPr>
        <w:ind w:firstLine="480" w:firstLineChars="200"/>
        <w:rPr>
          <w:rFonts w:hint="eastAsia" w:ascii="宋体" w:hAnsi="宋体"/>
          <w:sz w:val="24"/>
        </w:rPr>
      </w:pPr>
      <w:r>
        <w:rPr>
          <w:rFonts w:hint="eastAsia" w:ascii="宋体" w:hAnsi="宋体"/>
          <w:sz w:val="24"/>
        </w:rPr>
        <w:t>联   系   人：</w:t>
      </w:r>
      <w:r>
        <w:rPr>
          <w:rFonts w:hint="eastAsia" w:ascii="宋体" w:hAnsi="宋体"/>
          <w:sz w:val="24"/>
          <w:u w:val="single"/>
        </w:rPr>
        <w:t xml:space="preserve"> 杨老师 </w:t>
      </w:r>
      <w:r>
        <w:rPr>
          <w:rFonts w:hint="eastAsia" w:ascii="宋体" w:hAnsi="宋体"/>
          <w:sz w:val="24"/>
        </w:rPr>
        <w:t xml:space="preserve">          联系电话：</w:t>
      </w:r>
      <w:r>
        <w:rPr>
          <w:rFonts w:hint="eastAsia" w:ascii="宋体" w:hAnsi="宋体"/>
          <w:sz w:val="24"/>
          <w:u w:val="single"/>
        </w:rPr>
        <w:t xml:space="preserve"> 18983993055  </w:t>
      </w:r>
    </w:p>
    <w:p w14:paraId="630E3D43">
      <w:pPr>
        <w:ind w:firstLine="480" w:firstLineChars="200"/>
        <w:rPr>
          <w:rFonts w:hint="eastAsia" w:ascii="宋体" w:hAnsi="宋体"/>
          <w:color w:val="FF0000"/>
          <w:sz w:val="24"/>
        </w:rPr>
      </w:pPr>
      <w:r>
        <w:rPr>
          <w:rFonts w:hint="eastAsia" w:ascii="宋体" w:hAnsi="宋体"/>
          <w:sz w:val="24"/>
        </w:rPr>
        <w:t>技术 联 系人：</w:t>
      </w:r>
      <w:r>
        <w:rPr>
          <w:rFonts w:hint="eastAsia" w:ascii="宋体" w:hAnsi="宋体"/>
          <w:sz w:val="24"/>
          <w:u w:val="single"/>
        </w:rPr>
        <w:t xml:space="preserve"> </w:t>
      </w:r>
      <w:r>
        <w:rPr>
          <w:rFonts w:hint="eastAsia" w:ascii="宋体" w:hAnsi="宋体"/>
          <w:sz w:val="24"/>
          <w:u w:val="single"/>
          <w:lang w:val="en-US" w:eastAsia="zh-CN"/>
        </w:rPr>
        <w:t>张老师</w:t>
      </w:r>
      <w:r>
        <w:rPr>
          <w:rFonts w:hint="eastAsia" w:ascii="宋体" w:hAnsi="宋体"/>
          <w:sz w:val="24"/>
          <w:u w:val="single"/>
        </w:rPr>
        <w:t xml:space="preserve"> </w:t>
      </w:r>
      <w:r>
        <w:rPr>
          <w:rFonts w:hint="eastAsia" w:ascii="宋体" w:hAnsi="宋体"/>
          <w:sz w:val="24"/>
        </w:rPr>
        <w:t xml:space="preserve">          联系电话：</w:t>
      </w:r>
      <w:r>
        <w:rPr>
          <w:rFonts w:hint="eastAsia" w:ascii="宋体" w:hAnsi="宋体"/>
          <w:sz w:val="24"/>
          <w:u w:val="single"/>
        </w:rPr>
        <w:t xml:space="preserve"> </w:t>
      </w:r>
      <w:r>
        <w:rPr>
          <w:rFonts w:hint="eastAsia" w:ascii="宋体" w:hAnsi="宋体"/>
          <w:sz w:val="24"/>
          <w:u w:val="single"/>
          <w:lang w:val="en-US" w:eastAsia="zh-CN"/>
        </w:rPr>
        <w:t>15223402168</w:t>
      </w:r>
      <w:r>
        <w:rPr>
          <w:rFonts w:hint="eastAsia" w:ascii="宋体" w:hAnsi="宋体"/>
          <w:sz w:val="24"/>
          <w:u w:val="single"/>
        </w:rPr>
        <w:t xml:space="preserve"> </w:t>
      </w:r>
    </w:p>
    <w:p w14:paraId="2676FE82">
      <w:pPr>
        <w:numPr>
          <w:ilvl w:val="0"/>
          <w:numId w:val="2"/>
        </w:numPr>
        <w:rPr>
          <w:rFonts w:ascii="宋体" w:hAnsi="宋体"/>
          <w:sz w:val="24"/>
        </w:rPr>
      </w:pPr>
      <w:r>
        <w:rPr>
          <w:rFonts w:ascii="宋体" w:hAnsi="宋体"/>
          <w:sz w:val="24"/>
        </w:rPr>
        <w:t>监督</w:t>
      </w:r>
      <w:r>
        <w:rPr>
          <w:rFonts w:hint="eastAsia" w:ascii="宋体" w:hAnsi="宋体"/>
          <w:sz w:val="24"/>
        </w:rPr>
        <w:t>联系方式</w:t>
      </w:r>
    </w:p>
    <w:p w14:paraId="132E3736">
      <w:pPr>
        <w:ind w:firstLine="480"/>
        <w:rPr>
          <w:rFonts w:hint="eastAsia" w:ascii="宋体" w:hAnsi="宋体"/>
          <w:sz w:val="24"/>
        </w:rPr>
      </w:pPr>
      <w:r>
        <w:rPr>
          <w:rFonts w:hint="eastAsia" w:ascii="宋体" w:hAnsi="宋体"/>
          <w:sz w:val="24"/>
        </w:rPr>
        <w:t>监督人：重庆国际复合材料股份有限</w:t>
      </w:r>
    </w:p>
    <w:p w14:paraId="7BDD28E0">
      <w:pPr>
        <w:ind w:firstLine="480"/>
        <w:rPr>
          <w:rFonts w:hint="eastAsia" w:ascii="宋体" w:hAnsi="宋体"/>
          <w:sz w:val="24"/>
        </w:rPr>
      </w:pPr>
      <w:r>
        <w:rPr>
          <w:rFonts w:hint="eastAsia" w:ascii="宋体" w:hAnsi="宋体"/>
          <w:sz w:val="24"/>
        </w:rPr>
        <w:t>地址：重庆市大渡口区建桥工业园B区</w:t>
      </w:r>
    </w:p>
    <w:p w14:paraId="5B2869CD">
      <w:pPr>
        <w:ind w:firstLine="480"/>
        <w:rPr>
          <w:rFonts w:ascii="宋体" w:hAnsi="宋体"/>
          <w:sz w:val="24"/>
        </w:rPr>
      </w:pPr>
      <w:r>
        <w:rPr>
          <w:rFonts w:hint="eastAsia" w:ascii="宋体" w:hAnsi="宋体"/>
          <w:sz w:val="24"/>
        </w:rPr>
        <w:t>联系人：付老师</w:t>
      </w:r>
      <w:bookmarkStart w:id="5" w:name="_GoBack"/>
      <w:bookmarkEnd w:id="5"/>
    </w:p>
    <w:p w14:paraId="031C04B0">
      <w:pPr>
        <w:ind w:firstLine="480"/>
        <w:rPr>
          <w:rFonts w:hint="eastAsia" w:ascii="宋体" w:hAnsi="宋体"/>
          <w:sz w:val="24"/>
        </w:rPr>
      </w:pPr>
      <w:r>
        <w:rPr>
          <w:rFonts w:hint="eastAsia" w:ascii="宋体" w:hAnsi="宋体"/>
          <w:sz w:val="24"/>
        </w:rPr>
        <w:t>联系电话：023-68536643</w:t>
      </w:r>
    </w:p>
    <w:p w14:paraId="61781810">
      <w:pPr>
        <w:ind w:firstLine="480"/>
        <w:rPr>
          <w:rFonts w:ascii="宋体" w:hAnsi="宋体"/>
          <w:sz w:val="24"/>
        </w:rPr>
      </w:pPr>
      <w:r>
        <w:rPr>
          <w:rFonts w:hint="eastAsia" w:ascii="宋体" w:hAnsi="宋体"/>
          <w:sz w:val="24"/>
        </w:rPr>
        <w:t>邮箱：</w:t>
      </w:r>
      <w:r>
        <w:rPr>
          <w:rFonts w:ascii="宋体" w:hAnsi="宋体" w:cs="宋体"/>
          <w:sz w:val="24"/>
        </w:rPr>
        <w:t>fuwei4253@cpicfiber.com</w:t>
      </w:r>
    </w:p>
    <w:p w14:paraId="342DB730">
      <w:pPr>
        <w:numPr>
          <w:ilvl w:val="0"/>
          <w:numId w:val="2"/>
        </w:numPr>
        <w:rPr>
          <w:rFonts w:hint="eastAsia" w:ascii="宋体" w:hAnsi="宋体"/>
          <w:sz w:val="24"/>
        </w:rPr>
      </w:pPr>
      <w:r>
        <w:rPr>
          <w:rFonts w:hint="eastAsia" w:ascii="宋体" w:hAnsi="宋体"/>
          <w:sz w:val="24"/>
        </w:rPr>
        <w:t>文件递交：</w:t>
      </w:r>
    </w:p>
    <w:p w14:paraId="33ADDCF6">
      <w:pPr>
        <w:numPr>
          <w:ilvl w:val="0"/>
          <w:numId w:val="5"/>
        </w:numPr>
        <w:tabs>
          <w:tab w:val="left" w:pos="1425"/>
        </w:tabs>
        <w:spacing w:line="440" w:lineRule="exact"/>
        <w:rPr>
          <w:rFonts w:hint="eastAsia" w:ascii="宋体" w:hAnsi="宋体" w:cs="宋体"/>
          <w:sz w:val="24"/>
          <w:szCs w:val="21"/>
        </w:rPr>
      </w:pPr>
      <w:r>
        <w:rPr>
          <w:rFonts w:hint="eastAsia" w:ascii="宋体" w:hAnsi="宋体" w:cs="宋体"/>
          <w:sz w:val="24"/>
          <w:szCs w:val="21"/>
        </w:rPr>
        <w:t>报价文件递交截止时间：</w:t>
      </w:r>
      <w:r>
        <w:rPr>
          <w:rFonts w:hint="eastAsia" w:ascii="宋体" w:hAnsi="宋体" w:cs="宋体"/>
          <w:sz w:val="24"/>
          <w:szCs w:val="21"/>
          <w:u w:val="single"/>
        </w:rPr>
        <w:t>2026</w:t>
      </w:r>
      <w:r>
        <w:rPr>
          <w:rFonts w:hint="eastAsia" w:ascii="宋体" w:hAnsi="宋体" w:cs="宋体"/>
          <w:sz w:val="24"/>
          <w:szCs w:val="21"/>
        </w:rPr>
        <w:t>年</w:t>
      </w:r>
      <w:r>
        <w:rPr>
          <w:rFonts w:hint="eastAsia" w:ascii="宋体" w:hAnsi="宋体" w:cs="宋体"/>
          <w:sz w:val="24"/>
          <w:szCs w:val="21"/>
          <w:u w:val="single"/>
          <w:lang w:val="en-US" w:eastAsia="zh-CN"/>
        </w:rPr>
        <w:t>11</w:t>
      </w:r>
      <w:r>
        <w:rPr>
          <w:rFonts w:hint="eastAsia" w:ascii="宋体" w:hAnsi="宋体" w:cs="宋体"/>
          <w:sz w:val="24"/>
          <w:szCs w:val="21"/>
        </w:rPr>
        <w:t xml:space="preserve">月 </w:t>
      </w:r>
      <w:r>
        <w:rPr>
          <w:rFonts w:hint="eastAsia" w:ascii="宋体" w:hAnsi="宋体" w:cs="宋体"/>
          <w:sz w:val="24"/>
          <w:szCs w:val="21"/>
          <w:u w:val="single"/>
          <w:lang w:val="en-US" w:eastAsia="zh-CN"/>
        </w:rPr>
        <w:t>5</w:t>
      </w:r>
      <w:r>
        <w:rPr>
          <w:rFonts w:hint="eastAsia" w:ascii="宋体" w:hAnsi="宋体" w:cs="宋体"/>
          <w:sz w:val="24"/>
          <w:szCs w:val="21"/>
        </w:rPr>
        <w:t>日上午</w:t>
      </w:r>
      <w:r>
        <w:rPr>
          <w:rFonts w:hint="eastAsia" w:ascii="宋体" w:hAnsi="宋体" w:cs="宋体"/>
          <w:sz w:val="24"/>
          <w:szCs w:val="21"/>
          <w:u w:val="single"/>
        </w:rPr>
        <w:t>10</w:t>
      </w:r>
      <w:r>
        <w:rPr>
          <w:rFonts w:ascii="宋体" w:hAnsi="宋体" w:cs="宋体"/>
          <w:sz w:val="24"/>
          <w:szCs w:val="21"/>
        </w:rPr>
        <w:t>时</w:t>
      </w:r>
      <w:r>
        <w:rPr>
          <w:rFonts w:hint="eastAsia" w:ascii="宋体" w:hAnsi="宋体" w:cs="宋体"/>
          <w:sz w:val="24"/>
          <w:szCs w:val="21"/>
          <w:u w:val="single"/>
        </w:rPr>
        <w:t>00</w:t>
      </w:r>
      <w:r>
        <w:rPr>
          <w:rFonts w:hint="eastAsia" w:ascii="宋体" w:hAnsi="宋体" w:cs="宋体"/>
          <w:sz w:val="24"/>
          <w:szCs w:val="21"/>
        </w:rPr>
        <w:t>分；递交地点为：重庆市大渡口区重庆国际复合材料股份有限公司。</w:t>
      </w:r>
    </w:p>
    <w:p w14:paraId="46623D7B">
      <w:pPr>
        <w:numPr>
          <w:ilvl w:val="0"/>
          <w:numId w:val="5"/>
        </w:numPr>
        <w:tabs>
          <w:tab w:val="left" w:pos="1425"/>
        </w:tabs>
        <w:spacing w:line="440" w:lineRule="exact"/>
        <w:rPr>
          <w:rFonts w:hint="eastAsia" w:ascii="宋体" w:hAnsi="宋体" w:cs="宋体"/>
          <w:sz w:val="24"/>
          <w:szCs w:val="21"/>
        </w:rPr>
      </w:pPr>
      <w:r>
        <w:rPr>
          <w:rFonts w:hint="eastAsia" w:ascii="宋体" w:hAnsi="宋体" w:cs="宋体"/>
          <w:sz w:val="24"/>
          <w:szCs w:val="21"/>
        </w:rPr>
        <w:t>比价时间：报价文件递交截止之日起3个工作日内。</w:t>
      </w:r>
    </w:p>
    <w:p w14:paraId="461B2279">
      <w:pPr>
        <w:numPr>
          <w:ilvl w:val="0"/>
          <w:numId w:val="5"/>
        </w:numPr>
        <w:tabs>
          <w:tab w:val="left" w:pos="1425"/>
        </w:tabs>
        <w:spacing w:line="440" w:lineRule="exact"/>
        <w:rPr>
          <w:rFonts w:hint="eastAsia" w:ascii="宋体" w:hAnsi="宋体" w:cs="宋体"/>
          <w:sz w:val="24"/>
          <w:szCs w:val="21"/>
        </w:rPr>
      </w:pPr>
      <w:r>
        <w:rPr>
          <w:rFonts w:hint="eastAsia" w:ascii="宋体" w:hAnsi="宋体" w:cs="宋体"/>
          <w:sz w:val="24"/>
          <w:szCs w:val="21"/>
        </w:rPr>
        <w:t>比价地点：重庆市大渡口区重庆国际复合材料股份有限公司大渡口本部。</w:t>
      </w:r>
    </w:p>
    <w:p w14:paraId="1B22B123">
      <w:pPr>
        <w:numPr>
          <w:ilvl w:val="0"/>
          <w:numId w:val="5"/>
        </w:numPr>
        <w:tabs>
          <w:tab w:val="left" w:pos="1425"/>
        </w:tabs>
        <w:spacing w:line="440" w:lineRule="exact"/>
        <w:rPr>
          <w:rFonts w:hint="eastAsia" w:ascii="宋体" w:hAnsi="宋体" w:cs="宋体"/>
          <w:sz w:val="24"/>
          <w:szCs w:val="21"/>
        </w:rPr>
      </w:pPr>
      <w:r>
        <w:rPr>
          <w:rFonts w:hint="eastAsia" w:ascii="宋体" w:hAnsi="宋体" w:cs="宋体"/>
          <w:sz w:val="24"/>
          <w:szCs w:val="21"/>
        </w:rPr>
        <w:t>逾期送达的、未送达指定地点或不按照要求密封</w:t>
      </w:r>
      <w:r>
        <w:rPr>
          <w:rFonts w:hint="eastAsia" w:ascii="宋体" w:hAnsi="宋体" w:cs="宋体"/>
          <w:color w:val="000000"/>
          <w:sz w:val="24"/>
          <w:szCs w:val="21"/>
        </w:rPr>
        <w:t>的</w:t>
      </w:r>
      <w:r>
        <w:rPr>
          <w:rFonts w:hint="eastAsia" w:ascii="宋体" w:hAnsi="宋体" w:cs="宋体"/>
          <w:sz w:val="24"/>
          <w:szCs w:val="21"/>
        </w:rPr>
        <w:t>报价文件，采购人不予受理。</w:t>
      </w:r>
    </w:p>
    <w:p w14:paraId="0AEFC811">
      <w:pPr>
        <w:numPr>
          <w:ilvl w:val="0"/>
          <w:numId w:val="2"/>
        </w:numPr>
        <w:rPr>
          <w:rFonts w:hint="eastAsia" w:ascii="宋体" w:hAnsi="宋体"/>
          <w:sz w:val="24"/>
        </w:rPr>
      </w:pPr>
      <w:r>
        <w:rPr>
          <w:rFonts w:hint="eastAsia" w:ascii="宋体" w:hAnsi="宋体"/>
          <w:sz w:val="24"/>
        </w:rPr>
        <w:t>比价方式：本次比价采取经评审的最低价法。</w:t>
      </w:r>
    </w:p>
    <w:p w14:paraId="464FE105">
      <w:pPr>
        <w:spacing w:line="440" w:lineRule="exact"/>
        <w:jc w:val="left"/>
        <w:rPr>
          <w:rFonts w:hint="eastAsia" w:ascii="宋体" w:hAnsi="宋体"/>
          <w:snapToGrid w:val="0"/>
          <w:kern w:val="0"/>
          <w:sz w:val="24"/>
          <w:szCs w:val="21"/>
        </w:rPr>
      </w:pPr>
      <w:r>
        <w:rPr>
          <w:rFonts w:hint="eastAsia" w:ascii="宋体" w:hAnsi="宋体"/>
          <w:snapToGrid w:val="0"/>
          <w:kern w:val="0"/>
          <w:sz w:val="24"/>
          <w:szCs w:val="21"/>
        </w:rPr>
        <w:t>（1）对报价不高于最高限价（若有）的所有报价人的报价文件，按照报价由低到高的顺序排序。</w:t>
      </w:r>
    </w:p>
    <w:p w14:paraId="49C4C71F">
      <w:pPr>
        <w:spacing w:line="440" w:lineRule="exact"/>
        <w:jc w:val="left"/>
        <w:rPr>
          <w:rFonts w:hint="eastAsia" w:ascii="宋体" w:hAnsi="宋体"/>
          <w:snapToGrid w:val="0"/>
          <w:kern w:val="0"/>
          <w:sz w:val="24"/>
          <w:szCs w:val="21"/>
          <w:highlight w:val="yellow"/>
        </w:rPr>
      </w:pPr>
      <w:r>
        <w:rPr>
          <w:rFonts w:hint="eastAsia" w:ascii="宋体" w:hAnsi="宋体"/>
          <w:snapToGrid w:val="0"/>
          <w:kern w:val="0"/>
          <w:sz w:val="24"/>
          <w:szCs w:val="21"/>
        </w:rPr>
        <w:t>（2）符合性审查合格的报价人中，报价最低的成为第一成交候选人，报价次低的成为第二成交候选人，依次类推。</w:t>
      </w:r>
    </w:p>
    <w:p w14:paraId="185BB74B">
      <w:pPr>
        <w:spacing w:line="440" w:lineRule="exact"/>
        <w:jc w:val="left"/>
        <w:rPr>
          <w:rFonts w:ascii="宋体" w:hAnsi="宋体"/>
          <w:snapToGrid w:val="0"/>
          <w:kern w:val="0"/>
          <w:sz w:val="24"/>
          <w:szCs w:val="21"/>
        </w:rPr>
      </w:pPr>
      <w:r>
        <w:rPr>
          <w:rFonts w:hint="eastAsia" w:ascii="宋体" w:hAnsi="宋体"/>
          <w:snapToGrid w:val="0"/>
          <w:kern w:val="0"/>
          <w:sz w:val="24"/>
          <w:szCs w:val="21"/>
        </w:rPr>
        <w:t>（3）因谈判小组作否决处理，导致有效供应商不足三个的，谈判小组应当否决所有谈判文件。</w:t>
      </w:r>
    </w:p>
    <w:p w14:paraId="56F5B61A">
      <w:pPr>
        <w:spacing w:line="440" w:lineRule="exact"/>
        <w:ind w:firstLine="480" w:firstLineChars="200"/>
        <w:jc w:val="left"/>
        <w:rPr>
          <w:rFonts w:hint="eastAsia" w:ascii="宋体" w:hAnsi="宋体" w:cs="宋体"/>
          <w:sz w:val="24"/>
          <w:szCs w:val="21"/>
        </w:rPr>
      </w:pPr>
    </w:p>
    <w:p w14:paraId="7F2AAF80">
      <w:pPr>
        <w:spacing w:line="440" w:lineRule="exact"/>
        <w:jc w:val="right"/>
        <w:rPr>
          <w:rFonts w:hint="eastAsia" w:ascii="宋体" w:hAnsi="宋体"/>
          <w:color w:val="0000FF"/>
          <w:kern w:val="0"/>
          <w:sz w:val="24"/>
          <w:szCs w:val="21"/>
        </w:rPr>
      </w:pPr>
      <w:r>
        <w:rPr>
          <w:rFonts w:hint="eastAsia" w:ascii="宋体" w:hAnsi="宋体"/>
          <w:color w:val="0000FF"/>
          <w:kern w:val="0"/>
          <w:sz w:val="24"/>
          <w:szCs w:val="21"/>
        </w:rPr>
        <w:t xml:space="preserve">  </w:t>
      </w:r>
    </w:p>
    <w:p w14:paraId="0FF1C06C">
      <w:pPr>
        <w:spacing w:line="440" w:lineRule="exact"/>
        <w:jc w:val="right"/>
        <w:rPr>
          <w:rFonts w:hint="eastAsia" w:ascii="宋体" w:hAnsi="宋体" w:cs="宋体"/>
          <w:sz w:val="24"/>
          <w:szCs w:val="21"/>
        </w:rPr>
      </w:pPr>
      <w:r>
        <w:rPr>
          <w:rFonts w:hint="eastAsia" w:ascii="宋体" w:hAnsi="宋体" w:cs="宋体"/>
          <w:sz w:val="24"/>
          <w:szCs w:val="21"/>
        </w:rPr>
        <w:t>重庆国际复合材料股份有限公司</w:t>
      </w:r>
    </w:p>
    <w:p w14:paraId="30AD00A4">
      <w:pPr>
        <w:wordWrap w:val="0"/>
        <w:spacing w:line="440" w:lineRule="exact"/>
        <w:jc w:val="right"/>
        <w:rPr>
          <w:rFonts w:ascii="宋体" w:hAnsi="宋体" w:cs="宋体"/>
          <w:sz w:val="24"/>
          <w:szCs w:val="21"/>
        </w:rPr>
      </w:pPr>
      <w:r>
        <w:rPr>
          <w:rFonts w:hint="eastAsia" w:ascii="宋体" w:hAnsi="宋体" w:cs="宋体"/>
          <w:sz w:val="24"/>
          <w:szCs w:val="21"/>
        </w:rPr>
        <w:t>2026年</w:t>
      </w:r>
      <w:r>
        <w:rPr>
          <w:rFonts w:hint="eastAsia" w:ascii="宋体" w:hAnsi="宋体" w:cs="宋体"/>
          <w:sz w:val="24"/>
          <w:szCs w:val="21"/>
          <w:lang w:val="en-US" w:eastAsia="zh-CN"/>
        </w:rPr>
        <w:t>11</w:t>
      </w:r>
      <w:r>
        <w:rPr>
          <w:rFonts w:hint="eastAsia" w:ascii="宋体" w:hAnsi="宋体" w:cs="宋体"/>
          <w:sz w:val="24"/>
          <w:szCs w:val="21"/>
        </w:rPr>
        <w:t>月</w:t>
      </w:r>
      <w:r>
        <w:rPr>
          <w:rFonts w:hint="eastAsia" w:ascii="宋体" w:hAnsi="宋体" w:cs="宋体"/>
          <w:sz w:val="24"/>
          <w:szCs w:val="21"/>
          <w:lang w:val="en-US" w:eastAsia="zh-CN"/>
        </w:rPr>
        <w:t>2</w:t>
      </w:r>
      <w:r>
        <w:rPr>
          <w:rFonts w:hint="eastAsia" w:ascii="宋体" w:hAnsi="宋体" w:cs="宋体"/>
          <w:sz w:val="24"/>
          <w:szCs w:val="21"/>
        </w:rPr>
        <w:t>日</w:t>
      </w:r>
    </w:p>
    <w:p w14:paraId="6A42BF06">
      <w:pPr>
        <w:rPr>
          <w:rFonts w:ascii="宋体" w:hAnsi="宋体"/>
          <w:sz w:val="24"/>
        </w:rPr>
        <w:sectPr>
          <w:pgSz w:w="11906" w:h="16838"/>
          <w:pgMar w:top="1440" w:right="1800" w:bottom="1440" w:left="1800" w:header="851" w:footer="992" w:gutter="0"/>
          <w:cols w:space="720" w:num="1"/>
          <w:docGrid w:type="lines" w:linePitch="312" w:charSpace="0"/>
        </w:sectPr>
      </w:pPr>
    </w:p>
    <w:p w14:paraId="61AB6A19">
      <w:pPr>
        <w:spacing w:before="180" w:beforeLines="75" w:after="240" w:afterLines="100"/>
        <w:jc w:val="center"/>
        <w:rPr>
          <w:rFonts w:ascii="宋体" w:hAnsi="宋体" w:cs="Arial"/>
          <w:b/>
          <w:color w:val="000000"/>
          <w:sz w:val="44"/>
          <w:szCs w:val="44"/>
        </w:rPr>
      </w:pPr>
      <w:r>
        <w:rPr>
          <w:rFonts w:hint="eastAsia" w:ascii="宋体" w:hAnsi="宋体" w:cs="Arial"/>
          <w:b/>
          <w:color w:val="000000"/>
          <w:sz w:val="44"/>
          <w:szCs w:val="44"/>
        </w:rPr>
        <w:t>法定代表人授权书</w:t>
      </w:r>
    </w:p>
    <w:p w14:paraId="3069E1FE">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的合法代理人，就</w:t>
      </w:r>
      <w:r>
        <w:rPr>
          <w:rFonts w:hint="eastAsia" w:ascii="宋体" w:hAnsi="宋体"/>
          <w:color w:val="000000"/>
          <w:kern w:val="0"/>
          <w:sz w:val="24"/>
        </w:rPr>
        <w:t>重庆国际复合材料股份有限公司</w:t>
      </w:r>
      <w:r>
        <w:rPr>
          <w:rFonts w:hint="eastAsia" w:ascii="宋体" w:hAnsi="宋体"/>
          <w:color w:val="000000"/>
          <w:kern w:val="0"/>
          <w:sz w:val="24"/>
          <w:u w:val="single"/>
        </w:rPr>
        <w:t xml:space="preserve">                   </w:t>
      </w:r>
      <w:r>
        <w:rPr>
          <w:rFonts w:hint="eastAsia" w:ascii="宋体" w:hAnsi="宋体" w:cs="Arial"/>
          <w:color w:val="000000"/>
          <w:sz w:val="24"/>
        </w:rPr>
        <w:t>项目的</w:t>
      </w:r>
      <w:r>
        <w:rPr>
          <w:rFonts w:hint="eastAsia" w:ascii="宋体" w:hAnsi="宋体"/>
          <w:color w:val="000000"/>
          <w:sz w:val="24"/>
        </w:rPr>
        <w:t>询比采购，以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14:paraId="0BC891ED">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4A2FD3EA">
      <w:pPr>
        <w:spacing w:line="480" w:lineRule="auto"/>
        <w:rPr>
          <w:rFonts w:ascii="宋体" w:hAnsi="宋体"/>
          <w:color w:val="000000"/>
          <w:sz w:val="24"/>
        </w:rPr>
      </w:pPr>
    </w:p>
    <w:p w14:paraId="0A3A9D08">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288DD972">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2DF507D8">
      <w:pPr>
        <w:rPr>
          <w:rFonts w:ascii="宋体" w:hAnsi="宋体"/>
          <w:color w:val="000000"/>
        </w:rPr>
      </w:pPr>
    </w:p>
    <w:p w14:paraId="233ADE73">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（盖公章）</w:t>
      </w:r>
    </w:p>
    <w:p w14:paraId="431E9F58">
      <w:pPr>
        <w:spacing w:line="360" w:lineRule="auto"/>
        <w:rPr>
          <w:rFonts w:hint="eastAsia" w:ascii="宋体" w:hAnsi="宋体"/>
          <w:color w:val="000000"/>
          <w:sz w:val="24"/>
        </w:rPr>
      </w:pPr>
    </w:p>
    <w:p w14:paraId="5516DC4B">
      <w:pPr>
        <w:spacing w:line="360" w:lineRule="auto"/>
        <w:rPr>
          <w:rFonts w:hint="eastAsia" w:ascii="宋体" w:hAnsi="宋体"/>
          <w:szCs w:val="21"/>
        </w:r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2ABA03ED">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宋体"/>
          <w:b/>
          <w:bCs w:val="0"/>
          <w:kern w:val="2"/>
          <w:sz w:val="32"/>
          <w:szCs w:val="36"/>
          <w:lang w:val="en-US" w:eastAsia="zh-CN" w:bidi="ar"/>
        </w:rPr>
      </w:pPr>
    </w:p>
    <w:p w14:paraId="618288B6">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宋体"/>
          <w:b/>
          <w:bCs w:val="0"/>
          <w:kern w:val="2"/>
          <w:sz w:val="32"/>
          <w:szCs w:val="36"/>
          <w:lang w:val="en-US" w:eastAsia="zh-CN" w:bidi="ar"/>
        </w:rPr>
      </w:pPr>
    </w:p>
    <w:p w14:paraId="30DB9F2A">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宋体"/>
          <w:b/>
          <w:bCs w:val="0"/>
          <w:kern w:val="2"/>
          <w:sz w:val="32"/>
          <w:szCs w:val="36"/>
          <w:lang w:val="en-US" w:eastAsia="zh-CN" w:bidi="ar"/>
        </w:rPr>
      </w:pPr>
    </w:p>
    <w:p w14:paraId="42E8607C">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宋体"/>
          <w:b/>
          <w:bCs w:val="0"/>
          <w:kern w:val="2"/>
          <w:sz w:val="32"/>
          <w:szCs w:val="36"/>
          <w:lang w:val="en-US" w:eastAsia="zh-CN" w:bidi="ar"/>
        </w:rPr>
      </w:pPr>
    </w:p>
    <w:p w14:paraId="79F6A937">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宋体"/>
          <w:b/>
          <w:bCs w:val="0"/>
          <w:kern w:val="2"/>
          <w:sz w:val="32"/>
          <w:szCs w:val="36"/>
          <w:lang w:val="en-US" w:eastAsia="zh-CN" w:bidi="ar"/>
        </w:rPr>
      </w:pPr>
    </w:p>
    <w:p w14:paraId="0870BF68">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宋体"/>
          <w:b/>
          <w:bCs w:val="0"/>
          <w:kern w:val="2"/>
          <w:sz w:val="32"/>
          <w:szCs w:val="36"/>
          <w:lang w:val="en-US" w:eastAsia="zh-CN" w:bidi="ar"/>
        </w:rPr>
      </w:pPr>
    </w:p>
    <w:p w14:paraId="66E80A0F">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宋体" w:cs="宋体"/>
          <w:b/>
          <w:bCs w:val="0"/>
          <w:kern w:val="2"/>
          <w:sz w:val="32"/>
          <w:szCs w:val="36"/>
          <w:lang w:val="en-US" w:eastAsia="zh-CN" w:bidi="ar"/>
        </w:rPr>
      </w:pPr>
    </w:p>
    <w:p w14:paraId="798E885D">
      <w:pPr>
        <w:keepNext w:val="0"/>
        <w:keepLines w:val="0"/>
        <w:widowControl/>
        <w:suppressLineNumbers w:val="0"/>
        <w:spacing w:before="0" w:beforeAutospacing="0" w:after="0" w:afterAutospacing="0" w:line="360" w:lineRule="auto"/>
        <w:ind w:left="0" w:right="0"/>
        <w:jc w:val="both"/>
        <w:rPr>
          <w:rFonts w:hint="default" w:ascii="Times New Roman" w:hAnsi="Times New Roman" w:eastAsia="宋体" w:cs="宋体"/>
          <w:b/>
          <w:bCs w:val="0"/>
          <w:kern w:val="2"/>
          <w:sz w:val="32"/>
          <w:szCs w:val="36"/>
          <w:lang w:val="en-US" w:eastAsia="zh-CN" w:bidi="ar"/>
        </w:rPr>
      </w:pPr>
    </w:p>
    <w:p w14:paraId="1C860F84">
      <w:pPr>
        <w:keepNext w:val="0"/>
        <w:keepLines w:val="0"/>
        <w:widowControl/>
        <w:suppressLineNumbers w:val="0"/>
        <w:spacing w:before="0" w:beforeAutospacing="0" w:after="0" w:afterAutospacing="0" w:line="360" w:lineRule="auto"/>
        <w:ind w:left="0" w:right="0"/>
        <w:jc w:val="both"/>
        <w:rPr>
          <w:rFonts w:hint="default" w:ascii="Times New Roman" w:hAnsi="Times New Roman" w:eastAsia="宋体" w:cs="宋体"/>
          <w:b/>
          <w:bCs w:val="0"/>
          <w:kern w:val="2"/>
          <w:sz w:val="32"/>
          <w:szCs w:val="36"/>
          <w:lang w:val="en-US" w:eastAsia="zh-CN" w:bidi="ar"/>
        </w:rPr>
      </w:pPr>
    </w:p>
    <w:p w14:paraId="6B0BC35B">
      <w:pPr>
        <w:keepNext w:val="0"/>
        <w:keepLines w:val="0"/>
        <w:widowControl/>
        <w:suppressLineNumbers w:val="0"/>
        <w:spacing w:before="0" w:beforeAutospacing="0" w:after="0" w:afterAutospacing="0" w:line="360" w:lineRule="auto"/>
        <w:ind w:left="0" w:right="0"/>
        <w:jc w:val="both"/>
        <w:rPr>
          <w:rFonts w:hint="default" w:ascii="Times New Roman" w:hAnsi="Times New Roman" w:eastAsia="宋体" w:cs="宋体"/>
          <w:b/>
          <w:bCs w:val="0"/>
          <w:kern w:val="2"/>
          <w:sz w:val="32"/>
          <w:szCs w:val="36"/>
          <w:lang w:val="en-US" w:eastAsia="zh-CN" w:bidi="ar"/>
        </w:rPr>
      </w:pPr>
    </w:p>
    <w:p w14:paraId="7E092FED">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000000"/>
          <w:kern w:val="0"/>
          <w:sz w:val="24"/>
          <w:szCs w:val="24"/>
          <w:lang w:val="en-US" w:bidi="ar"/>
        </w:rPr>
      </w:pPr>
      <w:r>
        <w:rPr>
          <w:rFonts w:hint="eastAsia" w:ascii="Times New Roman" w:hAnsi="Times New Roman" w:eastAsia="宋体" w:cs="宋体"/>
          <w:b/>
          <w:bCs w:val="0"/>
          <w:kern w:val="2"/>
          <w:sz w:val="32"/>
          <w:szCs w:val="36"/>
          <w:lang w:val="en-US" w:eastAsia="zh-CN" w:bidi="ar"/>
        </w:rPr>
        <w:t>检测服务报价文件</w:t>
      </w:r>
    </w:p>
    <w:p w14:paraId="65AEB728">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000000"/>
          <w:kern w:val="0"/>
          <w:sz w:val="24"/>
          <w:szCs w:val="24"/>
          <w:lang w:val="en-US" w:bidi="ar"/>
        </w:rPr>
      </w:pPr>
      <w:r>
        <w:rPr>
          <w:rFonts w:hint="eastAsia" w:ascii="宋体" w:hAnsi="宋体" w:eastAsia="宋体" w:cs="宋体"/>
          <w:color w:val="000000"/>
          <w:kern w:val="0"/>
          <w:sz w:val="24"/>
          <w:szCs w:val="24"/>
          <w:lang w:val="en-US" w:eastAsia="zh-CN" w:bidi="ar"/>
        </w:rPr>
        <w:t>致：</w:t>
      </w:r>
      <w:r>
        <w:rPr>
          <w:rFonts w:hint="eastAsia" w:ascii="宋体" w:hAnsi="宋体" w:eastAsia="宋体" w:cs="宋体"/>
          <w:kern w:val="2"/>
          <w:sz w:val="24"/>
          <w:szCs w:val="24"/>
          <w:u w:val="single"/>
          <w:lang w:val="en-US" w:eastAsia="zh-CN" w:bidi="ar"/>
        </w:rPr>
        <w:t>重庆国际复合材料股份有限公司</w:t>
      </w:r>
      <w:r>
        <w:rPr>
          <w:rFonts w:hint="eastAsia" w:ascii="宋体" w:hAnsi="宋体" w:eastAsia="宋体" w:cs="宋体"/>
          <w:color w:val="000000"/>
          <w:kern w:val="0"/>
          <w:sz w:val="24"/>
          <w:szCs w:val="24"/>
          <w:lang w:val="en-US" w:eastAsia="zh-CN" w:bidi="ar"/>
        </w:rPr>
        <w:t xml:space="preserve"> </w:t>
      </w:r>
    </w:p>
    <w:p w14:paraId="17028579">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kern w:val="0"/>
          <w:sz w:val="24"/>
          <w:szCs w:val="24"/>
          <w:lang w:val="en-US"/>
        </w:rPr>
      </w:pPr>
      <w:r>
        <w:rPr>
          <w:rFonts w:hint="eastAsia" w:ascii="宋体" w:hAnsi="宋体" w:eastAsia="宋体" w:cs="宋体"/>
          <w:color w:val="000000"/>
          <w:kern w:val="0"/>
          <w:sz w:val="24"/>
          <w:szCs w:val="24"/>
          <w:lang w:val="en-US" w:eastAsia="zh-CN" w:bidi="ar"/>
        </w:rPr>
        <w:t>我方已仔细研究了贵司招标文件的全部内容，我方报价如下：</w:t>
      </w:r>
    </w:p>
    <w:p w14:paraId="792FA26F">
      <w:pPr>
        <w:pStyle w:val="7"/>
        <w:keepNext w:val="0"/>
        <w:keepLines w:val="0"/>
        <w:widowControl/>
        <w:suppressLineNumbers w:val="0"/>
        <w:spacing w:before="0" w:beforeAutospacing="0" w:after="120" w:afterAutospacing="0"/>
        <w:ind w:leftChars="200" w:right="0" w:firstLine="240" w:firstLineChars="100"/>
        <w:rPr>
          <w:rFonts w:hint="eastAsia" w:ascii="宋体" w:hAnsi="宋体" w:eastAsia="宋体" w:cs="宋体"/>
          <w:kern w:val="0"/>
          <w:sz w:val="24"/>
          <w:szCs w:val="24"/>
          <w:lang w:val="en-US"/>
        </w:rPr>
      </w:pPr>
      <w:r>
        <w:rPr>
          <w:rFonts w:hint="eastAsia" w:ascii="宋体" w:hAnsi="宋体" w:eastAsia="宋体" w:cs="宋体"/>
          <w:kern w:val="0"/>
          <w:sz w:val="24"/>
          <w:szCs w:val="24"/>
          <w:lang w:eastAsia="zh-CN"/>
        </w:rPr>
        <w:t>检测服务询比价报价表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8"/>
        <w:gridCol w:w="506"/>
        <w:gridCol w:w="911"/>
        <w:gridCol w:w="1176"/>
        <w:gridCol w:w="8"/>
        <w:gridCol w:w="1167"/>
        <w:gridCol w:w="17"/>
        <w:gridCol w:w="1216"/>
        <w:gridCol w:w="973"/>
        <w:gridCol w:w="909"/>
        <w:gridCol w:w="998"/>
      </w:tblGrid>
      <w:tr w14:paraId="31B1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41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274AC3">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1</w:t>
            </w:r>
          </w:p>
        </w:tc>
        <w:tc>
          <w:tcPr>
            <w:tcW w:w="506"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268166">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安装部分报价</w:t>
            </w:r>
          </w:p>
        </w:tc>
        <w:tc>
          <w:tcPr>
            <w:tcW w:w="911"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2ED0E63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lang w:val="en-US"/>
              </w:rPr>
            </w:pPr>
            <w:r>
              <w:rPr>
                <w:rFonts w:hint="eastAsia" w:ascii="宋体" w:hAnsi="宋体" w:eastAsia="宋体" w:cs="宋体"/>
                <w:kern w:val="2"/>
                <w:sz w:val="18"/>
                <w:szCs w:val="18"/>
                <w:lang w:val="en-US" w:eastAsia="zh-CN" w:bidi="ar"/>
              </w:rPr>
              <w:t>名称</w:t>
            </w:r>
          </w:p>
        </w:tc>
        <w:tc>
          <w:tcPr>
            <w:tcW w:w="118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DCB046">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lang w:val="en-US"/>
              </w:rPr>
            </w:pPr>
            <w:r>
              <w:rPr>
                <w:rFonts w:hint="eastAsia" w:ascii="宋体" w:hAnsi="宋体" w:eastAsia="宋体" w:cs="宋体"/>
                <w:kern w:val="2"/>
                <w:sz w:val="18"/>
                <w:szCs w:val="18"/>
                <w:lang w:val="en-US" w:eastAsia="zh-CN" w:bidi="ar"/>
              </w:rPr>
              <w:t>项目特征</w:t>
            </w:r>
          </w:p>
        </w:tc>
        <w:tc>
          <w:tcPr>
            <w:tcW w:w="1184"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3D1DE2CA">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lang w:val="en-US"/>
              </w:rPr>
            </w:pPr>
            <w:r>
              <w:rPr>
                <w:rFonts w:hint="eastAsia" w:ascii="宋体" w:hAnsi="宋体" w:eastAsia="宋体" w:cs="宋体"/>
                <w:kern w:val="2"/>
                <w:sz w:val="18"/>
                <w:szCs w:val="18"/>
                <w:lang w:val="en-US" w:eastAsia="zh-CN" w:bidi="ar"/>
              </w:rPr>
              <w:t>计量单位</w:t>
            </w:r>
          </w:p>
        </w:tc>
        <w:tc>
          <w:tcPr>
            <w:tcW w:w="121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B0B66D">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lang w:val="en-US"/>
              </w:rPr>
            </w:pPr>
            <w:r>
              <w:rPr>
                <w:rFonts w:hint="eastAsia" w:ascii="宋体" w:hAnsi="宋体" w:eastAsia="宋体" w:cs="宋体"/>
                <w:kern w:val="2"/>
                <w:sz w:val="18"/>
                <w:szCs w:val="18"/>
                <w:lang w:val="en-US" w:eastAsia="zh-CN" w:bidi="ar"/>
              </w:rPr>
              <w:t>工程量</w:t>
            </w:r>
          </w:p>
        </w:tc>
        <w:tc>
          <w:tcPr>
            <w:tcW w:w="973" w:type="dxa"/>
            <w:tcBorders>
              <w:top w:val="single" w:color="auto" w:sz="4" w:space="0"/>
              <w:left w:val="single" w:color="auto" w:sz="4" w:space="0"/>
              <w:bottom w:val="single" w:color="auto" w:sz="4" w:space="0"/>
              <w:right w:val="single" w:color="000000" w:sz="4" w:space="0"/>
            </w:tcBorders>
            <w:shd w:val="clear" w:color="auto" w:fill="FFFFFF"/>
            <w:noWrap w:val="0"/>
            <w:vAlign w:val="center"/>
          </w:tcPr>
          <w:p w14:paraId="5FE3B2AD">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lang w:val="en-US"/>
              </w:rPr>
            </w:pPr>
            <w:r>
              <w:rPr>
                <w:rFonts w:hint="eastAsia" w:ascii="宋体" w:hAnsi="宋体" w:eastAsia="宋体" w:cs="宋体"/>
                <w:kern w:val="2"/>
                <w:sz w:val="18"/>
                <w:szCs w:val="18"/>
                <w:lang w:val="en-US" w:eastAsia="zh-CN" w:bidi="ar"/>
              </w:rPr>
              <w:t>单项报价</w:t>
            </w:r>
          </w:p>
        </w:tc>
        <w:tc>
          <w:tcPr>
            <w:tcW w:w="909"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12BED0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总价报价</w:t>
            </w:r>
          </w:p>
        </w:tc>
        <w:tc>
          <w:tcPr>
            <w:tcW w:w="998"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088AAAF6">
            <w:pPr>
              <w:keepNext w:val="0"/>
              <w:keepLines w:val="0"/>
              <w:widowControl/>
              <w:suppressLineNumbers w:val="0"/>
              <w:spacing w:before="0" w:beforeAutospacing="0" w:after="0" w:afterAutospacing="0"/>
              <w:ind w:left="0" w:right="0"/>
              <w:jc w:val="right"/>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备注</w:t>
            </w:r>
          </w:p>
        </w:tc>
      </w:tr>
      <w:tr w14:paraId="13CD9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ABE2D9">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E57919">
            <w:pPr>
              <w:rPr>
                <w:rFonts w:hint="default" w:ascii="Calibri" w:hAnsi="Calibri" w:cs="Times New Roman"/>
                <w:kern w:val="2"/>
                <w:sz w:val="21"/>
                <w:szCs w:val="22"/>
              </w:rPr>
            </w:pPr>
          </w:p>
        </w:tc>
        <w:tc>
          <w:tcPr>
            <w:tcW w:w="911" w:type="dxa"/>
            <w:tcBorders>
              <w:top w:val="single" w:color="000000" w:sz="4" w:space="0"/>
              <w:left w:val="single" w:color="000000" w:sz="4" w:space="0"/>
              <w:bottom w:val="single" w:color="auto" w:sz="4" w:space="0"/>
              <w:right w:val="single" w:color="auto" w:sz="4" w:space="0"/>
            </w:tcBorders>
            <w:shd w:val="clear" w:color="auto" w:fill="FFFFFF"/>
            <w:noWrap w:val="0"/>
            <w:vAlign w:val="center"/>
          </w:tcPr>
          <w:p w14:paraId="381F7E6A">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rPr>
              <w:t>电缆</w:t>
            </w:r>
          </w:p>
        </w:tc>
        <w:tc>
          <w:tcPr>
            <w:tcW w:w="1176" w:type="dxa"/>
            <w:tcBorders>
              <w:top w:val="single" w:color="000000" w:sz="4" w:space="0"/>
              <w:left w:val="single" w:color="auto" w:sz="4" w:space="0"/>
              <w:bottom w:val="single" w:color="auto" w:sz="4" w:space="0"/>
              <w:right w:val="single" w:color="auto" w:sz="4" w:space="0"/>
            </w:tcBorders>
            <w:shd w:val="clear" w:color="auto" w:fill="FFFFFF"/>
            <w:noWrap w:val="0"/>
            <w:vAlign w:val="center"/>
          </w:tcPr>
          <w:p w14:paraId="1141CAC4">
            <w:pPr>
              <w:widowControl/>
              <w:rPr>
                <w:rFonts w:hint="eastAsia" w:ascii="宋体" w:hAnsi="宋体" w:eastAsia="宋体" w:cs="宋体"/>
                <w:kern w:val="0"/>
                <w:sz w:val="18"/>
                <w:szCs w:val="18"/>
                <w:lang w:val="en-US"/>
              </w:rPr>
            </w:pPr>
            <w:r>
              <w:rPr>
                <w:rFonts w:hint="eastAsia" w:ascii="宋体" w:hAnsi="宋体" w:cs="宋体"/>
                <w:color w:val="000000"/>
                <w:kern w:val="0"/>
                <w:sz w:val="22"/>
              </w:rPr>
              <w:t>导体截面积、直流电阻、绝缘层厚度</w:t>
            </w:r>
          </w:p>
        </w:tc>
        <w:tc>
          <w:tcPr>
            <w:tcW w:w="1175" w:type="dxa"/>
            <w:gridSpan w:val="2"/>
            <w:tcBorders>
              <w:top w:val="single" w:color="000000" w:sz="4" w:space="0"/>
              <w:left w:val="single" w:color="auto" w:sz="4" w:space="0"/>
              <w:bottom w:val="single" w:color="auto" w:sz="4" w:space="0"/>
              <w:right w:val="single" w:color="auto" w:sz="4" w:space="0"/>
            </w:tcBorders>
            <w:shd w:val="clear" w:color="auto" w:fill="FFFFFF"/>
            <w:noWrap w:val="0"/>
            <w:vAlign w:val="center"/>
          </w:tcPr>
          <w:p w14:paraId="2C679F47">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组</w:t>
            </w:r>
          </w:p>
        </w:tc>
        <w:tc>
          <w:tcPr>
            <w:tcW w:w="1233" w:type="dxa"/>
            <w:gridSpan w:val="2"/>
            <w:tcBorders>
              <w:top w:val="single" w:color="000000" w:sz="4" w:space="0"/>
              <w:left w:val="single" w:color="auto" w:sz="4" w:space="0"/>
              <w:bottom w:val="single" w:color="auto" w:sz="4" w:space="0"/>
              <w:right w:val="single" w:color="000000" w:sz="4" w:space="0"/>
            </w:tcBorders>
            <w:shd w:val="clear" w:color="auto" w:fill="FFFFFF"/>
            <w:noWrap w:val="0"/>
            <w:vAlign w:val="center"/>
          </w:tcPr>
          <w:p w14:paraId="21ED3E67">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70</w:t>
            </w:r>
          </w:p>
        </w:tc>
        <w:tc>
          <w:tcPr>
            <w:tcW w:w="973" w:type="dxa"/>
            <w:tcBorders>
              <w:top w:val="single" w:color="000000" w:sz="4" w:space="0"/>
              <w:left w:val="single" w:color="auto" w:sz="4" w:space="0"/>
              <w:bottom w:val="single" w:color="auto" w:sz="4" w:space="0"/>
              <w:right w:val="single" w:color="000000" w:sz="4" w:space="0"/>
            </w:tcBorders>
            <w:shd w:val="clear" w:color="auto" w:fill="FFFFFF"/>
            <w:noWrap w:val="0"/>
            <w:vAlign w:val="center"/>
          </w:tcPr>
          <w:p w14:paraId="78DF7C69">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000000" w:sz="4" w:space="0"/>
              <w:left w:val="single" w:color="000000" w:sz="4" w:space="0"/>
              <w:bottom w:val="single" w:color="auto" w:sz="4" w:space="0"/>
              <w:right w:val="single" w:color="auto" w:sz="4" w:space="0"/>
            </w:tcBorders>
            <w:shd w:val="clear" w:color="auto" w:fill="FFFFFF"/>
            <w:noWrap w:val="0"/>
            <w:vAlign w:val="center"/>
          </w:tcPr>
          <w:p w14:paraId="1F04B34F">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rPr>
            </w:pPr>
          </w:p>
        </w:tc>
        <w:tc>
          <w:tcPr>
            <w:tcW w:w="998" w:type="dxa"/>
            <w:vMerge w:val="restart"/>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7A3637B9">
            <w:pPr>
              <w:keepNext w:val="0"/>
              <w:keepLines w:val="0"/>
              <w:widowControl/>
              <w:suppressLineNumbers w:val="0"/>
              <w:spacing w:before="0" w:beforeAutospacing="0" w:after="0" w:afterAutospacing="0"/>
              <w:ind w:left="0" w:right="0"/>
              <w:jc w:val="right"/>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含增值税专用发票（6%）</w:t>
            </w:r>
          </w:p>
        </w:tc>
      </w:tr>
      <w:tr w14:paraId="24176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E0E95E">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6E099">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7766D4AC">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rPr>
              <w:t>钢材</w:t>
            </w:r>
          </w:p>
        </w:tc>
        <w:tc>
          <w:tcPr>
            <w:tcW w:w="117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289FF4">
            <w:pPr>
              <w:widowControl/>
              <w:rPr>
                <w:rFonts w:hint="eastAsia" w:ascii="宋体" w:hAnsi="宋体" w:eastAsia="宋体" w:cs="宋体"/>
                <w:kern w:val="0"/>
                <w:sz w:val="18"/>
                <w:szCs w:val="18"/>
                <w:lang w:val="en-US"/>
              </w:rPr>
            </w:pPr>
            <w:r>
              <w:rPr>
                <w:rFonts w:hint="eastAsia" w:ascii="宋体" w:hAnsi="宋体" w:cs="宋体"/>
                <w:color w:val="000000"/>
                <w:kern w:val="0"/>
                <w:sz w:val="22"/>
              </w:rPr>
              <w:t>型钢、钢板的屈服强度、抗拉强度、冷弯、断后伸长率</w:t>
            </w:r>
          </w:p>
        </w:tc>
        <w:tc>
          <w:tcPr>
            <w:tcW w:w="117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168F38">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auto" w:sz="4" w:space="0"/>
              <w:right w:val="single" w:color="000000" w:sz="4" w:space="0"/>
            </w:tcBorders>
            <w:shd w:val="clear" w:color="auto" w:fill="FFFFFF"/>
            <w:noWrap w:val="0"/>
            <w:vAlign w:val="center"/>
          </w:tcPr>
          <w:p w14:paraId="41A34B32">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100</w:t>
            </w:r>
          </w:p>
        </w:tc>
        <w:tc>
          <w:tcPr>
            <w:tcW w:w="973" w:type="dxa"/>
            <w:tcBorders>
              <w:top w:val="single" w:color="auto" w:sz="4" w:space="0"/>
              <w:left w:val="single" w:color="auto" w:sz="4" w:space="0"/>
              <w:bottom w:val="single" w:color="auto" w:sz="4" w:space="0"/>
              <w:right w:val="single" w:color="000000" w:sz="4" w:space="0"/>
            </w:tcBorders>
            <w:shd w:val="clear" w:color="auto" w:fill="FFFFFF"/>
            <w:noWrap w:val="0"/>
            <w:vAlign w:val="center"/>
          </w:tcPr>
          <w:p w14:paraId="57D90BEA">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4ECC5A77">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0DCA6758">
            <w:pPr>
              <w:rPr>
                <w:rFonts w:hint="default" w:ascii="Calibri" w:hAnsi="Calibri" w:cs="Times New Roman"/>
                <w:kern w:val="2"/>
                <w:sz w:val="21"/>
                <w:szCs w:val="22"/>
              </w:rPr>
            </w:pPr>
          </w:p>
        </w:tc>
      </w:tr>
      <w:tr w14:paraId="15F3C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C2AB9D">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14B9BC">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1A642723">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rPr>
              <w:t>管材及管件</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2CA18E5D">
            <w:pPr>
              <w:widowControl/>
              <w:rPr>
                <w:rFonts w:hint="eastAsia" w:ascii="宋体" w:hAnsi="宋体" w:eastAsia="宋体" w:cs="宋体"/>
                <w:kern w:val="0"/>
                <w:sz w:val="18"/>
                <w:szCs w:val="18"/>
                <w:lang w:val="en-US"/>
              </w:rPr>
            </w:pPr>
            <w:r>
              <w:rPr>
                <w:rFonts w:hint="eastAsia" w:ascii="宋体" w:hAnsi="宋体" w:cs="宋体"/>
                <w:color w:val="000000"/>
                <w:kern w:val="0"/>
                <w:sz w:val="22"/>
              </w:rPr>
              <w:t>物理性能常规</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3D7F933E">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5F76A976">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70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4018BAEA">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050A0133">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3A9EA97F">
            <w:pPr>
              <w:rPr>
                <w:rFonts w:hint="default" w:ascii="Calibri" w:hAnsi="Calibri" w:cs="Times New Roman"/>
                <w:kern w:val="2"/>
                <w:sz w:val="21"/>
                <w:szCs w:val="22"/>
              </w:rPr>
            </w:pPr>
          </w:p>
        </w:tc>
      </w:tr>
      <w:tr w14:paraId="346D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77EDC">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67DED">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4AC04D39">
            <w:pPr>
              <w:widowControl/>
              <w:jc w:val="center"/>
              <w:rPr>
                <w:rFonts w:hint="eastAsia" w:ascii="宋体" w:hAnsi="宋体" w:eastAsia="宋体" w:cs="宋体"/>
                <w:sz w:val="18"/>
                <w:szCs w:val="18"/>
                <w:lang w:val="en-US"/>
              </w:rPr>
            </w:pPr>
            <w:r>
              <w:rPr>
                <w:rFonts w:hint="eastAsia" w:ascii="宋体" w:hAnsi="宋体" w:cs="宋体"/>
                <w:color w:val="000000"/>
                <w:kern w:val="0"/>
                <w:sz w:val="22"/>
              </w:rPr>
              <w:t>高强螺栓</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375B9D2A">
            <w:pPr>
              <w:widowControl/>
              <w:rPr>
                <w:rFonts w:hint="eastAsia" w:ascii="宋体" w:hAnsi="宋体" w:eastAsia="宋体" w:cs="宋体"/>
                <w:kern w:val="0"/>
                <w:sz w:val="18"/>
                <w:szCs w:val="18"/>
                <w:lang w:val="en-US"/>
              </w:rPr>
            </w:pPr>
            <w:r>
              <w:rPr>
                <w:rFonts w:hint="eastAsia" w:ascii="宋体" w:hAnsi="宋体" w:cs="宋体"/>
                <w:color w:val="000000"/>
                <w:kern w:val="0"/>
                <w:sz w:val="22"/>
              </w:rPr>
              <w:t>预拉力</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2DD17F16">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23FA4E6B">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50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3E5C6504">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06725AB2">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06FB49D9">
            <w:pPr>
              <w:rPr>
                <w:rFonts w:hint="default" w:ascii="Calibri" w:hAnsi="Calibri" w:cs="Times New Roman"/>
                <w:kern w:val="2"/>
                <w:sz w:val="21"/>
                <w:szCs w:val="22"/>
              </w:rPr>
            </w:pPr>
          </w:p>
        </w:tc>
      </w:tr>
      <w:tr w14:paraId="6BB89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C379A">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4C42A">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1DEA5973">
            <w:pPr>
              <w:widowControl/>
              <w:jc w:val="center"/>
              <w:rPr>
                <w:rFonts w:hint="eastAsia" w:ascii="宋体" w:hAnsi="宋体" w:eastAsia="宋体" w:cs="宋体"/>
                <w:kern w:val="2"/>
                <w:sz w:val="18"/>
                <w:szCs w:val="18"/>
                <w:lang w:val="en-US" w:eastAsia="zh-CN" w:bidi="ar"/>
              </w:rPr>
            </w:pPr>
            <w:r>
              <w:rPr>
                <w:rFonts w:hint="eastAsia" w:ascii="宋体" w:hAnsi="宋体" w:cs="宋体"/>
                <w:color w:val="000000"/>
                <w:kern w:val="0"/>
                <w:sz w:val="22"/>
              </w:rPr>
              <w:t>高强螺栓</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29DB120F">
            <w:pPr>
              <w:widowControl/>
              <w:rPr>
                <w:rFonts w:hint="eastAsia" w:ascii="宋体" w:hAnsi="宋体" w:eastAsia="宋体" w:cs="宋体"/>
                <w:kern w:val="2"/>
                <w:sz w:val="18"/>
                <w:szCs w:val="18"/>
                <w:lang w:val="en-US" w:eastAsia="zh-CN" w:bidi="ar"/>
              </w:rPr>
            </w:pPr>
            <w:r>
              <w:rPr>
                <w:rFonts w:hint="eastAsia" w:ascii="宋体" w:hAnsi="宋体" w:cs="宋体"/>
                <w:color w:val="000000"/>
                <w:kern w:val="0"/>
                <w:sz w:val="22"/>
              </w:rPr>
              <w:t>扭矩系数</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39ED16FC">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5C574C8B">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30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7F4CA776">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7A072FD8">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447068EE">
            <w:pPr>
              <w:rPr>
                <w:rFonts w:hint="default" w:ascii="Calibri" w:hAnsi="Calibri" w:cs="Times New Roman"/>
                <w:kern w:val="2"/>
                <w:sz w:val="21"/>
                <w:szCs w:val="22"/>
              </w:rPr>
            </w:pPr>
          </w:p>
        </w:tc>
      </w:tr>
      <w:tr w14:paraId="679B8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2DC2B">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67F98A">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442CE15B">
            <w:pPr>
              <w:widowControl/>
              <w:jc w:val="center"/>
              <w:rPr>
                <w:rFonts w:hint="eastAsia" w:ascii="宋体" w:hAnsi="宋体" w:eastAsia="宋体" w:cs="宋体"/>
                <w:kern w:val="2"/>
                <w:sz w:val="18"/>
                <w:szCs w:val="18"/>
                <w:lang w:val="en-US" w:eastAsia="zh-CN" w:bidi="ar"/>
              </w:rPr>
            </w:pPr>
            <w:r>
              <w:rPr>
                <w:rFonts w:hint="eastAsia" w:ascii="宋体" w:hAnsi="宋体" w:cs="宋体"/>
                <w:color w:val="000000"/>
                <w:kern w:val="0"/>
                <w:sz w:val="22"/>
              </w:rPr>
              <w:t>高强螺栓</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6FB38CD5">
            <w:pPr>
              <w:widowControl/>
              <w:rPr>
                <w:rFonts w:hint="eastAsia" w:ascii="宋体" w:hAnsi="宋体" w:eastAsia="宋体" w:cs="宋体"/>
                <w:kern w:val="2"/>
                <w:sz w:val="18"/>
                <w:szCs w:val="18"/>
                <w:lang w:val="en-US" w:eastAsia="zh-CN" w:bidi="ar"/>
              </w:rPr>
            </w:pPr>
            <w:r>
              <w:rPr>
                <w:rFonts w:hint="eastAsia" w:ascii="宋体" w:hAnsi="宋体" w:cs="宋体"/>
                <w:color w:val="000000"/>
                <w:kern w:val="0"/>
                <w:sz w:val="22"/>
              </w:rPr>
              <w:t>抗滑移系数</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6AF4F2B2">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48EB2BC2">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30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3434D930">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3BEEA308">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45DC3FC0">
            <w:pPr>
              <w:rPr>
                <w:rFonts w:hint="default" w:ascii="Calibri" w:hAnsi="Calibri" w:cs="Times New Roman"/>
                <w:kern w:val="2"/>
                <w:sz w:val="21"/>
                <w:szCs w:val="22"/>
              </w:rPr>
            </w:pPr>
          </w:p>
        </w:tc>
      </w:tr>
      <w:tr w14:paraId="2D32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6191E6">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5410C">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485DE374">
            <w:pPr>
              <w:widowControl/>
              <w:jc w:val="center"/>
              <w:rPr>
                <w:rFonts w:hint="eastAsia" w:ascii="宋体" w:hAnsi="宋体" w:eastAsia="宋体" w:cs="宋体"/>
                <w:kern w:val="2"/>
                <w:sz w:val="18"/>
                <w:szCs w:val="18"/>
                <w:lang w:val="en-US" w:eastAsia="zh-CN" w:bidi="ar"/>
              </w:rPr>
            </w:pPr>
            <w:r>
              <w:rPr>
                <w:rFonts w:hint="eastAsia" w:ascii="宋体" w:hAnsi="宋体" w:cs="宋体"/>
                <w:color w:val="000000"/>
                <w:kern w:val="0"/>
                <w:sz w:val="22"/>
              </w:rPr>
              <w:t>高强螺栓</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7D4E4507">
            <w:pPr>
              <w:widowControl/>
              <w:rPr>
                <w:rFonts w:hint="eastAsia" w:ascii="宋体" w:hAnsi="宋体" w:eastAsia="宋体" w:cs="宋体"/>
                <w:kern w:val="2"/>
                <w:sz w:val="18"/>
                <w:szCs w:val="18"/>
                <w:lang w:val="en-US" w:eastAsia="zh-CN" w:bidi="ar"/>
              </w:rPr>
            </w:pPr>
            <w:r>
              <w:rPr>
                <w:rFonts w:hint="eastAsia" w:ascii="宋体" w:hAnsi="宋体" w:cs="宋体"/>
                <w:color w:val="000000"/>
                <w:kern w:val="0"/>
                <w:sz w:val="22"/>
              </w:rPr>
              <w:t>硬度</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40F85E46">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7590977B">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40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75AA4D4B">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4E82BA8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1B0F9846">
            <w:pPr>
              <w:rPr>
                <w:rFonts w:hint="default" w:ascii="Calibri" w:hAnsi="Calibri" w:cs="Times New Roman"/>
                <w:kern w:val="2"/>
                <w:sz w:val="21"/>
                <w:szCs w:val="22"/>
              </w:rPr>
            </w:pPr>
          </w:p>
        </w:tc>
      </w:tr>
      <w:tr w14:paraId="28336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CA9A7">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99D10">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62F6707C">
            <w:pPr>
              <w:widowControl/>
              <w:jc w:val="center"/>
              <w:rPr>
                <w:rFonts w:hint="eastAsia" w:ascii="宋体" w:hAnsi="宋体" w:eastAsia="宋体" w:cs="宋体"/>
                <w:kern w:val="2"/>
                <w:sz w:val="18"/>
                <w:szCs w:val="18"/>
                <w:lang w:val="en-US" w:eastAsia="zh-CN" w:bidi="ar"/>
              </w:rPr>
            </w:pPr>
            <w:r>
              <w:rPr>
                <w:rFonts w:hint="eastAsia" w:ascii="宋体" w:hAnsi="宋体" w:cs="宋体"/>
                <w:color w:val="000000"/>
                <w:kern w:val="0"/>
                <w:sz w:val="22"/>
              </w:rPr>
              <w:t>钢结构</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6CC49635">
            <w:pPr>
              <w:widowControl/>
              <w:rPr>
                <w:rFonts w:hint="eastAsia" w:ascii="宋体" w:hAnsi="宋体" w:eastAsia="宋体" w:cs="宋体"/>
                <w:kern w:val="2"/>
                <w:sz w:val="18"/>
                <w:szCs w:val="18"/>
                <w:lang w:val="en-US" w:eastAsia="zh-CN" w:bidi="ar"/>
              </w:rPr>
            </w:pPr>
            <w:r>
              <w:rPr>
                <w:rFonts w:hint="eastAsia" w:ascii="宋体" w:hAnsi="宋体" w:cs="宋体"/>
                <w:color w:val="000000"/>
                <w:kern w:val="0"/>
                <w:sz w:val="22"/>
              </w:rPr>
              <w:t>焊缝探伤</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55EB3B48">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2476D37A">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100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398AC34D">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541871D6">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2F260A95">
            <w:pPr>
              <w:rPr>
                <w:rFonts w:hint="default" w:ascii="Calibri" w:hAnsi="Calibri" w:cs="Times New Roman"/>
                <w:kern w:val="2"/>
                <w:sz w:val="21"/>
                <w:szCs w:val="22"/>
              </w:rPr>
            </w:pPr>
          </w:p>
        </w:tc>
      </w:tr>
      <w:tr w14:paraId="543F2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9FB96">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FA05C5">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23550B74">
            <w:pPr>
              <w:widowControl/>
              <w:jc w:val="center"/>
              <w:rPr>
                <w:rFonts w:hint="eastAsia" w:ascii="宋体" w:hAnsi="宋体" w:eastAsia="宋体" w:cs="宋体"/>
                <w:kern w:val="2"/>
                <w:sz w:val="18"/>
                <w:szCs w:val="18"/>
                <w:lang w:val="en-US" w:eastAsia="zh-CN" w:bidi="ar"/>
              </w:rPr>
            </w:pPr>
            <w:r>
              <w:rPr>
                <w:rFonts w:hint="eastAsia" w:ascii="宋体" w:hAnsi="宋体" w:cs="宋体"/>
                <w:color w:val="000000"/>
                <w:kern w:val="0"/>
                <w:sz w:val="22"/>
              </w:rPr>
              <w:t>保温材料</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643E1E66">
            <w:pPr>
              <w:widowControl/>
              <w:rPr>
                <w:rFonts w:hint="eastAsia" w:ascii="宋体" w:hAnsi="宋体" w:eastAsia="宋体" w:cs="宋体"/>
                <w:kern w:val="2"/>
                <w:sz w:val="18"/>
                <w:szCs w:val="18"/>
                <w:lang w:val="en-US" w:eastAsia="zh-CN" w:bidi="ar"/>
              </w:rPr>
            </w:pPr>
            <w:r>
              <w:rPr>
                <w:rFonts w:hint="eastAsia" w:ascii="宋体" w:hAnsi="宋体" w:cs="宋体"/>
                <w:color w:val="000000"/>
                <w:kern w:val="0"/>
                <w:sz w:val="22"/>
              </w:rPr>
              <w:t>保温层钻芯厚度（不含燃烧性能）</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7F2F4D2B">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247555E4">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50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1F775B33">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3F41949B">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332207D9">
            <w:pPr>
              <w:rPr>
                <w:rFonts w:hint="default" w:ascii="Calibri" w:hAnsi="Calibri" w:cs="Times New Roman"/>
                <w:kern w:val="2"/>
                <w:sz w:val="21"/>
                <w:szCs w:val="22"/>
              </w:rPr>
            </w:pPr>
          </w:p>
        </w:tc>
      </w:tr>
      <w:tr w14:paraId="1F9B8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32584">
            <w:pPr>
              <w:rPr>
                <w:rFonts w:hint="default" w:ascii="Calibri" w:hAnsi="Calibri" w:cs="Times New Roman"/>
                <w:kern w:val="2"/>
                <w:sz w:val="21"/>
                <w:szCs w:val="22"/>
              </w:rPr>
            </w:pPr>
          </w:p>
        </w:tc>
        <w:tc>
          <w:tcPr>
            <w:tcW w:w="506"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DB35B">
            <w:pPr>
              <w:rPr>
                <w:rFonts w:hint="default" w:ascii="Calibri" w:hAnsi="Calibri" w:cs="Times New Roman"/>
                <w:kern w:val="2"/>
                <w:sz w:val="21"/>
                <w:szCs w:val="22"/>
              </w:rPr>
            </w:pPr>
          </w:p>
        </w:tc>
        <w:tc>
          <w:tcPr>
            <w:tcW w:w="911"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3262B015">
            <w:pPr>
              <w:widowControl/>
              <w:jc w:val="center"/>
              <w:rPr>
                <w:rFonts w:hint="eastAsia" w:ascii="宋体" w:hAnsi="宋体" w:eastAsia="宋体" w:cs="宋体"/>
                <w:kern w:val="2"/>
                <w:sz w:val="18"/>
                <w:szCs w:val="18"/>
                <w:lang w:val="en-US" w:eastAsia="zh-CN" w:bidi="ar"/>
              </w:rPr>
            </w:pPr>
            <w:r>
              <w:rPr>
                <w:rFonts w:hint="eastAsia" w:ascii="宋体" w:hAnsi="宋体" w:cs="宋体"/>
                <w:color w:val="000000"/>
                <w:kern w:val="0"/>
                <w:sz w:val="22"/>
              </w:rPr>
              <w:t>保温板</w:t>
            </w:r>
          </w:p>
        </w:tc>
        <w:tc>
          <w:tcPr>
            <w:tcW w:w="1176" w:type="dxa"/>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27A57058">
            <w:pPr>
              <w:widowControl/>
              <w:rPr>
                <w:rFonts w:hint="eastAsia" w:ascii="宋体" w:hAnsi="宋体" w:eastAsia="宋体" w:cs="宋体"/>
                <w:kern w:val="2"/>
                <w:sz w:val="18"/>
                <w:szCs w:val="18"/>
                <w:lang w:val="en-US" w:eastAsia="zh-CN" w:bidi="ar"/>
              </w:rPr>
            </w:pPr>
            <w:r>
              <w:rPr>
                <w:rFonts w:hint="eastAsia" w:ascii="宋体" w:hAnsi="宋体" w:cs="宋体"/>
                <w:color w:val="000000"/>
                <w:kern w:val="0"/>
                <w:sz w:val="22"/>
              </w:rPr>
              <w:t>保温层钻芯厚度（不含燃烧性能）</w:t>
            </w:r>
          </w:p>
        </w:tc>
        <w:tc>
          <w:tcPr>
            <w:tcW w:w="1175" w:type="dxa"/>
            <w:gridSpan w:val="2"/>
            <w:tcBorders>
              <w:top w:val="single" w:color="auto" w:sz="4" w:space="0"/>
              <w:left w:val="single" w:color="auto" w:sz="4" w:space="0"/>
              <w:bottom w:val="single" w:color="000000" w:sz="4" w:space="0"/>
              <w:right w:val="single" w:color="auto" w:sz="4" w:space="0"/>
            </w:tcBorders>
            <w:shd w:val="clear" w:color="auto" w:fill="FFFFFF"/>
            <w:noWrap w:val="0"/>
            <w:vAlign w:val="center"/>
          </w:tcPr>
          <w:p w14:paraId="153DF2B0">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组</w:t>
            </w:r>
          </w:p>
        </w:tc>
        <w:tc>
          <w:tcPr>
            <w:tcW w:w="1233" w:type="dxa"/>
            <w:gridSpan w:val="2"/>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0AD12F43">
            <w:pPr>
              <w:widowControl/>
              <w:jc w:val="center"/>
              <w:rPr>
                <w:rFonts w:hint="eastAsia" w:ascii="宋体" w:hAnsi="宋体" w:eastAsia="宋体" w:cs="宋体"/>
                <w:kern w:val="0"/>
                <w:sz w:val="18"/>
                <w:szCs w:val="18"/>
                <w:lang w:val="en-US"/>
              </w:rPr>
            </w:pPr>
            <w:r>
              <w:rPr>
                <w:rFonts w:hint="eastAsia" w:ascii="宋体" w:hAnsi="宋体" w:cs="宋体"/>
                <w:color w:val="000000"/>
                <w:kern w:val="0"/>
                <w:sz w:val="22"/>
                <w:lang w:val="en-US" w:eastAsia="zh-CN"/>
              </w:rPr>
              <w:t>50</w:t>
            </w:r>
          </w:p>
        </w:tc>
        <w:tc>
          <w:tcPr>
            <w:tcW w:w="973" w:type="dxa"/>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6456B25D">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rPr>
            </w:pPr>
          </w:p>
        </w:tc>
        <w:tc>
          <w:tcPr>
            <w:tcW w:w="909"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61553F6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p>
        </w:tc>
        <w:tc>
          <w:tcPr>
            <w:tcW w:w="998" w:type="dxa"/>
            <w:vMerge w:val="continue"/>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0965A8DB">
            <w:pPr>
              <w:rPr>
                <w:rFonts w:hint="default" w:ascii="Calibri" w:hAnsi="Calibri" w:cs="Times New Roman"/>
                <w:kern w:val="2"/>
                <w:sz w:val="21"/>
                <w:szCs w:val="22"/>
              </w:rPr>
            </w:pPr>
          </w:p>
        </w:tc>
      </w:tr>
      <w:tr w14:paraId="1692E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418" w:type="dxa"/>
            <w:tcBorders>
              <w:top w:val="nil"/>
              <w:left w:val="single" w:color="000000" w:sz="4" w:space="0"/>
              <w:bottom w:val="single" w:color="auto" w:sz="4" w:space="0"/>
              <w:right w:val="single" w:color="000000" w:sz="4" w:space="0"/>
            </w:tcBorders>
            <w:shd w:val="clear" w:color="auto" w:fill="FFFFFF"/>
            <w:noWrap w:val="0"/>
            <w:vAlign w:val="center"/>
          </w:tcPr>
          <w:p w14:paraId="11CB9D26">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lang w:val="en-US" w:bidi="ar"/>
              </w:rPr>
            </w:pPr>
            <w:r>
              <w:rPr>
                <w:rFonts w:hint="eastAsia" w:ascii="宋体" w:hAnsi="宋体" w:eastAsia="宋体" w:cs="宋体"/>
                <w:kern w:val="0"/>
                <w:sz w:val="18"/>
                <w:szCs w:val="18"/>
                <w:lang w:val="en-US" w:eastAsia="zh-CN" w:bidi="ar"/>
              </w:rPr>
              <w:t>2</w:t>
            </w:r>
          </w:p>
        </w:tc>
        <w:tc>
          <w:tcPr>
            <w:tcW w:w="506" w:type="dxa"/>
            <w:tcBorders>
              <w:top w:val="nil"/>
              <w:left w:val="single" w:color="000000" w:sz="4" w:space="0"/>
              <w:bottom w:val="single" w:color="auto" w:sz="4" w:space="0"/>
              <w:right w:val="single" w:color="000000" w:sz="4" w:space="0"/>
            </w:tcBorders>
            <w:shd w:val="clear" w:color="auto" w:fill="FFFFFF"/>
            <w:noWrap w:val="0"/>
            <w:vAlign w:val="center"/>
          </w:tcPr>
          <w:p w14:paraId="193A4975">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lang w:val="en-US" w:bidi="ar"/>
              </w:rPr>
            </w:pPr>
            <w:r>
              <w:rPr>
                <w:rFonts w:hint="eastAsia" w:ascii="宋体" w:hAnsi="宋体" w:eastAsia="宋体" w:cs="宋体"/>
                <w:kern w:val="0"/>
                <w:sz w:val="18"/>
                <w:szCs w:val="18"/>
                <w:lang w:val="en-US" w:eastAsia="zh-CN" w:bidi="ar"/>
              </w:rPr>
              <w:t>总价</w:t>
            </w:r>
          </w:p>
        </w:tc>
        <w:tc>
          <w:tcPr>
            <w:tcW w:w="6377" w:type="dxa"/>
            <w:gridSpan w:val="8"/>
            <w:tcBorders>
              <w:top w:val="nil"/>
              <w:left w:val="single" w:color="000000" w:sz="4" w:space="0"/>
              <w:bottom w:val="single" w:color="auto" w:sz="4" w:space="0"/>
              <w:right w:val="single" w:color="auto" w:sz="4" w:space="0"/>
            </w:tcBorders>
            <w:shd w:val="clear" w:color="auto" w:fill="FFFFFF"/>
            <w:noWrap w:val="0"/>
            <w:vAlign w:val="center"/>
          </w:tcPr>
          <w:p w14:paraId="1B9249A3">
            <w:pPr>
              <w:keepNext w:val="0"/>
              <w:keepLines w:val="0"/>
              <w:widowControl/>
              <w:suppressLineNumbers w:val="0"/>
              <w:spacing w:before="0" w:beforeAutospacing="0" w:after="0" w:afterAutospacing="0"/>
              <w:ind w:left="0" w:right="0"/>
              <w:jc w:val="right"/>
              <w:rPr>
                <w:rFonts w:hint="eastAsia" w:ascii="宋体" w:hAnsi="宋体" w:eastAsia="宋体" w:cs="宋体"/>
                <w:kern w:val="0"/>
                <w:sz w:val="18"/>
                <w:szCs w:val="18"/>
                <w:lang w:val="en-US" w:bidi="ar"/>
              </w:rPr>
            </w:pPr>
          </w:p>
        </w:tc>
        <w:tc>
          <w:tcPr>
            <w:tcW w:w="998" w:type="dxa"/>
            <w:tcBorders>
              <w:top w:val="nil"/>
              <w:left w:val="single" w:color="auto" w:sz="4" w:space="0"/>
              <w:bottom w:val="single" w:color="auto" w:sz="4" w:space="0"/>
              <w:right w:val="single" w:color="000000" w:sz="4" w:space="0"/>
            </w:tcBorders>
            <w:shd w:val="clear" w:color="auto" w:fill="FFFFFF"/>
            <w:noWrap w:val="0"/>
            <w:vAlign w:val="center"/>
          </w:tcPr>
          <w:p w14:paraId="010FD938">
            <w:pPr>
              <w:keepNext w:val="0"/>
              <w:keepLines w:val="0"/>
              <w:widowControl/>
              <w:suppressLineNumbers w:val="0"/>
              <w:spacing w:before="0" w:beforeAutospacing="0" w:after="0" w:afterAutospacing="0"/>
              <w:ind w:left="0" w:right="0"/>
              <w:jc w:val="right"/>
              <w:rPr>
                <w:rFonts w:hint="eastAsia" w:ascii="宋体" w:hAnsi="宋体" w:eastAsia="宋体" w:cs="宋体"/>
                <w:kern w:val="0"/>
                <w:sz w:val="18"/>
                <w:szCs w:val="18"/>
                <w:lang w:val="en-US" w:bidi="ar"/>
              </w:rPr>
            </w:pPr>
          </w:p>
        </w:tc>
      </w:tr>
      <w:tr w14:paraId="524E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8299" w:type="dxa"/>
            <w:gridSpan w:val="11"/>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3FF2BF94">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bidi="ar"/>
              </w:rPr>
            </w:pPr>
            <w:r>
              <w:rPr>
                <w:rFonts w:hint="eastAsia" w:ascii="宋体" w:hAnsi="宋体" w:eastAsia="宋体" w:cs="宋体"/>
                <w:kern w:val="0"/>
                <w:sz w:val="18"/>
                <w:szCs w:val="18"/>
                <w:lang w:val="en-US" w:eastAsia="zh-CN" w:bidi="ar"/>
              </w:rPr>
              <w:t>该项目设置最高限价：人民币</w:t>
            </w:r>
            <w:r>
              <w:rPr>
                <w:rFonts w:hint="eastAsia" w:ascii="宋体" w:hAnsi="宋体" w:eastAsia="宋体" w:cs="宋体"/>
                <w:kern w:val="0"/>
                <w:sz w:val="18"/>
                <w:szCs w:val="18"/>
                <w:u w:val="single"/>
                <w:lang w:val="en-US" w:eastAsia="zh-CN" w:bidi="ar"/>
              </w:rPr>
              <w:t xml:space="preserve">  </w:t>
            </w:r>
            <w:r>
              <w:rPr>
                <w:rFonts w:hint="eastAsia" w:ascii="宋体" w:hAnsi="宋体" w:cs="宋体"/>
                <w:kern w:val="0"/>
                <w:sz w:val="18"/>
                <w:szCs w:val="18"/>
                <w:u w:val="single"/>
                <w:lang w:val="en-US" w:eastAsia="zh-CN" w:bidi="ar"/>
              </w:rPr>
              <w:t>99.4</w:t>
            </w:r>
            <w:r>
              <w:rPr>
                <w:rFonts w:hint="eastAsia" w:ascii="宋体" w:hAnsi="宋体" w:eastAsia="宋体" w:cs="宋体"/>
                <w:kern w:val="0"/>
                <w:sz w:val="18"/>
                <w:szCs w:val="18"/>
                <w:lang w:val="en-US" w:eastAsia="zh-CN" w:bidi="ar"/>
              </w:rPr>
              <w:t>万元，其中建筑报价</w:t>
            </w:r>
            <w:r>
              <w:rPr>
                <w:rFonts w:hint="eastAsia" w:ascii="宋体" w:hAnsi="宋体" w:eastAsia="宋体" w:cs="宋体"/>
                <w:kern w:val="0"/>
                <w:sz w:val="18"/>
                <w:szCs w:val="18"/>
                <w:u w:val="single"/>
                <w:lang w:val="en-US" w:eastAsia="zh-CN" w:bidi="ar"/>
              </w:rPr>
              <w:t xml:space="preserve">           ；</w:t>
            </w:r>
            <w:r>
              <w:rPr>
                <w:rFonts w:hint="eastAsia" w:ascii="宋体" w:hAnsi="宋体" w:eastAsia="宋体" w:cs="宋体"/>
                <w:kern w:val="0"/>
                <w:sz w:val="18"/>
                <w:szCs w:val="18"/>
                <w:u w:val="none"/>
                <w:lang w:val="en-US" w:eastAsia="zh-CN" w:bidi="ar"/>
              </w:rPr>
              <w:t>安装检测报价</w:t>
            </w:r>
            <w:r>
              <w:rPr>
                <w:rFonts w:hint="eastAsia" w:ascii="宋体" w:hAnsi="宋体" w:eastAsia="宋体" w:cs="宋体"/>
                <w:kern w:val="0"/>
                <w:sz w:val="18"/>
                <w:szCs w:val="18"/>
                <w:u w:val="single"/>
                <w:lang w:val="en-US" w:eastAsia="zh-CN" w:bidi="ar"/>
              </w:rPr>
              <w:t xml:space="preserve">         ；</w:t>
            </w:r>
            <w:r>
              <w:rPr>
                <w:rFonts w:hint="eastAsia" w:ascii="宋体" w:hAnsi="宋体" w:eastAsia="宋体" w:cs="宋体"/>
                <w:kern w:val="0"/>
                <w:sz w:val="18"/>
                <w:szCs w:val="18"/>
                <w:u w:val="none"/>
                <w:lang w:val="en-US" w:eastAsia="zh-CN" w:bidi="ar"/>
              </w:rPr>
              <w:t>总价</w:t>
            </w:r>
            <w:r>
              <w:rPr>
                <w:rFonts w:hint="eastAsia" w:ascii="宋体" w:hAnsi="宋体" w:eastAsia="宋体" w:cs="宋体"/>
                <w:kern w:val="0"/>
                <w:sz w:val="18"/>
                <w:szCs w:val="18"/>
                <w:u w:val="single"/>
                <w:lang w:val="en-US" w:eastAsia="zh-CN" w:bidi="ar"/>
              </w:rPr>
              <w:t xml:space="preserve">            ；</w:t>
            </w:r>
            <w:r>
              <w:rPr>
                <w:rFonts w:hint="eastAsia" w:ascii="宋体" w:hAnsi="宋体" w:eastAsia="宋体" w:cs="宋体"/>
                <w:kern w:val="0"/>
                <w:sz w:val="18"/>
                <w:szCs w:val="18"/>
                <w:lang w:val="en-US" w:eastAsia="zh-CN" w:bidi="ar"/>
              </w:rPr>
              <w:t>所有单位报价不得超过最高限价，该最高限价的范围包括卖方为完成合同全部义务应承担的一切成本、费用和支出以及卖方的合理利润。（包括但不限于材料款、安装费、包装费、上车费、运费、卸货费、运输保险费材料到厂后卸货至买方指定地点）</w:t>
            </w:r>
          </w:p>
        </w:tc>
      </w:tr>
    </w:tbl>
    <w:p w14:paraId="1E755C1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18"/>
          <w:szCs w:val="18"/>
          <w:lang w:val="en-US" w:bidi="ar"/>
        </w:rPr>
      </w:pPr>
    </w:p>
    <w:p w14:paraId="3E8A20DE">
      <w:pPr>
        <w:keepNext w:val="0"/>
        <w:keepLines w:val="0"/>
        <w:widowControl w:val="0"/>
        <w:suppressLineNumbers w:val="0"/>
        <w:spacing w:before="0" w:beforeAutospacing="0" w:after="0" w:afterAutospacing="0" w:line="360" w:lineRule="auto"/>
        <w:ind w:left="0" w:right="0"/>
        <w:jc w:val="both"/>
        <w:rPr>
          <w:rFonts w:hint="eastAsia" w:ascii="仿宋_GB2312" w:hAnsi="仿宋_GB2312" w:eastAsia="仿宋_GB2312" w:cs="仿宋_GB2312"/>
          <w:sz w:val="24"/>
          <w:szCs w:val="24"/>
          <w:lang w:val="en-US" w:bidi="ar"/>
        </w:rPr>
      </w:pPr>
    </w:p>
    <w:p w14:paraId="24F244E2">
      <w:pPr>
        <w:keepNext w:val="0"/>
        <w:keepLines w:val="0"/>
        <w:widowControl w:val="0"/>
        <w:suppressLineNumbers w:val="0"/>
        <w:spacing w:before="0" w:beforeAutospacing="0" w:after="0" w:afterAutospacing="0" w:line="360" w:lineRule="auto"/>
        <w:ind w:left="0" w:right="0"/>
        <w:jc w:val="both"/>
        <w:rPr>
          <w:rFonts w:hint="eastAsia" w:ascii="仿宋_GB2312" w:hAnsi="仿宋_GB2312" w:eastAsia="仿宋_GB2312" w:cs="仿宋_GB2312"/>
          <w:sz w:val="24"/>
          <w:szCs w:val="20"/>
          <w:lang w:val="en-US"/>
        </w:rPr>
      </w:pPr>
      <w:r>
        <w:rPr>
          <w:rFonts w:hint="eastAsia" w:ascii="仿宋_GB2312" w:hAnsi="仿宋_GB2312" w:eastAsia="仿宋_GB2312" w:cs="仿宋_GB2312"/>
          <w:kern w:val="2"/>
          <w:sz w:val="24"/>
          <w:szCs w:val="24"/>
          <w:lang w:val="en-US" w:eastAsia="zh-CN" w:bidi="ar"/>
        </w:rPr>
        <w:t>其他说明：</w:t>
      </w:r>
    </w:p>
    <w:p w14:paraId="13483DCB">
      <w:pPr>
        <w:keepNext w:val="0"/>
        <w:keepLines w:val="0"/>
        <w:widowControl w:val="0"/>
        <w:suppressLineNumbers w:val="0"/>
        <w:spacing w:before="0" w:beforeAutospacing="0" w:after="0" w:afterAutospacing="0" w:line="360" w:lineRule="auto"/>
        <w:ind w:left="0" w:right="0" w:firstLine="480" w:firstLineChars="200"/>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eastAsia="zh-CN" w:bidi="ar"/>
        </w:rPr>
        <w:t>1.报价有效期：本项目报价有效期为90日历天。</w:t>
      </w:r>
    </w:p>
    <w:p w14:paraId="4939EB4A">
      <w:pPr>
        <w:keepNext w:val="0"/>
        <w:keepLines w:val="0"/>
        <w:widowControl w:val="0"/>
        <w:suppressLineNumbers w:val="0"/>
        <w:spacing w:before="0" w:beforeAutospacing="0" w:after="0" w:afterAutospacing="0" w:line="360" w:lineRule="auto"/>
        <w:ind w:left="0" w:right="0" w:firstLine="480" w:firstLineChars="200"/>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eastAsia="zh-CN" w:bidi="ar"/>
        </w:rPr>
        <w:t>2.报价文件按响应文件要求编制。报价人提交的报价文件由报价、资格审查资料和报价人所作的一切有效补充、修改和承诺书等文件组成。</w:t>
      </w:r>
    </w:p>
    <w:p w14:paraId="1EC0D0E4">
      <w:pPr>
        <w:keepNext w:val="0"/>
        <w:keepLines w:val="0"/>
        <w:widowControl w:val="0"/>
        <w:suppressLineNumbers w:val="0"/>
        <w:spacing w:before="0" w:beforeAutospacing="0" w:after="0" w:afterAutospacing="0" w:line="360" w:lineRule="auto"/>
        <w:ind w:left="0" w:right="0" w:firstLine="480" w:firstLineChars="200"/>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kern w:val="2"/>
          <w:sz w:val="24"/>
          <w:szCs w:val="24"/>
          <w:lang w:val="en-US" w:eastAsia="zh-CN" w:bidi="ar"/>
        </w:rPr>
        <w:t xml:space="preserve">3.我方完全响应贵司询比采购范围、项目期限、付款方式等。  </w:t>
      </w:r>
    </w:p>
    <w:p w14:paraId="2FBFD1A5">
      <w:pPr>
        <w:keepNext w:val="0"/>
        <w:keepLines w:val="0"/>
        <w:widowControl/>
        <w:suppressLineNumbers w:val="0"/>
        <w:spacing w:before="0" w:beforeAutospacing="0" w:after="0" w:afterAutospacing="0"/>
        <w:ind w:left="0" w:right="0" w:firstLine="3200" w:firstLineChars="1600"/>
        <w:jc w:val="left"/>
        <w:rPr>
          <w:rFonts w:hint="eastAsia" w:ascii="宋体" w:hAnsi="宋体" w:eastAsia="宋体" w:cs="宋体"/>
          <w:color w:val="000000"/>
          <w:kern w:val="0"/>
          <w:sz w:val="24"/>
          <w:szCs w:val="24"/>
          <w:lang w:val="en-US" w:bidi="ar"/>
        </w:rPr>
      </w:pPr>
      <w:r>
        <w:rPr>
          <w:rFonts w:hint="eastAsia" w:ascii="宋体" w:hAnsi="宋体" w:eastAsia="宋体" w:cs="宋体"/>
          <w:color w:val="000000"/>
          <w:kern w:val="0"/>
          <w:sz w:val="20"/>
          <w:szCs w:val="24"/>
          <w:u w:val="single"/>
          <w:lang w:val="en-US" w:eastAsia="zh-CN" w:bidi="ar"/>
        </w:rPr>
        <w:t xml:space="preserve">                  </w:t>
      </w:r>
      <w:r>
        <w:rPr>
          <w:rFonts w:hint="eastAsia" w:ascii="宋体" w:hAnsi="宋体" w:eastAsia="宋体" w:cs="宋体"/>
          <w:color w:val="000000"/>
          <w:kern w:val="0"/>
          <w:sz w:val="20"/>
          <w:szCs w:val="24"/>
          <w:lang w:val="en-US" w:eastAsia="zh-CN" w:bidi="ar"/>
        </w:rPr>
        <w:t xml:space="preserve">（单位公章） </w:t>
      </w:r>
    </w:p>
    <w:p w14:paraId="322EE29F">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0"/>
          <w:sz w:val="24"/>
          <w:szCs w:val="24"/>
          <w:lang w:val="en-US" w:bidi="ar"/>
        </w:rPr>
      </w:pPr>
    </w:p>
    <w:p w14:paraId="66F1AA14">
      <w:pPr>
        <w:keepNext w:val="0"/>
        <w:keepLines w:val="0"/>
        <w:widowControl/>
        <w:suppressLineNumbers w:val="0"/>
        <w:spacing w:before="0" w:beforeAutospacing="0" w:after="0" w:afterAutospacing="0"/>
        <w:ind w:left="0" w:right="0" w:firstLine="4000" w:firstLineChars="2000"/>
        <w:jc w:val="left"/>
        <w:rPr>
          <w:lang w:val="en-US"/>
        </w:rPr>
      </w:pPr>
      <w:r>
        <w:rPr>
          <w:rFonts w:hint="eastAsia" w:ascii="宋体" w:hAnsi="宋体" w:eastAsia="宋体" w:cs="宋体"/>
          <w:color w:val="000000"/>
          <w:kern w:val="0"/>
          <w:sz w:val="20"/>
          <w:szCs w:val="24"/>
          <w:lang w:val="en-US" w:eastAsia="zh-CN" w:bidi="ar"/>
        </w:rPr>
        <w:t>年   月   日</w:t>
      </w:r>
    </w:p>
    <w:p w14:paraId="065F7B2E">
      <w:pPr>
        <w:spacing w:line="360" w:lineRule="auto"/>
        <w:rPr>
          <w:rFonts w:hint="eastAsia" w:ascii="宋体" w:hAnsi="宋体"/>
          <w:sz w:val="24"/>
        </w:rPr>
      </w:pPr>
    </w:p>
    <w:p w14:paraId="27D366EE"/>
    <w:sectPr>
      <w:headerReference r:id="rId3"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A174A">
    <w:pPr>
      <w:pStyle w:val="4"/>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2CAC5F95"/>
    <w:multiLevelType w:val="singleLevel"/>
    <w:tmpl w:val="2CAC5F95"/>
    <w:lvl w:ilvl="0" w:tentative="0">
      <w:start w:val="4"/>
      <w:numFmt w:val="chineseCounting"/>
      <w:suff w:val="nothing"/>
      <w:lvlText w:val="%1、"/>
      <w:lvlJc w:val="left"/>
      <w:rPr>
        <w:rFonts w:hint="eastAsia"/>
        <w:lang w:val="en-US"/>
      </w:rPr>
    </w:lvl>
  </w:abstractNum>
  <w:abstractNum w:abstractNumId="3">
    <w:nsid w:val="62A2B154"/>
    <w:multiLevelType w:val="singleLevel"/>
    <w:tmpl w:val="62A2B154"/>
    <w:lvl w:ilvl="0" w:tentative="0">
      <w:start w:val="1"/>
      <w:numFmt w:val="decimal"/>
      <w:suff w:val="nothing"/>
      <w:lvlText w:val="（%1）"/>
      <w:lvlJc w:val="left"/>
    </w:lvl>
  </w:abstractNum>
  <w:abstractNum w:abstractNumId="4">
    <w:nsid w:val="78A17D2A"/>
    <w:multiLevelType w:val="singleLevel"/>
    <w:tmpl w:val="78A17D2A"/>
    <w:lvl w:ilvl="0" w:tentative="0">
      <w:start w:val="1"/>
      <w:numFmt w:val="chineseCounting"/>
      <w:suff w:val="nothing"/>
      <w:lvlText w:val="%1、"/>
      <w:lvlJc w:val="left"/>
      <w:rPr>
        <w:rFonts w:hint="eastAsia"/>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BF6C76"/>
    <w:rsid w:val="264779F7"/>
    <w:rsid w:val="35BF6C76"/>
    <w:rsid w:val="386C41A1"/>
    <w:rsid w:val="40AE0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9"/>
    <w:pPr>
      <w:keepNext/>
      <w:keepLines/>
      <w:widowControl/>
      <w:spacing w:before="100" w:beforeLines="100" w:after="100" w:afterLines="100" w:line="360" w:lineRule="auto"/>
      <w:jc w:val="left"/>
      <w:outlineLvl w:val="1"/>
    </w:pPr>
    <w:rPr>
      <w:rFonts w:ascii="Cambria" w:hAnsi="Cambria" w:eastAsia="宋体" w:cs="Times New Roman"/>
      <w:b/>
      <w:bCs/>
      <w:color w:val="000000"/>
      <w:sz w:val="26"/>
      <w:szCs w:val="2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afterAutospacing="0"/>
      <w:ind w:left="420" w:leftChars="200"/>
    </w:p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rPr>
      <w:sz w:val="24"/>
    </w:rPr>
  </w:style>
  <w:style w:type="paragraph" w:styleId="7">
    <w:name w:val="Body Text First Indent 2"/>
    <w:basedOn w:val="3"/>
    <w:qFormat/>
    <w:uiPriority w:val="0"/>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131</Words>
  <Characters>131</Characters>
  <Lines>0</Lines>
  <Paragraphs>0</Paragraphs>
  <TotalTime>56</TotalTime>
  <ScaleCrop>false</ScaleCrop>
  <LinksUpToDate>false</LinksUpToDate>
  <CharactersWithSpaces>253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2026-10-30T06:30:00Z</dcterms:created>
  <dc:creator>留不住的风</dc:creator>
  <cp:lastModifiedBy>杨栩</cp:lastModifiedBy>
  <dcterms:modified xsi:type="dcterms:W3CDTF">2026-11-02T01:03:28Z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12CA905388E8468FA41BD63A14CD04D3_13</vt:lpwstr>
  </property>
  <property fmtid="{D5CDD505-2E9C-101B-9397-08002B2CF9AE}" pid="4" name="KSOTemplateDocerSaveRecord">
    <vt:lpwstr>eyJoZGlkIjoiMjIzODU5ZGRkYTVkODQ4NTI2Nzc3N2I3NjAyMGUzMTQiLCJ1c2VySWQiOiI0NTQ4MDg0MDgifQ==</vt:lpwstr>
  </property>
</Properties>
</file>