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4EE4E">
      <w:pPr>
        <w:pStyle w:val="2"/>
        <w:rPr>
          <w:rFonts w:ascii="宋体" w:hAnsi="宋体" w:cs="宋体"/>
          <w:b w:val="0"/>
          <w:sz w:val="36"/>
          <w:szCs w:val="36"/>
        </w:rPr>
      </w:pPr>
      <w:bookmarkStart w:id="0" w:name="_Toc416703361"/>
      <w:bookmarkStart w:id="1" w:name="_Toc416702955"/>
      <w:bookmarkStart w:id="2" w:name="_Toc417896502"/>
      <w:bookmarkStart w:id="3" w:name="_Toc417895952"/>
      <w:bookmarkStart w:id="4" w:name="_Toc417896685"/>
      <w:r>
        <w:rPr>
          <w:rFonts w:hint="eastAsia" w:ascii="宋体" w:hAnsi="宋体" w:cs="宋体"/>
          <w:sz w:val="36"/>
          <w:szCs w:val="36"/>
        </w:rPr>
        <w:t>项目名称：F07B线生产高性能低介电电子纱项目改造工程</w:t>
      </w:r>
    </w:p>
    <w:p w14:paraId="7F55F78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i w:val="0"/>
          <w:caps w:val="0"/>
          <w:color w:val="333333"/>
          <w:spacing w:val="0"/>
          <w:sz w:val="16"/>
          <w:szCs w:val="16"/>
        </w:rPr>
      </w:pPr>
      <w:r>
        <w:rPr>
          <w:rFonts w:hint="eastAsia" w:ascii="宋体" w:hAnsi="宋体" w:cs="宋体"/>
          <w:b/>
          <w:sz w:val="36"/>
          <w:szCs w:val="36"/>
        </w:rPr>
        <w:t>采购编号：</w:t>
      </w:r>
      <w:r>
        <w:rPr>
          <w:rFonts w:hint="eastAsia" w:ascii="宋体" w:hAnsi="宋体" w:eastAsia="宋体" w:cs="宋体"/>
          <w:b/>
          <w:bCs/>
          <w:kern w:val="44"/>
          <w:sz w:val="36"/>
          <w:szCs w:val="36"/>
          <w:lang w:val="en-US" w:eastAsia="zh-CN" w:bidi="ar-SA"/>
        </w:rPr>
        <w:t>CPIC-GCXMCG-2026-079</w:t>
      </w:r>
    </w:p>
    <w:p w14:paraId="6D028ABA">
      <w:pPr>
        <w:ind w:left="1807" w:hanging="1807" w:hangingChars="500"/>
        <w:rPr>
          <w:rFonts w:ascii="宋体" w:hAnsi="宋体" w:cs="宋体"/>
          <w:b/>
          <w:sz w:val="36"/>
          <w:szCs w:val="36"/>
        </w:rPr>
      </w:pPr>
    </w:p>
    <w:bookmarkEnd w:id="0"/>
    <w:bookmarkEnd w:id="1"/>
    <w:bookmarkEnd w:id="2"/>
    <w:bookmarkEnd w:id="3"/>
    <w:bookmarkEnd w:id="4"/>
    <w:p w14:paraId="75CADD77">
      <w:pPr>
        <w:rPr>
          <w:rFonts w:ascii="宋体" w:hAnsi="宋体"/>
        </w:rPr>
      </w:pPr>
    </w:p>
    <w:p w14:paraId="40A48980">
      <w:pPr>
        <w:spacing w:line="360" w:lineRule="auto"/>
        <w:jc w:val="center"/>
        <w:rPr>
          <w:rFonts w:ascii="宋体" w:hAnsi="宋体"/>
          <w:b/>
          <w:bCs/>
          <w:sz w:val="128"/>
          <w:szCs w:val="128"/>
        </w:rPr>
      </w:pPr>
    </w:p>
    <w:p w14:paraId="617515BE">
      <w:pPr>
        <w:spacing w:line="360" w:lineRule="auto"/>
        <w:jc w:val="center"/>
        <w:rPr>
          <w:rFonts w:ascii="宋体" w:hAnsi="宋体"/>
          <w:b/>
          <w:bCs/>
          <w:szCs w:val="21"/>
        </w:rPr>
      </w:pPr>
      <w:r>
        <w:rPr>
          <w:rFonts w:hint="eastAsia" w:ascii="宋体" w:hAnsi="宋体"/>
          <w:b/>
          <w:bCs/>
          <w:sz w:val="96"/>
          <w:szCs w:val="120"/>
        </w:rPr>
        <w:t>竞争性谈判文件</w:t>
      </w:r>
    </w:p>
    <w:p w14:paraId="54D40297">
      <w:pPr>
        <w:rPr>
          <w:rFonts w:ascii="宋体" w:hAnsi="宋体"/>
          <w:b/>
          <w:bCs/>
          <w:szCs w:val="21"/>
        </w:rPr>
      </w:pPr>
    </w:p>
    <w:p w14:paraId="6D8D2E94">
      <w:pPr>
        <w:autoSpaceDE w:val="0"/>
        <w:autoSpaceDN w:val="0"/>
        <w:adjustRightInd w:val="0"/>
        <w:snapToGrid w:val="0"/>
        <w:spacing w:line="360" w:lineRule="auto"/>
        <w:jc w:val="left"/>
        <w:rPr>
          <w:rFonts w:ascii="宋体" w:hAnsi="宋体" w:cs="宋体"/>
          <w:b/>
          <w:bCs/>
          <w:sz w:val="36"/>
          <w:szCs w:val="36"/>
        </w:rPr>
      </w:pPr>
      <w:bookmarkStart w:id="5" w:name="_Toc230773922"/>
    </w:p>
    <w:p w14:paraId="1D9DC252">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重庆天泽新材料有限公司</w:t>
      </w:r>
    </w:p>
    <w:p w14:paraId="0F00DC0F">
      <w:pPr>
        <w:autoSpaceDE w:val="0"/>
        <w:autoSpaceDN w:val="0"/>
        <w:adjustRightInd w:val="0"/>
        <w:snapToGrid w:val="0"/>
        <w:spacing w:line="360" w:lineRule="auto"/>
        <w:jc w:val="center"/>
        <w:rPr>
          <w:rFonts w:ascii="宋体" w:hAnsi="宋体" w:cs="宋体"/>
          <w:kern w:val="0"/>
          <w:sz w:val="20"/>
          <w:szCs w:val="20"/>
        </w:rPr>
      </w:pPr>
    </w:p>
    <w:p w14:paraId="59ADBF96">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rPr>
      </w:pPr>
      <w:r>
        <w:rPr>
          <w:rFonts w:hint="eastAsia" w:ascii="宋体" w:hAnsi="宋体" w:cs="宋体"/>
          <w:b/>
          <w:w w:val="95"/>
          <w:kern w:val="0"/>
          <w:sz w:val="32"/>
          <w:szCs w:val="32"/>
        </w:rPr>
        <w:t xml:space="preserve">  二○二六年　　月</w:t>
      </w:r>
    </w:p>
    <w:p w14:paraId="77AA408D"/>
    <w:p w14:paraId="19CFD157"/>
    <w:p w14:paraId="26AB5052"/>
    <w:p w14:paraId="413D7358">
      <w:pPr>
        <w:ind w:firstLine="2560" w:firstLineChars="800"/>
        <w:rPr>
          <w:sz w:val="32"/>
          <w:szCs w:val="32"/>
        </w:rPr>
      </w:pPr>
    </w:p>
    <w:p w14:paraId="64B8937A">
      <w:pPr>
        <w:tabs>
          <w:tab w:val="left" w:pos="3200"/>
          <w:tab w:val="left" w:pos="4320"/>
          <w:tab w:val="left" w:pos="5420"/>
        </w:tabs>
        <w:autoSpaceDE w:val="0"/>
        <w:autoSpaceDN w:val="0"/>
        <w:adjustRightInd w:val="0"/>
        <w:snapToGrid w:val="0"/>
        <w:spacing w:line="360" w:lineRule="auto"/>
        <w:ind w:firstLine="812"/>
        <w:jc w:val="center"/>
        <w:rPr>
          <w:rFonts w:ascii="宋体" w:hAnsi="宋体" w:cs="宋体"/>
          <w:b/>
          <w:w w:val="95"/>
          <w:kern w:val="0"/>
          <w:sz w:val="32"/>
          <w:szCs w:val="32"/>
        </w:rPr>
      </w:pPr>
      <w:r>
        <w:rPr>
          <w:rFonts w:hint="eastAsia" w:ascii="宋体" w:hAnsi="宋体" w:cs="宋体"/>
          <w:b/>
          <w:w w:val="95"/>
          <w:kern w:val="0"/>
          <w:sz w:val="32"/>
          <w:szCs w:val="32"/>
        </w:rPr>
        <w:t>技术及技术评分编写</w:t>
      </w:r>
    </w:p>
    <w:p w14:paraId="78C74571">
      <w:pPr>
        <w:tabs>
          <w:tab w:val="left" w:pos="3200"/>
          <w:tab w:val="left" w:pos="4320"/>
          <w:tab w:val="left" w:pos="5420"/>
        </w:tabs>
        <w:autoSpaceDE w:val="0"/>
        <w:autoSpaceDN w:val="0"/>
        <w:adjustRightInd w:val="0"/>
        <w:snapToGrid w:val="0"/>
        <w:spacing w:line="360" w:lineRule="auto"/>
        <w:ind w:firstLine="812"/>
        <w:jc w:val="center"/>
        <w:rPr>
          <w:rFonts w:ascii="宋体" w:hAnsi="宋体" w:cs="宋体"/>
          <w:b/>
          <w:w w:val="95"/>
          <w:kern w:val="0"/>
          <w:sz w:val="32"/>
          <w:szCs w:val="32"/>
        </w:rPr>
      </w:pPr>
    </w:p>
    <w:p w14:paraId="06E52780">
      <w:pPr>
        <w:pStyle w:val="16"/>
        <w:tabs>
          <w:tab w:val="right" w:leader="dot" w:pos="8609"/>
        </w:tabs>
        <w:ind w:left="0" w:firstLine="954"/>
        <w:rPr>
          <w:rFonts w:ascii="宋体" w:hAnsi="宋体" w:cs="宋体"/>
          <w:sz w:val="32"/>
          <w:szCs w:val="32"/>
          <w:u w:val="single"/>
        </w:rPr>
      </w:pPr>
      <w:r>
        <w:rPr>
          <w:rFonts w:hint="eastAsia" w:ascii="宋体" w:hAnsi="宋体" w:eastAsia="宋体" w:cs="宋体"/>
          <w:sz w:val="32"/>
          <w:szCs w:val="32"/>
        </w:rPr>
        <w:t>编制：</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审核：</w:t>
      </w:r>
      <w:r>
        <w:rPr>
          <w:rFonts w:hint="eastAsia" w:ascii="宋体" w:hAnsi="宋体" w:eastAsia="宋体" w:cs="宋体"/>
          <w:sz w:val="32"/>
          <w:szCs w:val="32"/>
          <w:u w:val="single"/>
        </w:rPr>
        <w:t xml:space="preserve">                </w:t>
      </w:r>
    </w:p>
    <w:p w14:paraId="39FF56FC">
      <w:pPr>
        <w:pStyle w:val="61"/>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611982C5">
      <w:pPr>
        <w:pStyle w:val="15"/>
        <w:numPr>
          <w:ilvl w:val="0"/>
          <w:numId w:val="2"/>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44FDBC8C">
      <w:pPr>
        <w:pStyle w:val="15"/>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66809AE6">
      <w:pPr>
        <w:spacing w:line="520" w:lineRule="exact"/>
        <w:rPr>
          <w:rFonts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722CB161">
      <w:pPr>
        <w:spacing w:line="520" w:lineRule="exact"/>
        <w:rPr>
          <w:rFonts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3FAAA3F1">
      <w:pPr>
        <w:rPr>
          <w:rFonts w:ascii="宋体" w:hAnsi="宋体"/>
          <w:b/>
          <w:sz w:val="28"/>
          <w:szCs w:val="28"/>
        </w:rPr>
      </w:pPr>
    </w:p>
    <w:p w14:paraId="53904BEB">
      <w:pPr>
        <w:rPr>
          <w:rFonts w:ascii="宋体" w:hAnsi="宋体"/>
          <w:b/>
          <w:sz w:val="28"/>
          <w:szCs w:val="28"/>
        </w:rPr>
      </w:pPr>
    </w:p>
    <w:p w14:paraId="58DE482E">
      <w:pPr>
        <w:widowControl/>
        <w:jc w:val="left"/>
        <w:rPr>
          <w:rFonts w:ascii="宋体" w:hAnsi="宋体"/>
          <w:b/>
          <w:sz w:val="28"/>
          <w:szCs w:val="28"/>
        </w:rPr>
      </w:pPr>
      <w:r>
        <w:rPr>
          <w:rFonts w:ascii="宋体" w:hAnsi="宋体"/>
          <w:b/>
          <w:sz w:val="28"/>
          <w:szCs w:val="28"/>
        </w:rPr>
        <w:br w:type="page"/>
      </w:r>
    </w:p>
    <w:bookmarkEnd w:id="5"/>
    <w:p w14:paraId="114C0C27">
      <w:pPr>
        <w:pStyle w:val="2"/>
        <w:spacing w:before="240" w:beforeLines="100" w:after="360" w:afterLines="150" w:line="276" w:lineRule="auto"/>
        <w:jc w:val="center"/>
        <w:rPr>
          <w:rFonts w:ascii="宋体" w:hAnsi="宋体"/>
          <w:b w:val="0"/>
        </w:rPr>
      </w:pPr>
      <w:r>
        <w:rPr>
          <w:rFonts w:ascii="宋体" w:hAnsi="宋体"/>
        </w:rPr>
        <w:t xml:space="preserve">第一章 </w:t>
      </w:r>
      <w:bookmarkStart w:id="580" w:name="_GoBack"/>
      <w:r>
        <w:rPr>
          <w:rFonts w:hint="eastAsia" w:ascii="宋体" w:hAnsi="宋体"/>
        </w:rPr>
        <w:t>竞争性谈判公告</w:t>
      </w:r>
    </w:p>
    <w:p w14:paraId="65186724">
      <w:pPr>
        <w:jc w:val="center"/>
        <w:rPr>
          <w:rFonts w:ascii="宋体" w:hAnsi="宋体"/>
          <w:color w:val="000000"/>
          <w:sz w:val="32"/>
          <w:szCs w:val="32"/>
        </w:rPr>
      </w:pPr>
      <w:bookmarkStart w:id="6" w:name="OLE_LINK1"/>
      <w:bookmarkStart w:id="7" w:name="OLE_LINK7"/>
      <w:bookmarkStart w:id="8" w:name="_Toc415675120"/>
      <w:bookmarkStart w:id="9" w:name="OLE_LINK4"/>
      <w:bookmarkStart w:id="10" w:name="_Toc415675642"/>
      <w:bookmarkStart w:id="11" w:name="_Toc440556695"/>
      <w:r>
        <w:rPr>
          <w:rFonts w:hint="eastAsia" w:ascii="宋体" w:hAnsi="宋体" w:cs="宋体"/>
          <w:b/>
          <w:sz w:val="32"/>
          <w:szCs w:val="32"/>
          <w:u w:val="single"/>
        </w:rPr>
        <w:t>F07B线生产高性能低介电电子纱项目改造工程</w:t>
      </w:r>
      <w:r>
        <w:rPr>
          <w:rFonts w:hint="eastAsia" w:ascii="宋体" w:hAnsi="宋体" w:cs="宋体"/>
          <w:b/>
          <w:sz w:val="32"/>
          <w:szCs w:val="32"/>
        </w:rPr>
        <w:t>采购</w:t>
      </w:r>
    </w:p>
    <w:p w14:paraId="43464FA3">
      <w:pPr>
        <w:spacing w:line="360" w:lineRule="auto"/>
        <w:jc w:val="left"/>
        <w:outlineLvl w:val="0"/>
        <w:rPr>
          <w:rFonts w:ascii="宋体" w:hAnsi="宋体"/>
          <w:b/>
          <w:snapToGrid w:val="0"/>
          <w:kern w:val="0"/>
          <w:sz w:val="28"/>
          <w:szCs w:val="28"/>
        </w:rPr>
      </w:pPr>
      <w:bookmarkStart w:id="12" w:name="_Toc30279"/>
      <w:bookmarkStart w:id="13" w:name="_Toc16466"/>
      <w:bookmarkStart w:id="14" w:name="_Toc4962"/>
      <w:bookmarkStart w:id="15" w:name="_Toc29382"/>
      <w:bookmarkStart w:id="16" w:name="_Toc10497"/>
      <w:bookmarkStart w:id="17" w:name="_Toc14729"/>
      <w:bookmarkStart w:id="18" w:name="_Toc844"/>
      <w:bookmarkStart w:id="19" w:name="_Toc27508"/>
      <w:bookmarkStart w:id="20" w:name="_Toc26356"/>
      <w:bookmarkStart w:id="21" w:name="_Toc5554"/>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3CCE836F">
      <w:pPr>
        <w:spacing w:line="360" w:lineRule="auto"/>
        <w:ind w:firstLine="413" w:firstLineChars="197"/>
        <w:jc w:val="left"/>
        <w:outlineLvl w:val="0"/>
        <w:rPr>
          <w:rFonts w:ascii="宋体" w:hAnsi="宋体"/>
          <w:b/>
          <w:snapToGrid w:val="0"/>
          <w:kern w:val="0"/>
          <w:szCs w:val="21"/>
        </w:rPr>
      </w:pPr>
      <w:r>
        <w:rPr>
          <w:rFonts w:hint="eastAsia" w:ascii="宋体" w:hAnsi="宋体" w:cs="宋体"/>
          <w:kern w:val="0"/>
          <w:szCs w:val="21"/>
        </w:rPr>
        <w:t>本竞争性谈判项目为重庆天泽新材料有限公司“</w:t>
      </w:r>
      <w:r>
        <w:rPr>
          <w:rFonts w:hint="eastAsia" w:ascii="宋体" w:hAnsi="宋体" w:cs="宋体"/>
          <w:bCs/>
          <w:szCs w:val="21"/>
          <w:u w:val="single"/>
        </w:rPr>
        <w:t>F07B线生产高性能低介电电子纱项目改造工程</w:t>
      </w:r>
      <w:r>
        <w:rPr>
          <w:rFonts w:hint="eastAsia" w:ascii="宋体" w:hAnsi="宋体" w:cs="宋体"/>
          <w:kern w:val="0"/>
          <w:szCs w:val="21"/>
        </w:rPr>
        <w:t>”，采购人为重庆天泽新材料有限公司，资金来源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；本项目已具备竞争性谈判条件，现对重庆天泽新材料有限公司</w:t>
      </w:r>
      <w:r>
        <w:rPr>
          <w:rFonts w:hint="eastAsia" w:ascii="宋体" w:hAnsi="宋体" w:cs="宋体"/>
          <w:bCs/>
          <w:szCs w:val="21"/>
          <w:u w:val="single"/>
        </w:rPr>
        <w:t>F07B线生产高性能低介电电子纱项目改造工程</w:t>
      </w:r>
      <w:r>
        <w:rPr>
          <w:rFonts w:hint="eastAsia" w:ascii="宋体" w:hAnsi="宋体" w:cs="宋体"/>
          <w:kern w:val="0"/>
          <w:szCs w:val="21"/>
        </w:rPr>
        <w:t>进行公开竞争性谈判，特邀有兴趣的潜在单位参与竞争性谈判。</w:t>
      </w:r>
    </w:p>
    <w:p w14:paraId="3A9C9CE8">
      <w:pPr>
        <w:spacing w:line="440" w:lineRule="exact"/>
        <w:jc w:val="left"/>
        <w:outlineLvl w:val="0"/>
        <w:rPr>
          <w:rFonts w:ascii="宋体" w:hAnsi="宋体"/>
          <w:b/>
          <w:snapToGrid w:val="0"/>
          <w:kern w:val="0"/>
          <w:szCs w:val="21"/>
        </w:rPr>
      </w:pPr>
      <w:bookmarkStart w:id="22" w:name="_Toc17916"/>
      <w:bookmarkStart w:id="23" w:name="_Toc19590"/>
      <w:bookmarkStart w:id="24" w:name="_Toc6552"/>
      <w:bookmarkStart w:id="25" w:name="_Toc8077"/>
      <w:bookmarkStart w:id="26" w:name="_Toc20027"/>
      <w:bookmarkStart w:id="27" w:name="_Toc16188"/>
      <w:bookmarkStart w:id="28" w:name="_Toc24224"/>
      <w:bookmarkStart w:id="29" w:name="_Toc31685"/>
      <w:bookmarkStart w:id="30" w:name="_Toc29348"/>
      <w:bookmarkStart w:id="31" w:name="_Toc18911"/>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347B484B">
      <w:pPr>
        <w:widowControl/>
        <w:tabs>
          <w:tab w:val="left" w:pos="8208"/>
          <w:tab w:val="left" w:pos="9072"/>
        </w:tabs>
        <w:suppressAutoHyphens/>
        <w:spacing w:line="440" w:lineRule="exact"/>
        <w:rPr>
          <w:rFonts w:ascii="宋体" w:hAnsi="宋体" w:cs="宋体"/>
          <w:bCs/>
          <w:kern w:val="0"/>
          <w:szCs w:val="21"/>
          <w:u w:val="single"/>
        </w:rPr>
      </w:pPr>
      <w:r>
        <w:rPr>
          <w:rFonts w:hint="eastAsia" w:ascii="宋体" w:hAnsi="宋体" w:cs="宋体"/>
          <w:kern w:val="0"/>
          <w:szCs w:val="21"/>
        </w:rPr>
        <w:t>2.1 项目名称：</w:t>
      </w:r>
      <w:r>
        <w:rPr>
          <w:rFonts w:hint="eastAsia" w:ascii="宋体" w:hAnsi="宋体" w:cs="宋体"/>
          <w:bCs/>
          <w:szCs w:val="21"/>
          <w:u w:val="single"/>
        </w:rPr>
        <w:t>F07B线生产高性能低介电电子纱项目改造工程</w:t>
      </w:r>
    </w:p>
    <w:p w14:paraId="75B637F1">
      <w:pPr>
        <w:topLinePunct/>
        <w:adjustRightInd w:val="0"/>
        <w:snapToGrid w:val="0"/>
        <w:spacing w:line="440" w:lineRule="exact"/>
        <w:rPr>
          <w:rFonts w:ascii="宋体" w:hAnsi="宋体"/>
          <w:color w:val="000000"/>
          <w:szCs w:val="21"/>
        </w:rPr>
      </w:pPr>
      <w:r>
        <w:rPr>
          <w:rFonts w:hint="eastAsia" w:ascii="宋体" w:hAnsi="宋体"/>
          <w:color w:val="000000"/>
          <w:szCs w:val="21"/>
        </w:rPr>
        <w:t>2.2 竞争性谈判范围：</w:t>
      </w:r>
      <w:r>
        <w:rPr>
          <w:rFonts w:hint="eastAsia" w:ascii="宋体" w:hAnsi="宋体" w:cs="宋体"/>
          <w:kern w:val="0"/>
          <w:szCs w:val="21"/>
          <w:u w:val="single"/>
        </w:rPr>
        <w:t>包含但不限于拆除F07线A6及B5拉丝通路耐火材料支撑钢结构、附属燃烧系统、电器设备和电缆、漏板变压器及周边钢平台，安装钢平台、电气、管道等工程，</w:t>
      </w:r>
      <w:r>
        <w:rPr>
          <w:rFonts w:hint="eastAsia" w:ascii="宋体" w:hAnsi="宋体" w:cs="宋体"/>
          <w:b/>
          <w:bCs/>
          <w:kern w:val="0"/>
          <w:szCs w:val="21"/>
          <w:u w:val="single"/>
        </w:rPr>
        <w:t>具体工程量需现场探勘</w:t>
      </w:r>
      <w:r>
        <w:rPr>
          <w:rFonts w:hint="eastAsia" w:ascii="宋体" w:hAnsi="宋体" w:cs="宋体"/>
          <w:kern w:val="0"/>
          <w:szCs w:val="21"/>
          <w:u w:val="single"/>
        </w:rPr>
        <w:t>。</w:t>
      </w:r>
    </w:p>
    <w:p w14:paraId="0E1BA714">
      <w:pPr>
        <w:topLinePunct/>
        <w:adjustRightInd w:val="0"/>
        <w:snapToGrid w:val="0"/>
        <w:spacing w:line="440" w:lineRule="exact"/>
        <w:rPr>
          <w:rFonts w:ascii="宋体" w:hAnsi="宋体"/>
          <w:szCs w:val="21"/>
          <w:highlight w:val="yellow"/>
        </w:rPr>
      </w:pPr>
      <w:r>
        <w:rPr>
          <w:rFonts w:hint="eastAsia" w:ascii="宋体" w:hAnsi="宋体"/>
          <w:szCs w:val="21"/>
        </w:rPr>
        <w:t>2.3 服务/施工时间：</w:t>
      </w:r>
      <w:r>
        <w:rPr>
          <w:rFonts w:hint="eastAsia" w:ascii="宋体" w:hAnsi="宋体" w:cs="宋体"/>
          <w:kern w:val="0"/>
          <w:szCs w:val="21"/>
          <w:u w:val="single"/>
        </w:rPr>
        <w:t>拆除钢结构、燃烧系统7天，安装15天，清理现场3天，总工期要求25天内完成。</w:t>
      </w:r>
    </w:p>
    <w:p w14:paraId="34899C58">
      <w:pPr>
        <w:topLinePunct/>
        <w:adjustRightInd w:val="0"/>
        <w:snapToGrid w:val="0"/>
        <w:spacing w:line="440" w:lineRule="exact"/>
        <w:rPr>
          <w:rFonts w:ascii="宋体" w:hAnsi="宋体"/>
          <w:szCs w:val="21"/>
        </w:rPr>
      </w:pPr>
      <w:r>
        <w:rPr>
          <w:rFonts w:hint="eastAsia" w:ascii="宋体" w:hAnsi="宋体"/>
          <w:szCs w:val="21"/>
        </w:rPr>
        <w:t>2.服务/施工地点：重庆天泽新材料有限公司。</w:t>
      </w:r>
    </w:p>
    <w:p w14:paraId="540DF8F4">
      <w:pPr>
        <w:topLinePunct/>
        <w:adjustRightInd w:val="0"/>
        <w:snapToGrid w:val="0"/>
        <w:spacing w:line="440" w:lineRule="exact"/>
        <w:rPr>
          <w:rFonts w:ascii="宋体" w:hAnsi="宋体" w:cs="宋体"/>
          <w:kern w:val="0"/>
          <w:szCs w:val="21"/>
        </w:rPr>
      </w:pPr>
      <w:r>
        <w:rPr>
          <w:rFonts w:hint="eastAsia" w:ascii="宋体" w:hAnsi="宋体"/>
          <w:szCs w:val="21"/>
        </w:rPr>
        <w:t xml:space="preserve">2.5 </w:t>
      </w:r>
      <w:r>
        <w:rPr>
          <w:rFonts w:hint="eastAsia" w:ascii="宋体" w:hAnsi="宋体" w:cs="宋体"/>
          <w:kern w:val="0"/>
          <w:szCs w:val="21"/>
        </w:rPr>
        <w:t>1、报价方式：</w:t>
      </w:r>
      <w:r>
        <w:rPr>
          <w:rFonts w:hint="eastAsia" w:ascii="宋体" w:hAnsi="宋体" w:cs="宋体"/>
          <w:kern w:val="0"/>
          <w:szCs w:val="21"/>
          <w:u w:val="single"/>
        </w:rPr>
        <w:t>本项目采用税前下浮费率方式报价</w:t>
      </w:r>
      <w:r>
        <w:rPr>
          <w:rFonts w:hint="eastAsia" w:ascii="宋体" w:hAnsi="宋体" w:cs="宋体"/>
          <w:kern w:val="0"/>
          <w:szCs w:val="21"/>
        </w:rPr>
        <w:t>。</w:t>
      </w:r>
    </w:p>
    <w:p w14:paraId="5DCB18E9">
      <w:pPr>
        <w:topLinePunct/>
        <w:adjustRightInd w:val="0"/>
        <w:snapToGrid w:val="0"/>
        <w:spacing w:line="440" w:lineRule="exact"/>
        <w:rPr>
          <w:rFonts w:ascii="宋体" w:hAnsi="宋体" w:cs="宋体"/>
          <w:kern w:val="0"/>
          <w:szCs w:val="21"/>
        </w:rPr>
      </w:pPr>
      <w:r>
        <w:rPr>
          <w:rFonts w:hint="eastAsia" w:ascii="宋体" w:hAnsi="宋体" w:cs="宋体"/>
          <w:kern w:val="0"/>
          <w:szCs w:val="21"/>
        </w:rPr>
        <w:t>2、结算方式：</w:t>
      </w:r>
    </w:p>
    <w:p w14:paraId="6A537A2F">
      <w:pPr>
        <w:topLinePunct/>
        <w:adjustRightInd w:val="0"/>
        <w:snapToGrid w:val="0"/>
        <w:spacing w:line="440" w:lineRule="exact"/>
        <w:rPr>
          <w:rFonts w:ascii="宋体" w:hAnsi="宋体" w:cs="宋体"/>
          <w:kern w:val="0"/>
          <w:szCs w:val="21"/>
        </w:rPr>
      </w:pPr>
      <w:r>
        <w:rPr>
          <w:rFonts w:hint="eastAsia" w:ascii="宋体" w:hAnsi="宋体" w:cs="宋体"/>
          <w:kern w:val="0"/>
          <w:szCs w:val="21"/>
        </w:rPr>
        <w:t>2.1、本工程采用定额计价方式办理结算，《重庆市建设工程工程量计算规则》（CQJLGZ-2013）、《重庆市房屋建筑与装饰工程计价定额》（CQJZZSDE-2018）、《重庆市通用安装工程计价定额》（CQAZDE-2018）、《重庆市市政工程计价定额》（CQSZDE-2018）、《重庆市房屋修缮工程计价定额》（CQXSDE-2018）、《重庆市绿色建筑工程计价定额》（CQLSJZDE-2018）、《重庆市建设工程费用定额》（CQFYDE-2018）及相关配套文件执行。人工费调整按长寿区分别执行“重庆市工程造价信息”发布的2025年长寿区第四季度人工信息价格，材料价格按合同签订时期“重庆市工程造价信息”发布的长寿区（以项目工程所在地为准）的材料信息价调整，如长寿区无信息价的以按主城区执行，信息价缺项时由发包人结合市场价格进行批复确认，零星机械台班、材料和经审批的特殊施工方案中明确的机械台班、材料按采购人核价执行。</w:t>
      </w:r>
    </w:p>
    <w:p w14:paraId="6054385A">
      <w:pPr>
        <w:topLinePunct/>
        <w:adjustRightInd w:val="0"/>
        <w:snapToGrid w:val="0"/>
        <w:spacing w:line="440" w:lineRule="exact"/>
        <w:rPr>
          <w:rFonts w:ascii="宋体" w:hAnsi="宋体" w:cs="宋体"/>
          <w:kern w:val="0"/>
          <w:szCs w:val="21"/>
        </w:rPr>
      </w:pPr>
      <w:r>
        <w:rPr>
          <w:rFonts w:hint="eastAsia" w:ascii="宋体" w:hAnsi="宋体" w:cs="宋体"/>
          <w:kern w:val="0"/>
          <w:szCs w:val="21"/>
        </w:rPr>
        <w:t>2.2、本工程采取结算税前下浮形式（其中安全文明施工费、规费、采购人认质核价材料费、按实计算费用不参与下浮）。</w:t>
      </w:r>
    </w:p>
    <w:p w14:paraId="4F619722">
      <w:pPr>
        <w:topLinePunct/>
        <w:adjustRightInd w:val="0"/>
        <w:snapToGrid w:val="0"/>
        <w:spacing w:line="440" w:lineRule="exact"/>
        <w:rPr>
          <w:rFonts w:ascii="宋体" w:hAnsi="宋体" w:cs="宋体"/>
          <w:kern w:val="0"/>
          <w:szCs w:val="21"/>
        </w:rPr>
      </w:pPr>
      <w:r>
        <w:rPr>
          <w:rFonts w:hint="eastAsia" w:ascii="宋体" w:hAnsi="宋体" w:cs="宋体"/>
          <w:kern w:val="0"/>
          <w:szCs w:val="21"/>
        </w:rPr>
        <w:t xml:space="preserve">2.3、本工程采用一般计税模式，增值税税率为9%。 </w:t>
      </w:r>
    </w:p>
    <w:p w14:paraId="0E642665">
      <w:pPr>
        <w:topLinePunct/>
        <w:adjustRightInd w:val="0"/>
        <w:snapToGrid w:val="0"/>
        <w:spacing w:line="440" w:lineRule="exact"/>
        <w:rPr>
          <w:rFonts w:ascii="宋体" w:hAnsi="宋体" w:cs="宋体"/>
          <w:b/>
          <w:bCs/>
          <w:kern w:val="0"/>
          <w:szCs w:val="21"/>
        </w:rPr>
      </w:pPr>
      <w:r>
        <w:rPr>
          <w:rFonts w:hint="eastAsia" w:ascii="宋体" w:hAnsi="宋体" w:cs="宋体"/>
          <w:kern w:val="0"/>
          <w:szCs w:val="21"/>
        </w:rPr>
        <w:t>3、</w:t>
      </w:r>
      <w:r>
        <w:rPr>
          <w:rFonts w:hint="eastAsia" w:ascii="宋体" w:hAnsi="宋体" w:cs="宋体"/>
          <w:b/>
          <w:bCs/>
          <w:kern w:val="0"/>
          <w:szCs w:val="21"/>
        </w:rPr>
        <w:t>本工程下浮费率需大于等于0%，报价小于0%的为无效报价，其报价文件作否决投标处理。</w:t>
      </w:r>
    </w:p>
    <w:p w14:paraId="59613D46">
      <w:pPr>
        <w:topLinePunct/>
        <w:adjustRightInd w:val="0"/>
        <w:snapToGrid w:val="0"/>
        <w:spacing w:line="440" w:lineRule="exact"/>
        <w:rPr>
          <w:rFonts w:ascii="宋体" w:hAnsi="宋体" w:cs="宋体"/>
          <w:kern w:val="0"/>
          <w:szCs w:val="21"/>
        </w:rPr>
      </w:pPr>
      <w:r>
        <w:rPr>
          <w:rFonts w:hint="eastAsia" w:ascii="宋体" w:hAnsi="宋体" w:cs="宋体"/>
          <w:kern w:val="0"/>
          <w:szCs w:val="21"/>
        </w:rPr>
        <w:t>4、安全风险履约保证金，按照合同总额的5％进行缴纳，最低缴纳1万元，最高交纳 200万元。</w:t>
      </w:r>
    </w:p>
    <w:p w14:paraId="6215891C">
      <w:pPr>
        <w:topLinePunct/>
        <w:adjustRightInd w:val="0"/>
        <w:snapToGrid w:val="0"/>
        <w:spacing w:line="440" w:lineRule="exact"/>
        <w:rPr>
          <w:rFonts w:ascii="宋体" w:hAnsi="宋体" w:cs="宋体"/>
          <w:kern w:val="0"/>
          <w:szCs w:val="21"/>
        </w:rPr>
      </w:pPr>
      <w:r>
        <w:rPr>
          <w:rFonts w:hint="eastAsia" w:ascii="宋体" w:hAnsi="宋体" w:cs="宋体"/>
          <w:kern w:val="0"/>
          <w:szCs w:val="21"/>
        </w:rPr>
        <w:t>5、除非合同中另有规定，竞选报价包括了竞选人为实施和完成该工程采购范围所确定的全部工程内容所需的直接费、间接费、管理费、工伤保险费、利润、税金（含销项税额）、配合费、排污费、二次或多次转运费、安全文明施工费、建设工程竣工档案编制费、风险费、规费、政策性文件规定费用等所有与本工程建设相关的费用，以及施工合同明示或暗示的所有责任、义务和风险。竞选人的竞选报价视为是一个有经验的竞选人，在对工程充分了解及对风险充分估计后所作的完备报价。</w:t>
      </w:r>
    </w:p>
    <w:p w14:paraId="6DA97027">
      <w:pPr>
        <w:topLinePunct/>
        <w:adjustRightInd w:val="0"/>
        <w:snapToGrid w:val="0"/>
        <w:spacing w:line="440" w:lineRule="exact"/>
        <w:rPr>
          <w:rFonts w:ascii="宋体" w:hAnsi="宋体" w:cs="宋体"/>
          <w:kern w:val="0"/>
          <w:szCs w:val="21"/>
        </w:rPr>
      </w:pPr>
      <w:r>
        <w:rPr>
          <w:rFonts w:hint="eastAsia" w:ascii="宋体" w:hAnsi="宋体" w:cs="宋体"/>
          <w:kern w:val="0"/>
          <w:szCs w:val="21"/>
        </w:rPr>
        <w:t>6、竞选人在其竞选报价中应充分考虑各项措施费用包括但不限于：仓储用地、用房、人员食宿、排污费、材料及半成品的二次或多次转运（现场除回填所需土石方以外，其余土石方及建渣不允许堆放在施工现场，开挖或拆除后及时转运出采购人厂区）、成品保护、所拆除的建筑构件及材料场内二次或多次转运等所引起的费用纳入竞选报价中，采购人对此类费用不另行支付。</w:t>
      </w:r>
    </w:p>
    <w:p w14:paraId="4C80868D">
      <w:pPr>
        <w:topLinePunct/>
        <w:adjustRightInd w:val="0"/>
        <w:snapToGrid w:val="0"/>
        <w:spacing w:line="440" w:lineRule="exact"/>
        <w:rPr>
          <w:rFonts w:ascii="宋体" w:hAnsi="宋体" w:cs="宋体"/>
          <w:kern w:val="0"/>
          <w:szCs w:val="21"/>
        </w:rPr>
      </w:pPr>
      <w:r>
        <w:rPr>
          <w:rFonts w:hint="eastAsia" w:ascii="宋体" w:hAnsi="宋体" w:cs="宋体"/>
          <w:kern w:val="0"/>
          <w:szCs w:val="21"/>
        </w:rPr>
        <w:t>7、竞选人自行负责施工用水、用电的接口，其费用由竞选人纳入竞选报价中，结算时采购人不支付此类费用。竞选人必须结合施工场地供水、供电的实际情况，负责接至各施工点并对安全负责，并根据实际情况配备必要发电设备和水压增压设备等。由此发生的所有费用（包括搭接费、协调费、设备设施费等）已包含在竞选报价中，工程结算时采购人不另行支付该费用。</w:t>
      </w:r>
    </w:p>
    <w:p w14:paraId="26BF3619">
      <w:pPr>
        <w:topLinePunct/>
        <w:adjustRightInd w:val="0"/>
        <w:snapToGrid w:val="0"/>
        <w:spacing w:line="440" w:lineRule="exact"/>
        <w:rPr>
          <w:rFonts w:ascii="宋体" w:hAnsi="宋体" w:cs="宋体"/>
          <w:kern w:val="0"/>
          <w:szCs w:val="21"/>
        </w:rPr>
      </w:pPr>
      <w:r>
        <w:rPr>
          <w:rFonts w:hint="eastAsia" w:ascii="宋体" w:hAnsi="宋体" w:cs="宋体"/>
          <w:kern w:val="0"/>
          <w:szCs w:val="21"/>
        </w:rPr>
        <w:t>8、竞选人应保持施工区域内及周边现有道路、周边企业建设的进出道路的畅通，以及对相关设施的保护等，请竞选人充分考虑，其费用全部纳入竞选报价中。因本工程场地不固定，厂区内不提供现场办公和生活区的搭建场地，竞选人应充分考虑现场实际情况，选址由竞选人自行解决，采购人不提供使用场地，所发生费用由竞选人综合考虑进入竞选报价中，不再另行计价。</w:t>
      </w:r>
    </w:p>
    <w:p w14:paraId="6412AF6E">
      <w:pPr>
        <w:topLinePunct/>
        <w:adjustRightInd w:val="0"/>
        <w:snapToGrid w:val="0"/>
        <w:spacing w:line="440" w:lineRule="exact"/>
        <w:rPr>
          <w:rFonts w:ascii="宋体" w:hAnsi="宋体" w:cs="宋体"/>
          <w:kern w:val="0"/>
          <w:szCs w:val="21"/>
        </w:rPr>
      </w:pPr>
      <w:r>
        <w:rPr>
          <w:rFonts w:hint="eastAsia" w:ascii="宋体" w:hAnsi="宋体" w:cs="宋体"/>
          <w:kern w:val="0"/>
          <w:szCs w:val="21"/>
        </w:rPr>
        <w:t>9、本工程施工期间竞选人须保护施工场地范围内地上（地下）各种管线、施工现场周边的建、构筑物，中选单位所采取保护措施而发生的相关费用（包括人、材、机停窝工、管线保护费、作业方式的调整等）由竞选人承担，若竞选人对管线和建、构筑物造成损坏或破坏的，由竞选人负责修复并承担所有经济责任和法律责任，采购人不承担任何连带责任。</w:t>
      </w:r>
    </w:p>
    <w:p w14:paraId="0CEDA856">
      <w:pPr>
        <w:topLinePunct/>
        <w:adjustRightInd w:val="0"/>
        <w:snapToGrid w:val="0"/>
        <w:spacing w:line="440" w:lineRule="exact"/>
        <w:rPr>
          <w:rFonts w:ascii="宋体" w:hAnsi="宋体" w:cs="宋体"/>
          <w:kern w:val="0"/>
          <w:szCs w:val="21"/>
        </w:rPr>
      </w:pPr>
      <w:r>
        <w:rPr>
          <w:rFonts w:hint="eastAsia" w:ascii="宋体" w:hAnsi="宋体" w:cs="宋体"/>
          <w:kern w:val="0"/>
          <w:szCs w:val="21"/>
        </w:rPr>
        <w:t>10、若因采购人原因（如:工程设计变更、项目增减或征地拆迁不及时等）造成人、材、机停（窝）工、工期延长等，其相关费用由竞选人纳入竞选报价中，采购人不另行支付其它费用或调整中标单价，但影响的工期，采购人同意顺延。</w:t>
      </w:r>
    </w:p>
    <w:p w14:paraId="168B6B66">
      <w:pPr>
        <w:topLinePunct/>
        <w:adjustRightInd w:val="0"/>
        <w:snapToGrid w:val="0"/>
        <w:spacing w:line="440" w:lineRule="exact"/>
        <w:rPr>
          <w:rFonts w:ascii="宋体" w:hAnsi="宋体" w:cs="宋体"/>
          <w:kern w:val="0"/>
          <w:szCs w:val="21"/>
        </w:rPr>
      </w:pPr>
      <w:r>
        <w:rPr>
          <w:rFonts w:hint="eastAsia" w:ascii="宋体" w:hAnsi="宋体" w:cs="宋体"/>
          <w:kern w:val="0"/>
          <w:szCs w:val="21"/>
        </w:rPr>
        <w:t>11、材料：除采购人所发出的任务书明确的甲供材和设备类材料以外，其余材料为竞选人供应。材料价格按不含税价格确定，其进项税额按《重庆市住房和城乡建设委员会关于适用增值税新税率调整建设工程计价依据的通知》（渝建〔2019〕143号）执行。</w:t>
      </w:r>
    </w:p>
    <w:p w14:paraId="73F1AD6E">
      <w:pPr>
        <w:topLinePunct/>
        <w:adjustRightInd w:val="0"/>
        <w:snapToGrid w:val="0"/>
        <w:spacing w:line="440" w:lineRule="exact"/>
        <w:rPr>
          <w:rFonts w:ascii="宋体" w:hAnsi="宋体"/>
          <w:szCs w:val="21"/>
          <w:highlight w:val="yellow"/>
        </w:rPr>
      </w:pPr>
      <w:r>
        <w:rPr>
          <w:rFonts w:hint="eastAsia" w:ascii="宋体" w:hAnsi="宋体" w:cs="宋体"/>
          <w:kern w:val="0"/>
          <w:szCs w:val="21"/>
        </w:rPr>
        <w:t>12、本工程风险：①竞选人应先到工地踏勘以充分了解工地位置、道路、储存空间、装卸限制等任何其它足以影响报价的情况，任何因忽视或误解工地情况而导致的索赔或工期延长申请将不获批准；②竞选人的竞选报价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采购人有权修改该工程的量、项等相关内容，竞选人必须无条件接受，并不得因此要求采购人在招标文件规定以外的计价原则另行计价，各竞选人须充分考虑由此产生的风险及费用。</w:t>
      </w:r>
    </w:p>
    <w:p w14:paraId="68DF51DA">
      <w:pPr>
        <w:topLinePunct/>
        <w:adjustRightInd w:val="0"/>
        <w:snapToGrid w:val="0"/>
        <w:spacing w:line="440" w:lineRule="exact"/>
        <w:rPr>
          <w:rFonts w:ascii="宋体" w:hAnsi="宋体" w:cs="宋体"/>
          <w:color w:val="0000FF"/>
          <w:szCs w:val="21"/>
          <w:highlight w:val="yellow"/>
        </w:rPr>
      </w:pPr>
      <w:r>
        <w:rPr>
          <w:rFonts w:hint="eastAsia" w:ascii="宋体" w:hAnsi="宋体"/>
          <w:szCs w:val="21"/>
        </w:rPr>
        <w:t>2.6 付款方式：银行承兑汇票或电汇付款（银行转账）；</w:t>
      </w:r>
      <w:r>
        <w:rPr>
          <w:rFonts w:hint="eastAsia" w:ascii="宋体" w:hAnsi="宋体" w:cs="宋体"/>
        </w:rPr>
        <w:t>在签订结算定案表后的28 天内，累计支付至竣工结算价款的97%，余3%质保金，待保修期满后一次性付清。竞选人应向采购人开具增值税专用发票，收到竞选人开具的9%税率的增值税专用发票后采购人再进行支付工程款。</w:t>
      </w:r>
    </w:p>
    <w:p w14:paraId="7C63C819">
      <w:pPr>
        <w:spacing w:line="440" w:lineRule="exact"/>
        <w:jc w:val="left"/>
        <w:outlineLvl w:val="0"/>
        <w:rPr>
          <w:rFonts w:ascii="宋体" w:hAnsi="宋体"/>
          <w:b/>
          <w:snapToGrid w:val="0"/>
          <w:kern w:val="0"/>
          <w:szCs w:val="21"/>
        </w:rPr>
      </w:pPr>
      <w:bookmarkStart w:id="32" w:name="_Toc25935"/>
      <w:bookmarkStart w:id="33" w:name="_Toc18439"/>
      <w:bookmarkStart w:id="34" w:name="_Toc14373"/>
      <w:bookmarkStart w:id="35" w:name="_Toc20349"/>
      <w:bookmarkStart w:id="36" w:name="_Toc29166"/>
      <w:bookmarkStart w:id="37" w:name="_Toc22086"/>
      <w:bookmarkStart w:id="38" w:name="_Toc21527"/>
      <w:bookmarkStart w:id="39" w:name="_Toc8793"/>
      <w:bookmarkStart w:id="40" w:name="_Toc25025"/>
      <w:bookmarkStart w:id="41" w:name="_Toc9431"/>
      <w:r>
        <w:rPr>
          <w:rFonts w:hint="eastAsia" w:ascii="宋体" w:hAnsi="宋体"/>
          <w:b/>
          <w:snapToGrid w:val="0"/>
          <w:kern w:val="0"/>
          <w:szCs w:val="21"/>
        </w:rPr>
        <w:t>3. 供应商资格要求</w:t>
      </w:r>
    </w:p>
    <w:p w14:paraId="47F61797">
      <w:pPr>
        <w:topLinePunct/>
        <w:adjustRightInd w:val="0"/>
        <w:snapToGrid w:val="0"/>
        <w:spacing w:line="440" w:lineRule="exact"/>
        <w:rPr>
          <w:rFonts w:ascii="宋体" w:hAnsi="宋体"/>
          <w:szCs w:val="21"/>
        </w:rPr>
      </w:pPr>
      <w:r>
        <w:rPr>
          <w:rFonts w:hint="eastAsia" w:ascii="宋体" w:hAnsi="宋体"/>
          <w:szCs w:val="21"/>
        </w:rPr>
        <w:t>3.1本次竞争性谈判实行资格后审，供应商应满足下列资格条件：</w:t>
      </w:r>
    </w:p>
    <w:p w14:paraId="30FDF102">
      <w:pPr>
        <w:topLinePunct/>
        <w:adjustRightInd w:val="0"/>
        <w:snapToGrid w:val="0"/>
        <w:spacing w:line="440" w:lineRule="exact"/>
        <w:rPr>
          <w:rFonts w:ascii="宋体" w:hAnsi="宋体"/>
          <w:kern w:val="0"/>
          <w:szCs w:val="21"/>
        </w:rPr>
      </w:pPr>
      <w:r>
        <w:rPr>
          <w:rFonts w:hint="eastAsia" w:ascii="宋体" w:hAnsi="宋体"/>
          <w:kern w:val="0"/>
          <w:szCs w:val="21"/>
        </w:rPr>
        <w:t>3.1.1具备独立法人资格。</w:t>
      </w:r>
    </w:p>
    <w:p w14:paraId="7A0E5A7A">
      <w:pPr>
        <w:topLinePunct/>
        <w:adjustRightInd w:val="0"/>
        <w:snapToGrid w:val="0"/>
        <w:spacing w:line="440" w:lineRule="exact"/>
        <w:rPr>
          <w:rFonts w:ascii="宋体" w:hAnsi="宋体"/>
          <w:kern w:val="0"/>
          <w:szCs w:val="21"/>
        </w:rPr>
      </w:pPr>
      <w:r>
        <w:rPr>
          <w:rFonts w:hint="eastAsia" w:ascii="宋体" w:hAnsi="宋体"/>
          <w:kern w:val="0"/>
          <w:szCs w:val="21"/>
        </w:rPr>
        <w:t>提供：有效的营业执照。</w:t>
      </w:r>
    </w:p>
    <w:p w14:paraId="08D33B72">
      <w:pPr>
        <w:topLinePunct/>
        <w:adjustRightInd w:val="0"/>
        <w:snapToGrid w:val="0"/>
        <w:spacing w:line="440" w:lineRule="exact"/>
        <w:rPr>
          <w:rFonts w:ascii="宋体" w:hAnsi="宋体"/>
          <w:kern w:val="0"/>
          <w:szCs w:val="21"/>
        </w:rPr>
      </w:pPr>
      <w:r>
        <w:rPr>
          <w:rFonts w:hint="eastAsia" w:ascii="宋体" w:hAnsi="宋体"/>
          <w:kern w:val="0"/>
          <w:szCs w:val="21"/>
        </w:rPr>
        <w:t>3</w:t>
      </w:r>
      <w:r>
        <w:rPr>
          <w:rFonts w:ascii="宋体" w:hAnsi="宋体"/>
          <w:kern w:val="0"/>
          <w:szCs w:val="21"/>
        </w:rPr>
        <w:t>.1.</w:t>
      </w:r>
      <w:r>
        <w:rPr>
          <w:rFonts w:hint="eastAsia" w:ascii="宋体" w:hAnsi="宋体"/>
          <w:kern w:val="0"/>
          <w:szCs w:val="21"/>
        </w:rPr>
        <w:t>2需具备建设行政主管部门颁发的有效的机电工程施工总承包三级及以上资质或建筑机电安装工程专业承包三级及以上资质。</w:t>
      </w:r>
    </w:p>
    <w:p w14:paraId="22FCA037">
      <w:pPr>
        <w:topLinePunct/>
        <w:adjustRightInd w:val="0"/>
        <w:snapToGrid w:val="0"/>
        <w:spacing w:line="440" w:lineRule="exact"/>
        <w:rPr>
          <w:rFonts w:ascii="宋体" w:hAnsi="宋体"/>
          <w:kern w:val="0"/>
          <w:szCs w:val="21"/>
        </w:rPr>
      </w:pPr>
      <w:r>
        <w:rPr>
          <w:rFonts w:ascii="宋体" w:hAnsi="宋体"/>
          <w:kern w:val="0"/>
          <w:szCs w:val="21"/>
        </w:rPr>
        <w:t>提供：有效的资质证书。</w:t>
      </w:r>
    </w:p>
    <w:p w14:paraId="59A11985">
      <w:pPr>
        <w:topLinePunct/>
        <w:adjustRightInd w:val="0"/>
        <w:snapToGrid w:val="0"/>
        <w:spacing w:line="44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3具备建设行政主管部门颁发的有效的安全生产许可证</w:t>
      </w:r>
    </w:p>
    <w:p w14:paraId="06035501">
      <w:pPr>
        <w:topLinePunct/>
        <w:adjustRightInd w:val="0"/>
        <w:snapToGrid w:val="0"/>
        <w:spacing w:line="44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提供：有效的安全生产许可证。</w:t>
      </w:r>
    </w:p>
    <w:p w14:paraId="7E3D37C4">
      <w:pPr>
        <w:topLinePunct/>
        <w:adjustRightInd w:val="0"/>
        <w:snapToGrid w:val="0"/>
        <w:spacing w:line="44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3.1.4投标人不得存在下列情形之一：</w:t>
      </w:r>
    </w:p>
    <w:p w14:paraId="7A877B4D">
      <w:pPr>
        <w:topLinePunct/>
        <w:adjustRightInd w:val="0"/>
        <w:snapToGrid w:val="0"/>
        <w:spacing w:line="44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（1）被人民法院列入失信被执行人名单且在被执行期内；</w:t>
      </w:r>
    </w:p>
    <w:p w14:paraId="41A85DFA">
      <w:pPr>
        <w:topLinePunct/>
        <w:adjustRightInd w:val="0"/>
        <w:snapToGrid w:val="0"/>
        <w:spacing w:line="44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（2）被国家、重庆市（含市或任意区县）有关行政部门处以暂停投标资格行政处罚或暂停在渝承揽新业务，且在暂停期限内。</w:t>
      </w:r>
    </w:p>
    <w:p w14:paraId="513D118F">
      <w:pPr>
        <w:topLinePunct/>
        <w:adjustRightInd w:val="0"/>
        <w:snapToGrid w:val="0"/>
        <w:spacing w:line="440" w:lineRule="exac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提供：承诺。</w:t>
      </w:r>
    </w:p>
    <w:p w14:paraId="083AAA94">
      <w:pPr>
        <w:spacing w:line="440" w:lineRule="exact"/>
        <w:jc w:val="left"/>
        <w:outlineLvl w:val="0"/>
        <w:rPr>
          <w:rFonts w:ascii="宋体" w:hAnsi="宋体"/>
          <w:b/>
          <w:snapToGrid w:val="0"/>
          <w:kern w:val="0"/>
          <w:szCs w:val="21"/>
        </w:rPr>
      </w:pPr>
      <w:r>
        <w:rPr>
          <w:rFonts w:hint="eastAsia" w:ascii="宋体" w:hAnsi="宋体"/>
          <w:b/>
          <w:snapToGrid w:val="0"/>
          <w:kern w:val="0"/>
          <w:szCs w:val="21"/>
        </w:rPr>
        <w:t xml:space="preserve">4. </w:t>
      </w:r>
      <w:bookmarkEnd w:id="32"/>
      <w:bookmarkEnd w:id="33"/>
      <w:bookmarkEnd w:id="34"/>
      <w:bookmarkEnd w:id="35"/>
      <w:bookmarkEnd w:id="36"/>
      <w:bookmarkEnd w:id="37"/>
      <w:bookmarkEnd w:id="38"/>
      <w:r>
        <w:rPr>
          <w:rFonts w:hint="eastAsia" w:ascii="宋体" w:hAnsi="宋体"/>
          <w:b/>
          <w:snapToGrid w:val="0"/>
          <w:kern w:val="0"/>
          <w:szCs w:val="21"/>
        </w:rPr>
        <w:t>竞争性谈判</w:t>
      </w:r>
      <w:bookmarkEnd w:id="39"/>
      <w:bookmarkEnd w:id="40"/>
      <w:bookmarkEnd w:id="41"/>
      <w:r>
        <w:rPr>
          <w:rFonts w:hint="eastAsia" w:ascii="宋体" w:hAnsi="宋体"/>
          <w:b/>
          <w:snapToGrid w:val="0"/>
          <w:kern w:val="0"/>
          <w:szCs w:val="21"/>
        </w:rPr>
        <w:t>规则</w:t>
      </w:r>
    </w:p>
    <w:p w14:paraId="198AD214">
      <w:pPr>
        <w:topLinePunct/>
        <w:adjustRightInd w:val="0"/>
        <w:snapToGrid w:val="0"/>
        <w:spacing w:line="440" w:lineRule="exact"/>
        <w:rPr>
          <w:rFonts w:ascii="宋体" w:hAnsi="宋体"/>
          <w:color w:val="000000"/>
          <w:szCs w:val="21"/>
        </w:rPr>
      </w:pPr>
      <w:r>
        <w:rPr>
          <w:rFonts w:hint="eastAsia" w:ascii="宋体" w:hAnsi="宋体"/>
          <w:color w:val="000000"/>
          <w:szCs w:val="21"/>
        </w:rPr>
        <w:t>4.1谈判文件要求密封，并加盖供应商单位公章。</w:t>
      </w:r>
    </w:p>
    <w:p w14:paraId="27D06EBC">
      <w:pPr>
        <w:topLinePunct/>
        <w:adjustRightInd w:val="0"/>
        <w:snapToGrid w:val="0"/>
        <w:spacing w:line="440" w:lineRule="exact"/>
        <w:rPr>
          <w:rFonts w:ascii="宋体" w:hAnsi="宋体"/>
          <w:color w:val="000000"/>
          <w:szCs w:val="21"/>
        </w:rPr>
      </w:pPr>
      <w:r>
        <w:rPr>
          <w:rFonts w:hint="eastAsia" w:ascii="宋体" w:hAnsi="宋体"/>
          <w:color w:val="000000"/>
          <w:szCs w:val="21"/>
        </w:rPr>
        <w:t>4.2供应商</w:t>
      </w:r>
      <w:r>
        <w:rPr>
          <w:rFonts w:hint="eastAsia" w:ascii="宋体" w:hAnsi="宋体" w:cs="宋体"/>
          <w:color w:val="000000"/>
          <w:szCs w:val="21"/>
        </w:rPr>
        <w:t>应根据自身实力和对竞争性谈判文件技术参数的理解，结合市场行情自主报价</w:t>
      </w:r>
      <w:r>
        <w:rPr>
          <w:rFonts w:hint="eastAsia" w:ascii="宋体" w:hAnsi="宋体"/>
          <w:color w:val="000000"/>
          <w:szCs w:val="21"/>
        </w:rPr>
        <w:t>。</w:t>
      </w:r>
    </w:p>
    <w:p w14:paraId="51C07CB7">
      <w:pPr>
        <w:topLinePunct/>
        <w:adjustRightInd w:val="0"/>
        <w:snapToGrid w:val="0"/>
        <w:spacing w:line="440" w:lineRule="exact"/>
        <w:rPr>
          <w:rFonts w:ascii="宋体" w:hAnsi="宋体"/>
          <w:color w:val="000000"/>
          <w:szCs w:val="21"/>
        </w:rPr>
      </w:pPr>
      <w:r>
        <w:rPr>
          <w:rFonts w:hint="eastAsia" w:ascii="宋体" w:hAnsi="宋体"/>
          <w:color w:val="000000"/>
          <w:szCs w:val="21"/>
        </w:rPr>
        <w:t>4</w:t>
      </w:r>
      <w:r>
        <w:rPr>
          <w:rFonts w:hint="eastAsia" w:ascii="宋体" w:hAnsi="宋体"/>
          <w:color w:val="000000"/>
          <w:szCs w:val="21"/>
          <w:highlight w:val="none"/>
        </w:rPr>
        <w:t>.3谈判</w:t>
      </w:r>
      <w:r>
        <w:rPr>
          <w:rFonts w:hint="eastAsia" w:ascii="宋体" w:hAnsi="宋体" w:cs="宋体"/>
          <w:color w:val="000000"/>
          <w:szCs w:val="21"/>
          <w:highlight w:val="none"/>
        </w:rPr>
        <w:t>报价货币为人民币(RMB)，</w:t>
      </w:r>
      <w:r>
        <w:rPr>
          <w:rFonts w:hint="eastAsia" w:ascii="宋体" w:hAnsi="宋体"/>
          <w:color w:val="000000"/>
          <w:szCs w:val="21"/>
          <w:highlight w:val="none"/>
        </w:rPr>
        <w:t>应包含备件款、税金、运费、保险费、管理费等一切费用。</w:t>
      </w:r>
    </w:p>
    <w:p w14:paraId="1B3CB9BD">
      <w:pPr>
        <w:pStyle w:val="18"/>
        <w:spacing w:beforeAutospacing="0" w:afterAutospacing="0" w:line="420" w:lineRule="atLeast"/>
        <w:rPr>
          <w:rFonts w:ascii="宋体" w:hAnsi="宋体" w:cs="宋体"/>
          <w:sz w:val="21"/>
          <w:szCs w:val="21"/>
          <w:shd w:val="clear" w:color="auto" w:fill="FFFFFF"/>
        </w:rPr>
      </w:pPr>
      <w:r>
        <w:rPr>
          <w:rFonts w:hint="eastAsia" w:ascii="宋体" w:hAnsi="宋体"/>
          <w:color w:val="000000"/>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4EF2DFC8">
      <w:pPr>
        <w:spacing w:line="440" w:lineRule="exact"/>
        <w:jc w:val="lef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2" w:name="_Toc19904"/>
      <w:bookmarkStart w:id="43" w:name="_Toc7273"/>
      <w:bookmarkStart w:id="44" w:name="_Toc5540"/>
      <w:bookmarkStart w:id="45" w:name="_Toc22256"/>
      <w:bookmarkStart w:id="46" w:name="_Toc11777"/>
      <w:bookmarkStart w:id="47" w:name="_Toc23380"/>
      <w:bookmarkStart w:id="48" w:name="_Toc27438"/>
      <w:bookmarkStart w:id="49" w:name="_Toc14186"/>
      <w:bookmarkStart w:id="50" w:name="_Toc1277"/>
      <w:bookmarkStart w:id="51" w:name="_Toc19404"/>
    </w:p>
    <w:p w14:paraId="3BB9A232">
      <w:pPr>
        <w:numPr>
          <w:ilvl w:val="0"/>
          <w:numId w:val="3"/>
        </w:numPr>
        <w:spacing w:line="440" w:lineRule="exact"/>
        <w:jc w:val="left"/>
        <w:outlineLvl w:val="0"/>
        <w:rPr>
          <w:rFonts w:ascii="宋体" w:hAnsi="宋体"/>
          <w:b/>
          <w:snapToGrid w:val="0"/>
          <w:kern w:val="0"/>
          <w:szCs w:val="21"/>
        </w:rPr>
      </w:pPr>
      <w:r>
        <w:rPr>
          <w:rFonts w:hint="eastAsia" w:ascii="宋体" w:hAnsi="宋体"/>
          <w:b/>
          <w:snapToGrid w:val="0"/>
          <w:kern w:val="0"/>
          <w:szCs w:val="21"/>
        </w:rPr>
        <w:t>竞争性谈判办法</w:t>
      </w:r>
    </w:p>
    <w:p w14:paraId="0B0A41C9">
      <w:pPr>
        <w:spacing w:after="24" w:afterLines="10" w:line="400" w:lineRule="exact"/>
        <w:ind w:left="420" w:leftChars="200"/>
        <w:jc w:val="left"/>
        <w:rPr>
          <w:rStyle w:val="24"/>
          <w:rFonts w:ascii="宋体" w:hAnsi="宋体" w:cs="宋体"/>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w:t>
      </w:r>
      <w:r>
        <w:rPr>
          <w:rFonts w:hint="eastAsia" w:ascii="宋体" w:hAnsi="宋体" w:cs="Tahoma"/>
          <w:color w:val="000000" w:themeColor="text1"/>
          <w:szCs w:val="21"/>
          <w14:textFill>
            <w14:solidFill>
              <w14:schemeClr w14:val="tx1"/>
            </w14:solidFill>
          </w14:textFill>
        </w:rPr>
        <w:t>本次竞争性谈判采取</w:t>
      </w:r>
      <w:r>
        <w:rPr>
          <w:rStyle w:val="24"/>
          <w:rFonts w:ascii="宋体" w:hAnsi="宋体" w:cs="宋体"/>
          <w:color w:val="000000" w:themeColor="text1"/>
          <w:kern w:val="0"/>
          <w14:textFill>
            <w14:solidFill>
              <w14:schemeClr w14:val="tx1"/>
            </w14:solidFill>
          </w14:textFill>
        </w:rPr>
        <w:t>经评审的</w:t>
      </w:r>
      <w:r>
        <w:rPr>
          <w:rStyle w:val="24"/>
          <w:rFonts w:hint="eastAsia" w:ascii="宋体" w:hAnsi="宋体" w:cs="宋体"/>
          <w:color w:val="000000" w:themeColor="text1"/>
          <w:kern w:val="0"/>
          <w14:textFill>
            <w14:solidFill>
              <w14:schemeClr w14:val="tx1"/>
            </w14:solidFill>
          </w14:textFill>
        </w:rPr>
        <w:t>最低价法。</w:t>
      </w:r>
    </w:p>
    <w:p w14:paraId="28DB2E9F">
      <w:pPr>
        <w:numPr>
          <w:ilvl w:val="0"/>
          <w:numId w:val="4"/>
        </w:numPr>
        <w:spacing w:after="24" w:afterLines="10" w:line="40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对报价不高于最高限价的所有竞选人的谈判文件，按照报价由低到高的顺序排序。</w:t>
      </w:r>
    </w:p>
    <w:p w14:paraId="19AE7D91">
      <w:pPr>
        <w:spacing w:after="24" w:afterLines="10" w:line="40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（2）符合性审查合格的竞选人中，报价最低的成为第一成交候选人，报价次低的成为第二成交候选人，依次类推。</w:t>
      </w:r>
    </w:p>
    <w:p w14:paraId="1CC282F4">
      <w:pPr>
        <w:spacing w:after="24" w:afterLines="10" w:line="400" w:lineRule="exact"/>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（3）因谈判小组作否决处理，导致有效供应商不足三个的，谈判小组应当否决所有谈判文件。</w:t>
      </w:r>
    </w:p>
    <w:p w14:paraId="6298ADDE">
      <w:pPr>
        <w:spacing w:line="440" w:lineRule="exact"/>
        <w:jc w:val="left"/>
        <w:outlineLvl w:val="0"/>
        <w:rPr>
          <w:rFonts w:ascii="宋体" w:hAnsi="宋体"/>
          <w:b/>
          <w:snapToGrid w:val="0"/>
          <w:kern w:val="0"/>
          <w:szCs w:val="21"/>
        </w:rPr>
      </w:pPr>
      <w:r>
        <w:rPr>
          <w:rFonts w:hint="eastAsia" w:ascii="宋体" w:hAnsi="宋体"/>
          <w:b/>
          <w:snapToGrid w:val="0"/>
          <w:kern w:val="0"/>
          <w:szCs w:val="21"/>
        </w:rPr>
        <w:t>6.竞争性谈判文件的获取</w:t>
      </w:r>
      <w:bookmarkEnd w:id="42"/>
      <w:bookmarkEnd w:id="43"/>
      <w:bookmarkEnd w:id="44"/>
      <w:bookmarkEnd w:id="45"/>
      <w:bookmarkEnd w:id="46"/>
      <w:bookmarkEnd w:id="47"/>
      <w:bookmarkEnd w:id="48"/>
      <w:bookmarkEnd w:id="49"/>
      <w:bookmarkEnd w:id="50"/>
      <w:bookmarkEnd w:id="51"/>
    </w:p>
    <w:p w14:paraId="3293CFC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bookmarkStart w:id="52" w:name="_Toc784"/>
      <w:bookmarkStart w:id="53" w:name="_Toc21446"/>
      <w:bookmarkStart w:id="54" w:name="_Toc5692"/>
      <w:bookmarkStart w:id="55" w:name="_Toc24060"/>
      <w:bookmarkStart w:id="56" w:name="_Toc1075"/>
      <w:bookmarkStart w:id="57" w:name="_Toc4653"/>
      <w:r>
        <w:rPr>
          <w:rFonts w:hint="eastAsia" w:ascii="宋体" w:hAnsi="宋体" w:cs="宋体"/>
          <w:szCs w:val="21"/>
        </w:rPr>
        <w:t>6.1 凡有意参加竞争性谈判者，请于北京时间</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2</w:t>
      </w:r>
      <w:r>
        <w:rPr>
          <w:rFonts w:hint="eastAsia" w:ascii="宋体" w:hAnsi="宋体" w:cs="宋体"/>
          <w:szCs w:val="21"/>
        </w:rPr>
        <w:t>月</w:t>
      </w:r>
      <w:r>
        <w:rPr>
          <w:rFonts w:hint="eastAsia" w:ascii="宋体" w:hAnsi="宋体" w:cs="宋体"/>
          <w:szCs w:val="21"/>
          <w:u w:val="single"/>
        </w:rPr>
        <w:t>2</w:t>
      </w:r>
      <w:r>
        <w:rPr>
          <w:rFonts w:hint="eastAsia" w:ascii="宋体" w:hAnsi="宋体" w:cs="宋体"/>
          <w:szCs w:val="21"/>
        </w:rPr>
        <w:t>日至</w:t>
      </w:r>
      <w:r>
        <w:rPr>
          <w:rFonts w:hint="eastAsia" w:ascii="宋体" w:hAnsi="宋体" w:cs="宋体"/>
          <w:szCs w:val="21"/>
          <w:u w:val="single"/>
        </w:rPr>
        <w:t>2026</w:t>
      </w:r>
      <w:r>
        <w:rPr>
          <w:rFonts w:hint="eastAsia" w:ascii="宋体" w:hAnsi="宋体" w:cs="宋体"/>
          <w:szCs w:val="21"/>
        </w:rPr>
        <w:t xml:space="preserve">年 </w:t>
      </w:r>
      <w:r>
        <w:rPr>
          <w:rFonts w:hint="eastAsia" w:ascii="宋体" w:hAnsi="宋体" w:cs="宋体"/>
          <w:szCs w:val="21"/>
          <w:u w:val="single"/>
        </w:rPr>
        <w:t>2</w:t>
      </w:r>
      <w:r>
        <w:rPr>
          <w:rFonts w:hint="eastAsia" w:ascii="宋体" w:hAnsi="宋体" w:cs="宋体"/>
          <w:szCs w:val="21"/>
        </w:rPr>
        <w:t>月</w:t>
      </w:r>
      <w:r>
        <w:rPr>
          <w:rFonts w:hint="eastAsia" w:ascii="宋体" w:hAnsi="宋体" w:cs="宋体"/>
          <w:szCs w:val="21"/>
          <w:u w:val="single"/>
        </w:rPr>
        <w:t>8</w:t>
      </w:r>
      <w:r>
        <w:rPr>
          <w:rFonts w:hint="eastAsia" w:ascii="宋体" w:hAnsi="宋体" w:cs="宋体"/>
          <w:szCs w:val="21"/>
        </w:rPr>
        <w:t>日，每日9:00时至17:00时通过6.2载明的方式获取竞争性谈判文件。</w:t>
      </w:r>
    </w:p>
    <w:p w14:paraId="65420B16">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14:paraId="513F5A90">
      <w:pPr>
        <w:spacing w:line="440" w:lineRule="exact"/>
        <w:ind w:firstLine="424" w:firstLineChars="202"/>
        <w:rPr>
          <w:rFonts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重庆天泽新材料有限公司</w:t>
      </w:r>
    </w:p>
    <w:p w14:paraId="5B6F5A28">
      <w:pPr>
        <w:spacing w:line="440" w:lineRule="exact"/>
        <w:ind w:firstLine="424" w:firstLineChars="202"/>
        <w:rPr>
          <w:rFonts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2B80EADD">
      <w:pPr>
        <w:spacing w:line="440" w:lineRule="exact"/>
        <w:ind w:firstLine="424" w:firstLineChars="202"/>
        <w:rPr>
          <w:rFonts w:ascii="宋体" w:hAnsi="宋体" w:cs="宋体"/>
          <w:szCs w:val="21"/>
        </w:rPr>
      </w:pPr>
      <w:r>
        <w:rPr>
          <w:rFonts w:ascii="宋体" w:hAnsi="宋体"/>
          <w:szCs w:val="21"/>
        </w:rPr>
        <w:t>联   系   人：</w:t>
      </w:r>
      <w:r>
        <w:rPr>
          <w:rFonts w:hint="eastAsia" w:ascii="宋体" w:hAnsi="宋体"/>
          <w:szCs w:val="21"/>
          <w:u w:val="single"/>
        </w:rPr>
        <w:t xml:space="preserve">     杨老师    </w:t>
      </w:r>
      <w:r>
        <w:rPr>
          <w:rFonts w:hint="eastAsia" w:ascii="宋体" w:hAnsi="宋体"/>
          <w:szCs w:val="21"/>
        </w:rPr>
        <w:t xml:space="preserve"> </w:t>
      </w:r>
      <w:r>
        <w:rPr>
          <w:rFonts w:ascii="宋体" w:hAnsi="宋体"/>
          <w:szCs w:val="21"/>
        </w:rPr>
        <w:t>联系电话：</w:t>
      </w:r>
      <w:r>
        <w:rPr>
          <w:rFonts w:hint="eastAsia" w:ascii="宋体" w:hAnsi="宋体"/>
          <w:szCs w:val="21"/>
          <w:u w:val="single"/>
        </w:rPr>
        <w:t xml:space="preserve"> 18983993055</w:t>
      </w:r>
    </w:p>
    <w:p w14:paraId="0CAB7575">
      <w:pPr>
        <w:spacing w:line="440" w:lineRule="exact"/>
        <w:ind w:firstLine="424" w:firstLineChars="202"/>
        <w:rPr>
          <w:rFonts w:ascii="宋体" w:hAnsi="宋体" w:cs="宋体"/>
          <w:szCs w:val="21"/>
        </w:rPr>
      </w:pPr>
      <w:r>
        <w:rPr>
          <w:rFonts w:hint="eastAsia" w:ascii="宋体" w:hAnsi="宋体" w:cs="宋体"/>
          <w:szCs w:val="21"/>
        </w:rPr>
        <w:t>技 术 联系人：</w:t>
      </w:r>
      <w:r>
        <w:rPr>
          <w:rFonts w:hint="eastAsia" w:ascii="宋体" w:hAnsi="宋体"/>
          <w:szCs w:val="21"/>
          <w:u w:val="single"/>
        </w:rPr>
        <w:t xml:space="preserve">    曾老师     </w:t>
      </w:r>
      <w:r>
        <w:rPr>
          <w:rFonts w:hint="eastAsia" w:ascii="宋体" w:hAnsi="宋体"/>
          <w:szCs w:val="21"/>
        </w:rPr>
        <w:t xml:space="preserve"> </w:t>
      </w:r>
      <w:r>
        <w:rPr>
          <w:rFonts w:ascii="宋体" w:hAnsi="宋体"/>
          <w:szCs w:val="21"/>
        </w:rPr>
        <w:t>联系电话</w:t>
      </w:r>
      <w:r>
        <w:rPr>
          <w:rFonts w:hint="eastAsia" w:ascii="宋体" w:hAnsi="宋体"/>
          <w:szCs w:val="21"/>
        </w:rPr>
        <w:t>：</w:t>
      </w:r>
      <w:r>
        <w:rPr>
          <w:rFonts w:hint="eastAsia" w:ascii="宋体" w:hAnsi="宋体"/>
          <w:szCs w:val="21"/>
          <w:u w:val="single"/>
        </w:rPr>
        <w:t xml:space="preserve"> 13983847932</w:t>
      </w:r>
    </w:p>
    <w:p w14:paraId="7533C352">
      <w:pPr>
        <w:spacing w:line="440" w:lineRule="exact"/>
        <w:jc w:val="left"/>
        <w:outlineLvl w:val="0"/>
        <w:rPr>
          <w:rFonts w:ascii="宋体" w:hAnsi="宋体"/>
          <w:b/>
          <w:snapToGrid w:val="0"/>
          <w:kern w:val="0"/>
          <w:szCs w:val="21"/>
        </w:rPr>
      </w:pPr>
      <w:bookmarkStart w:id="58" w:name="_Toc20721"/>
      <w:bookmarkStart w:id="59" w:name="_Toc4674"/>
      <w:bookmarkStart w:id="60" w:name="_Toc4279"/>
      <w:bookmarkStart w:id="61" w:name="_Toc1637"/>
      <w:r>
        <w:rPr>
          <w:rFonts w:hint="eastAsia" w:ascii="宋体" w:hAnsi="宋体"/>
          <w:b/>
          <w:snapToGrid w:val="0"/>
          <w:kern w:val="0"/>
          <w:szCs w:val="21"/>
        </w:rPr>
        <w:t>7. 谈判文件的递交</w:t>
      </w:r>
      <w:bookmarkEnd w:id="52"/>
      <w:bookmarkEnd w:id="53"/>
      <w:bookmarkEnd w:id="54"/>
      <w:bookmarkEnd w:id="55"/>
      <w:bookmarkEnd w:id="56"/>
      <w:bookmarkEnd w:id="57"/>
      <w:bookmarkEnd w:id="58"/>
      <w:bookmarkEnd w:id="59"/>
      <w:bookmarkEnd w:id="60"/>
      <w:bookmarkEnd w:id="61"/>
    </w:p>
    <w:p w14:paraId="10E5AB05">
      <w:pPr>
        <w:tabs>
          <w:tab w:val="left" w:pos="1425"/>
        </w:tabs>
        <w:spacing w:line="440" w:lineRule="exact"/>
        <w:rPr>
          <w:rFonts w:ascii="宋体" w:hAnsi="宋体" w:cs="宋体"/>
          <w:color w:val="000000"/>
          <w:szCs w:val="21"/>
        </w:rPr>
      </w:pPr>
      <w:bookmarkStart w:id="62" w:name="_Toc3503"/>
      <w:bookmarkStart w:id="63" w:name="_Toc18035"/>
      <w:bookmarkStart w:id="64" w:name="_Toc29375"/>
      <w:bookmarkStart w:id="65" w:name="_Toc21549"/>
      <w:bookmarkStart w:id="66" w:name="_Toc12357"/>
      <w:bookmarkStart w:id="67" w:name="_Toc4477"/>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2</w:t>
      </w:r>
      <w:r>
        <w:rPr>
          <w:rFonts w:hint="eastAsia" w:ascii="宋体" w:hAnsi="宋体" w:cs="宋体"/>
          <w:szCs w:val="21"/>
        </w:rPr>
        <w:t xml:space="preserve">月 </w:t>
      </w:r>
      <w:r>
        <w:rPr>
          <w:rFonts w:hint="eastAsia" w:ascii="宋体" w:hAnsi="宋体" w:cs="宋体"/>
          <w:szCs w:val="21"/>
          <w:u w:val="single"/>
        </w:rPr>
        <w:t>9</w:t>
      </w:r>
      <w:r>
        <w:rPr>
          <w:rFonts w:hint="eastAsia" w:ascii="宋体" w:hAnsi="宋体" w:cs="宋体"/>
          <w:szCs w:val="21"/>
        </w:rPr>
        <w:t>日</w:t>
      </w:r>
      <w:r>
        <w:rPr>
          <w:rFonts w:hint="eastAsia" w:ascii="宋体" w:hAnsi="宋体" w:cs="宋体"/>
          <w:szCs w:val="21"/>
          <w:u w:val="single"/>
        </w:rPr>
        <w:t xml:space="preserve">10 </w:t>
      </w:r>
      <w:r>
        <w:rPr>
          <w:rFonts w:ascii="宋体" w:hAnsi="宋体" w:cs="宋体"/>
          <w:szCs w:val="21"/>
        </w:rPr>
        <w:t>时</w:t>
      </w:r>
      <w:r>
        <w:rPr>
          <w:rFonts w:hint="eastAsia" w:ascii="宋体" w:hAnsi="宋体" w:cs="宋体"/>
          <w:szCs w:val="21"/>
          <w:u w:val="single"/>
        </w:rPr>
        <w:t>00</w:t>
      </w:r>
      <w:r>
        <w:rPr>
          <w:rFonts w:hint="eastAsia" w:ascii="宋体" w:hAnsi="宋体" w:cs="宋体"/>
          <w:szCs w:val="21"/>
        </w:rPr>
        <w:t>分；递交地点为：重庆市大渡口区重庆国际复合材料股份有限公司。</w:t>
      </w:r>
    </w:p>
    <w:p w14:paraId="709BCBB1">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7.2 竞争性谈判时间：谈判文件截止之日后三个工作日内。</w:t>
      </w:r>
    </w:p>
    <w:p w14:paraId="392CC027">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7.3</w:t>
      </w:r>
      <w:r>
        <w:rPr>
          <w:rFonts w:ascii="宋体" w:hAnsi="宋体" w:cs="宋体"/>
          <w:szCs w:val="21"/>
        </w:rPr>
        <w:t xml:space="preserve"> </w:t>
      </w:r>
      <w:r>
        <w:rPr>
          <w:rFonts w:hint="eastAsia" w:ascii="宋体" w:hAnsi="宋体" w:cs="宋体"/>
          <w:szCs w:val="21"/>
        </w:rPr>
        <w:t>竞争性谈判地点：重庆市大渡口区重庆国际复合材料股份有限公司。</w:t>
      </w:r>
    </w:p>
    <w:p w14:paraId="0BA51D75">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bookmarkEnd w:id="62"/>
    <w:bookmarkEnd w:id="63"/>
    <w:bookmarkEnd w:id="64"/>
    <w:bookmarkEnd w:id="65"/>
    <w:bookmarkEnd w:id="66"/>
    <w:bookmarkEnd w:id="67"/>
    <w:p w14:paraId="7EDA7F94">
      <w:pPr>
        <w:spacing w:line="440" w:lineRule="exact"/>
        <w:jc w:val="left"/>
        <w:outlineLvl w:val="0"/>
        <w:rPr>
          <w:rFonts w:ascii="宋体" w:hAnsi="宋体"/>
          <w:b/>
          <w:snapToGrid w:val="0"/>
          <w:kern w:val="0"/>
          <w:szCs w:val="21"/>
        </w:rPr>
      </w:pPr>
      <w:bookmarkStart w:id="68" w:name="_Toc27658"/>
      <w:bookmarkStart w:id="69" w:name="_Toc9249"/>
      <w:bookmarkStart w:id="70" w:name="_Toc5392"/>
      <w:bookmarkStart w:id="71" w:name="_Toc4764"/>
      <w:r>
        <w:rPr>
          <w:rFonts w:hint="eastAsia" w:ascii="宋体" w:hAnsi="宋体"/>
          <w:b/>
          <w:snapToGrid w:val="0"/>
          <w:kern w:val="0"/>
          <w:szCs w:val="21"/>
        </w:rPr>
        <w:t>8. 发布公告的媒介</w:t>
      </w:r>
      <w:bookmarkEnd w:id="68"/>
      <w:bookmarkEnd w:id="69"/>
      <w:bookmarkEnd w:id="70"/>
      <w:bookmarkEnd w:id="71"/>
    </w:p>
    <w:p w14:paraId="2FD00ECE">
      <w:pPr>
        <w:spacing w:line="440" w:lineRule="exact"/>
        <w:ind w:firstLine="420"/>
        <w:jc w:val="left"/>
        <w:rPr>
          <w:rFonts w:ascii="宋体" w:hAnsi="宋体"/>
          <w:szCs w:val="21"/>
        </w:rPr>
      </w:pPr>
      <w:bookmarkStart w:id="72" w:name="_Toc10099"/>
      <w:bookmarkStart w:id="73" w:name="_Toc15091"/>
      <w:bookmarkStart w:id="74" w:name="_Toc29368"/>
      <w:bookmarkStart w:id="75" w:name="_Toc15696"/>
      <w:bookmarkStart w:id="76" w:name="_Toc19026"/>
      <w:bookmarkStart w:id="77" w:name="_Toc17881"/>
      <w:r>
        <w:rPr>
          <w:rFonts w:hint="eastAsia" w:ascii="宋体" w:hAnsi="宋体" w:cs="宋体"/>
          <w:snapToGrid w:val="0"/>
          <w:kern w:val="0"/>
          <w:szCs w:val="21"/>
        </w:rPr>
        <w:t>本次竞争性谈判公告在</w:t>
      </w:r>
      <w:r>
        <w:rPr>
          <w:rFonts w:hint="eastAsia" w:ascii="宋体" w:hAnsi="宋体"/>
          <w:szCs w:val="21"/>
        </w:rPr>
        <w:t>重庆国际复合材料</w:t>
      </w:r>
      <w:r>
        <w:rPr>
          <w:rFonts w:ascii="宋体" w:hAnsi="宋体"/>
          <w:szCs w:val="21"/>
        </w:rPr>
        <w:t>股份有限公司（http://www.cpicfiber.com/）上发布。</w:t>
      </w:r>
    </w:p>
    <w:p w14:paraId="6D0BF380">
      <w:pPr>
        <w:spacing w:line="440" w:lineRule="exact"/>
        <w:jc w:val="left"/>
        <w:outlineLvl w:val="0"/>
        <w:rPr>
          <w:rFonts w:ascii="宋体" w:hAnsi="宋体"/>
          <w:b/>
          <w:snapToGrid w:val="0"/>
          <w:kern w:val="0"/>
          <w:szCs w:val="21"/>
        </w:rPr>
      </w:pPr>
      <w:r>
        <w:rPr>
          <w:rFonts w:hint="eastAsia" w:ascii="宋体" w:hAnsi="宋体"/>
          <w:b/>
          <w:snapToGrid w:val="0"/>
          <w:kern w:val="0"/>
          <w:szCs w:val="21"/>
        </w:rPr>
        <w:t>9.特别注意</w:t>
      </w:r>
    </w:p>
    <w:p w14:paraId="6ADD77B4">
      <w:pPr>
        <w:spacing w:line="440" w:lineRule="exact"/>
        <w:jc w:val="left"/>
        <w:outlineLvl w:val="0"/>
        <w:rPr>
          <w:rFonts w:ascii="宋体" w:hAnsi="宋体"/>
          <w:b/>
          <w:snapToGrid w:val="0"/>
          <w:kern w:val="0"/>
          <w:szCs w:val="21"/>
        </w:rPr>
      </w:pPr>
      <w:r>
        <w:rPr>
          <w:rFonts w:hint="eastAsia" w:ascii="宋体" w:hAnsi="宋体"/>
          <w:b/>
          <w:snapToGrid w:val="0"/>
          <w:kern w:val="0"/>
          <w:szCs w:val="21"/>
        </w:rPr>
        <w:t>　　单位负责人为同一人或者存在控股、管理关系的不同单位，不得同时参加本次竞争性谈判。</w:t>
      </w:r>
    </w:p>
    <w:p w14:paraId="2DA6BA01">
      <w:pPr>
        <w:spacing w:line="440" w:lineRule="exact"/>
        <w:jc w:val="left"/>
        <w:outlineLvl w:val="0"/>
        <w:rPr>
          <w:rFonts w:ascii="宋体" w:hAnsi="宋体"/>
          <w:b/>
          <w:snapToGrid w:val="0"/>
          <w:kern w:val="0"/>
          <w:szCs w:val="21"/>
        </w:rPr>
      </w:pPr>
      <w:bookmarkStart w:id="78" w:name="_Toc30129"/>
      <w:bookmarkStart w:id="79" w:name="_Toc29627"/>
      <w:bookmarkStart w:id="80" w:name="_Toc4445"/>
      <w:bookmarkStart w:id="81" w:name="_Toc11677"/>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14:paraId="4C7404A5">
      <w:pPr>
        <w:spacing w:line="440" w:lineRule="exact"/>
        <w:ind w:firstLine="424" w:firstLineChars="202"/>
        <w:rPr>
          <w:rFonts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重庆天泽新材料有限公司</w:t>
      </w:r>
    </w:p>
    <w:p w14:paraId="64666078">
      <w:pPr>
        <w:spacing w:line="440" w:lineRule="exact"/>
        <w:ind w:firstLine="424" w:firstLineChars="202"/>
        <w:rPr>
          <w:rFonts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5EEA731A">
      <w:pPr>
        <w:spacing w:line="440" w:lineRule="exact"/>
        <w:ind w:firstLine="424" w:firstLineChars="202"/>
        <w:rPr>
          <w:rFonts w:ascii="宋体" w:hAnsi="宋体"/>
          <w:szCs w:val="21"/>
        </w:rPr>
      </w:pPr>
      <w:r>
        <w:rPr>
          <w:rFonts w:ascii="宋体" w:hAnsi="宋体"/>
          <w:szCs w:val="21"/>
        </w:rPr>
        <w:t>联系人：</w:t>
      </w:r>
      <w:bookmarkEnd w:id="6"/>
      <w:bookmarkEnd w:id="7"/>
      <w:bookmarkEnd w:id="8"/>
      <w:bookmarkEnd w:id="9"/>
      <w:bookmarkEnd w:id="10"/>
      <w:bookmarkEnd w:id="11"/>
      <w:r>
        <w:rPr>
          <w:rFonts w:hint="eastAsia" w:ascii="宋体" w:hAnsi="宋体"/>
          <w:szCs w:val="21"/>
        </w:rPr>
        <w:t>杨老师</w:t>
      </w:r>
    </w:p>
    <w:p w14:paraId="189B785F">
      <w:pPr>
        <w:spacing w:line="440" w:lineRule="exact"/>
        <w:ind w:firstLine="424" w:firstLineChars="202"/>
        <w:rPr>
          <w:rFonts w:ascii="宋体" w:hAnsi="宋体"/>
          <w:szCs w:val="21"/>
        </w:rPr>
      </w:pPr>
      <w:r>
        <w:rPr>
          <w:rFonts w:ascii="宋体" w:hAnsi="宋体"/>
          <w:szCs w:val="21"/>
        </w:rPr>
        <w:t>联系电话：</w:t>
      </w:r>
      <w:r>
        <w:rPr>
          <w:rFonts w:hint="eastAsia" w:ascii="宋体" w:hAnsi="宋体"/>
          <w:szCs w:val="21"/>
        </w:rPr>
        <w:t>18983993055</w:t>
      </w:r>
    </w:p>
    <w:p w14:paraId="74DEFC29">
      <w:pPr>
        <w:spacing w:line="440" w:lineRule="exact"/>
        <w:ind w:firstLine="424" w:firstLineChars="202"/>
        <w:rPr>
          <w:rFonts w:ascii="宋体" w:hAnsi="宋体"/>
          <w:szCs w:val="21"/>
        </w:rPr>
      </w:pPr>
      <w:r>
        <w:rPr>
          <w:rFonts w:hint="eastAsia" w:ascii="宋体" w:hAnsi="宋体"/>
          <w:szCs w:val="21"/>
        </w:rPr>
        <w:t>监督人：重庆天泽新材料有限公司</w:t>
      </w:r>
    </w:p>
    <w:p w14:paraId="3F77C3A0">
      <w:pPr>
        <w:spacing w:line="440" w:lineRule="exact"/>
        <w:ind w:firstLine="424" w:firstLineChars="202"/>
        <w:rPr>
          <w:rFonts w:ascii="宋体" w:hAnsi="宋体"/>
          <w:szCs w:val="21"/>
        </w:rPr>
      </w:pPr>
      <w:r>
        <w:rPr>
          <w:rFonts w:hint="eastAsia" w:ascii="宋体" w:hAnsi="宋体"/>
          <w:szCs w:val="21"/>
        </w:rPr>
        <w:t>地址：重庆市大渡口区建桥工业园B区</w:t>
      </w:r>
    </w:p>
    <w:p w14:paraId="11839A26">
      <w:pPr>
        <w:spacing w:line="440" w:lineRule="exact"/>
        <w:ind w:firstLine="424" w:firstLineChars="202"/>
        <w:rPr>
          <w:rFonts w:ascii="宋体" w:hAnsi="宋体"/>
          <w:szCs w:val="21"/>
        </w:rPr>
      </w:pPr>
      <w:r>
        <w:rPr>
          <w:rFonts w:hint="eastAsia" w:ascii="宋体" w:hAnsi="宋体"/>
          <w:szCs w:val="21"/>
        </w:rPr>
        <w:t>联系人：付老师</w:t>
      </w:r>
    </w:p>
    <w:p w14:paraId="7984D20B">
      <w:pPr>
        <w:spacing w:line="440" w:lineRule="exact"/>
        <w:ind w:firstLine="424" w:firstLineChars="202"/>
        <w:rPr>
          <w:rFonts w:ascii="宋体" w:hAnsi="宋体"/>
          <w:szCs w:val="21"/>
        </w:rPr>
      </w:pPr>
      <w:r>
        <w:rPr>
          <w:rFonts w:hint="eastAsia" w:ascii="宋体" w:hAnsi="宋体"/>
          <w:szCs w:val="21"/>
        </w:rPr>
        <w:t>联系电话：023-68536643</w:t>
      </w:r>
    </w:p>
    <w:p w14:paraId="7A2264BD">
      <w:pPr>
        <w:spacing w:line="440" w:lineRule="exact"/>
        <w:ind w:firstLine="424" w:firstLineChars="202"/>
        <w:rPr>
          <w:rFonts w:ascii="宋体" w:hAnsi="宋体"/>
          <w:szCs w:val="21"/>
        </w:rPr>
      </w:pPr>
      <w:r>
        <w:rPr>
          <w:rFonts w:hint="eastAsia" w:ascii="宋体" w:hAnsi="宋体"/>
          <w:szCs w:val="21"/>
        </w:rPr>
        <w:t>邮箱：fuwei4253@cpicfiber.com</w:t>
      </w:r>
    </w:p>
    <w:bookmarkEnd w:id="580"/>
    <w:p w14:paraId="14184C87">
      <w:pPr>
        <w:rPr>
          <w:rFonts w:ascii="宋体" w:hAnsi="宋体"/>
          <w:highlight w:val="yellow"/>
        </w:rPr>
      </w:pPr>
      <w:r>
        <w:rPr>
          <w:rFonts w:hint="eastAsia" w:ascii="宋体" w:hAnsi="宋体"/>
          <w:highlight w:val="yellow"/>
        </w:rPr>
        <w:br w:type="page"/>
      </w:r>
    </w:p>
    <w:p w14:paraId="4255B3F6">
      <w:pPr>
        <w:pStyle w:val="2"/>
        <w:spacing w:before="240" w:beforeLines="100" w:after="360" w:afterLines="150" w:line="276" w:lineRule="auto"/>
        <w:jc w:val="center"/>
        <w:rPr>
          <w:rFonts w:ascii="宋体" w:hAnsi="宋体"/>
        </w:rPr>
      </w:pPr>
      <w:r>
        <w:rPr>
          <w:rFonts w:hint="eastAsia" w:ascii="宋体" w:hAnsi="宋体"/>
        </w:rPr>
        <w:t>第二章  采购内容</w:t>
      </w:r>
    </w:p>
    <w:p w14:paraId="60061492">
      <w:pPr>
        <w:spacing w:line="360" w:lineRule="auto"/>
        <w:ind w:firstLine="480" w:firstLineChars="200"/>
        <w:rPr>
          <w:rFonts w:ascii="宋体" w:hAnsi="宋体"/>
          <w:kern w:val="0"/>
          <w:sz w:val="24"/>
        </w:rPr>
      </w:pPr>
      <w:r>
        <w:rPr>
          <w:rFonts w:hint="eastAsia" w:ascii="宋体" w:hAnsi="宋体"/>
          <w:kern w:val="0"/>
          <w:sz w:val="24"/>
        </w:rPr>
        <w:t>1．项目概况</w:t>
      </w:r>
    </w:p>
    <w:p w14:paraId="3AE5AC0D">
      <w:pPr>
        <w:spacing w:line="360" w:lineRule="auto"/>
        <w:ind w:firstLine="480" w:firstLineChars="200"/>
        <w:rPr>
          <w:rFonts w:ascii="宋体" w:hAnsi="宋体"/>
          <w:kern w:val="0"/>
          <w:sz w:val="24"/>
        </w:rPr>
      </w:pPr>
      <w:r>
        <w:rPr>
          <w:rFonts w:hint="eastAsia" w:ascii="宋体" w:hAnsi="宋体"/>
          <w:kern w:val="0"/>
          <w:sz w:val="24"/>
        </w:rPr>
        <w:t>包含但不限于拆除F07线A6及B5拉丝通路耐火材料支撑钢结构、附属燃烧系统、电器设备和电缆、漏板变压器及周边钢平台，安装钢平台、电气、管道等工程，具体工程量需现场探勘。</w:t>
      </w:r>
    </w:p>
    <w:p w14:paraId="36272C4D">
      <w:pPr>
        <w:numPr>
          <w:ilvl w:val="0"/>
          <w:numId w:val="5"/>
        </w:numPr>
        <w:spacing w:line="360" w:lineRule="auto"/>
        <w:ind w:firstLine="480" w:firstLineChars="200"/>
        <w:rPr>
          <w:rFonts w:ascii="宋体" w:hAnsi="宋体"/>
          <w:kern w:val="0"/>
          <w:sz w:val="24"/>
        </w:rPr>
      </w:pPr>
      <w:r>
        <w:rPr>
          <w:rFonts w:hint="eastAsia" w:ascii="宋体" w:hAnsi="宋体"/>
          <w:kern w:val="0"/>
          <w:sz w:val="24"/>
        </w:rPr>
        <w:t>项目建设地点</w:t>
      </w:r>
    </w:p>
    <w:p w14:paraId="672CDCB9">
      <w:pPr>
        <w:spacing w:line="360" w:lineRule="auto"/>
        <w:ind w:firstLine="480" w:firstLineChars="200"/>
        <w:rPr>
          <w:rFonts w:ascii="宋体" w:hAnsi="宋体"/>
          <w:kern w:val="0"/>
          <w:sz w:val="24"/>
        </w:rPr>
      </w:pPr>
      <w:r>
        <w:rPr>
          <w:rFonts w:hint="eastAsia" w:ascii="宋体" w:hAnsi="宋体"/>
          <w:kern w:val="0"/>
          <w:sz w:val="24"/>
        </w:rPr>
        <w:t>重庆天泽新材料有限公司F07线</w:t>
      </w:r>
    </w:p>
    <w:p w14:paraId="01D79518">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．项目总体要求</w:t>
      </w:r>
    </w:p>
    <w:p w14:paraId="5EAF63D1">
      <w:pPr>
        <w:spacing w:line="360" w:lineRule="auto"/>
        <w:ind w:firstLine="480" w:firstLineChars="200"/>
        <w:rPr>
          <w:rFonts w:ascii="宋体" w:hAnsi="宋体"/>
          <w:kern w:val="0"/>
          <w:sz w:val="24"/>
        </w:rPr>
      </w:pPr>
      <w:r>
        <w:rPr>
          <w:rFonts w:hint="eastAsia" w:ascii="宋体" w:hAnsi="宋体"/>
          <w:kern w:val="0"/>
          <w:sz w:val="24"/>
        </w:rPr>
        <w:t>3.1技术团队要求：技术团队须包含具备相应资格的电工、焊工、钳工，铆工，起重工，油漆工，管道工，钢结构施工员、设备安装施工员、资料员、安装质检员等专业技术人员，所有特种作业人员必须持证上岗。</w:t>
      </w:r>
    </w:p>
    <w:p w14:paraId="60BC8BBE">
      <w:pPr>
        <w:spacing w:line="360" w:lineRule="auto"/>
        <w:ind w:firstLine="480" w:firstLineChars="200"/>
        <w:rPr>
          <w:rFonts w:ascii="宋体" w:hAnsi="宋体"/>
          <w:kern w:val="0"/>
          <w:sz w:val="24"/>
        </w:rPr>
      </w:pPr>
      <w:r>
        <w:rPr>
          <w:rFonts w:hint="eastAsia" w:ascii="宋体" w:hAnsi="宋体"/>
          <w:kern w:val="0"/>
          <w:sz w:val="24"/>
        </w:rPr>
        <w:t>3.2技术规范与标准：所有工程的设计、施工、材料、验收均须严格遵守国家、行业及项目所在地现行有效的强制性标准、规范及规程。</w:t>
      </w:r>
    </w:p>
    <w:p w14:paraId="21CD5019">
      <w:pPr>
        <w:spacing w:line="360" w:lineRule="auto"/>
        <w:ind w:firstLine="480" w:firstLineChars="200"/>
        <w:rPr>
          <w:rFonts w:ascii="宋体" w:hAnsi="宋体"/>
          <w:kern w:val="0"/>
          <w:sz w:val="24"/>
        </w:rPr>
      </w:pPr>
      <w:r>
        <w:rPr>
          <w:rFonts w:hint="eastAsia" w:ascii="宋体" w:hAnsi="宋体"/>
          <w:kern w:val="0"/>
          <w:sz w:val="24"/>
        </w:rPr>
        <w:t>3.3施工过程要求：严格按照批准的施工方案和国家规范施工，对关键工序（如焊接、防水、隐蔽工程）留存影像资料，确保施工质量达到一次性验收合格标准。</w:t>
      </w:r>
    </w:p>
    <w:p w14:paraId="41F5A591">
      <w:pPr>
        <w:spacing w:line="360" w:lineRule="auto"/>
        <w:ind w:firstLine="480" w:firstLineChars="200"/>
        <w:rPr>
          <w:rFonts w:ascii="宋体" w:hAnsi="宋体"/>
          <w:kern w:val="0"/>
          <w:sz w:val="24"/>
        </w:rPr>
      </w:pPr>
      <w:r>
        <w:rPr>
          <w:rFonts w:hint="eastAsia" w:ascii="宋体" w:hAnsi="宋体"/>
          <w:kern w:val="0"/>
          <w:sz w:val="24"/>
        </w:rPr>
        <w:t>3.4安全、文明与环保施工</w:t>
      </w:r>
    </w:p>
    <w:p w14:paraId="480B7F82">
      <w:pPr>
        <w:spacing w:line="360" w:lineRule="auto"/>
        <w:ind w:firstLine="480" w:firstLineChars="200"/>
        <w:rPr>
          <w:rFonts w:ascii="宋体" w:hAnsi="宋体"/>
          <w:kern w:val="0"/>
          <w:sz w:val="24"/>
        </w:rPr>
      </w:pPr>
      <w:r>
        <w:rPr>
          <w:rFonts w:hint="eastAsia" w:ascii="宋体" w:hAnsi="宋体"/>
          <w:kern w:val="0"/>
          <w:sz w:val="24"/>
        </w:rPr>
        <w:t>安全责任：承包人是施工现场安全的第一责任方，须全面负责施工人员、设备及招标人既有设施的安全。</w:t>
      </w:r>
    </w:p>
    <w:p w14:paraId="4A069E98">
      <w:pPr>
        <w:spacing w:line="360" w:lineRule="auto"/>
        <w:ind w:firstLine="480" w:firstLineChars="200"/>
        <w:rPr>
          <w:rFonts w:ascii="宋体" w:hAnsi="宋体"/>
          <w:kern w:val="0"/>
          <w:sz w:val="24"/>
        </w:rPr>
      </w:pPr>
      <w:r>
        <w:rPr>
          <w:rFonts w:hint="eastAsia" w:ascii="宋体" w:hAnsi="宋体"/>
          <w:kern w:val="0"/>
          <w:sz w:val="24"/>
        </w:rPr>
        <w:t>安全措施：施工前对班组人员进行安全技术交底；落实动火、高空、临时用电等危险作业的审批和监护制度；设置醒目的安全警示标识和隔离措施。</w:t>
      </w:r>
    </w:p>
    <w:p w14:paraId="0F6C5D53">
      <w:pPr>
        <w:spacing w:line="360" w:lineRule="auto"/>
        <w:ind w:firstLine="480" w:firstLineChars="200"/>
        <w:rPr>
          <w:rFonts w:ascii="宋体" w:hAnsi="宋体"/>
          <w:kern w:val="0"/>
          <w:sz w:val="24"/>
        </w:rPr>
      </w:pPr>
      <w:r>
        <w:rPr>
          <w:rFonts w:hint="eastAsia" w:ascii="宋体" w:hAnsi="宋体"/>
          <w:kern w:val="0"/>
          <w:sz w:val="24"/>
        </w:rPr>
        <w:t>文明施工：做到工完、料尽、场地清。材料堆放整齐，严禁占用消防通道。施工人员着装规范，举止文明，遵守招标人的各项规章制度。</w:t>
      </w:r>
    </w:p>
    <w:p w14:paraId="0B70BD4D">
      <w:pPr>
        <w:spacing w:line="360" w:lineRule="auto"/>
        <w:ind w:firstLine="480" w:firstLineChars="200"/>
        <w:rPr>
          <w:rFonts w:ascii="宋体" w:hAnsi="宋体"/>
          <w:kern w:val="0"/>
          <w:sz w:val="24"/>
        </w:rPr>
      </w:pPr>
      <w:r>
        <w:rPr>
          <w:rFonts w:hint="eastAsia" w:ascii="宋体" w:hAnsi="宋体"/>
          <w:kern w:val="0"/>
          <w:sz w:val="24"/>
        </w:rPr>
        <w:t>环境保护：控制施工噪音、粉尘、污水排放。建筑垃圾及废弃物按规定分类堆放，并及时清运至指定地点。</w:t>
      </w:r>
    </w:p>
    <w:p w14:paraId="237C123F">
      <w:pPr>
        <w:rPr>
          <w:rFonts w:ascii="宋体" w:hAnsi="宋体"/>
          <w:sz w:val="24"/>
        </w:rPr>
      </w:pPr>
    </w:p>
    <w:p w14:paraId="30ABF144">
      <w:pPr>
        <w:rPr>
          <w:rFonts w:ascii="宋体" w:hAnsi="宋体"/>
          <w:sz w:val="24"/>
        </w:rPr>
      </w:pPr>
    </w:p>
    <w:p w14:paraId="46DB49BB">
      <w:pPr>
        <w:rPr>
          <w:rFonts w:ascii="宋体" w:hAnsi="宋体"/>
          <w:sz w:val="24"/>
        </w:rPr>
      </w:pPr>
    </w:p>
    <w:p w14:paraId="7EBB0560">
      <w:pPr>
        <w:rPr>
          <w:rFonts w:ascii="宋体" w:hAnsi="宋体"/>
          <w:sz w:val="24"/>
        </w:rPr>
      </w:pPr>
    </w:p>
    <w:p w14:paraId="4A497095">
      <w:pPr>
        <w:rPr>
          <w:rFonts w:ascii="宋体" w:hAnsi="宋体"/>
          <w:sz w:val="24"/>
        </w:rPr>
      </w:pPr>
    </w:p>
    <w:p w14:paraId="0770F55E">
      <w:pPr>
        <w:pStyle w:val="2"/>
        <w:spacing w:before="240" w:beforeLines="100" w:after="360" w:afterLines="150" w:line="276" w:lineRule="auto"/>
        <w:jc w:val="center"/>
        <w:rPr>
          <w:rFonts w:ascii="宋体" w:hAnsi="宋体"/>
        </w:rPr>
      </w:pPr>
      <w:r>
        <w:rPr>
          <w:rFonts w:hint="eastAsia" w:ascii="宋体" w:hAnsi="宋体"/>
        </w:rPr>
        <w:t>第三章  供应商</w:t>
      </w:r>
      <w:r>
        <w:rPr>
          <w:rFonts w:ascii="宋体" w:hAnsi="宋体"/>
        </w:rPr>
        <w:t>须知</w:t>
      </w:r>
    </w:p>
    <w:p w14:paraId="4BE8C3BE">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、总则</w:t>
      </w:r>
    </w:p>
    <w:p w14:paraId="785952C2">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7A18E89C">
      <w:pPr>
        <w:spacing w:line="360" w:lineRule="auto"/>
        <w:ind w:firstLine="480" w:firstLineChars="200"/>
        <w:rPr>
          <w:rFonts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12926BF1">
      <w:pPr>
        <w:spacing w:line="360" w:lineRule="auto"/>
        <w:ind w:firstLine="480" w:firstLineChars="200"/>
        <w:rPr>
          <w:rFonts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66C5B144">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1742B69D">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21091E8A">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193A23EF">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13D46297">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7BB7CF6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6E5F0A7A">
      <w:pPr>
        <w:spacing w:line="360" w:lineRule="auto"/>
        <w:ind w:firstLine="482" w:firstLineChars="200"/>
        <w:rPr>
          <w:rFonts w:ascii="宋体" w:hAnsi="宋体"/>
          <w:b/>
          <w:sz w:val="24"/>
        </w:rPr>
      </w:pPr>
      <w:r>
        <w:rPr>
          <w:rFonts w:ascii="宋体" w:hAnsi="宋体"/>
          <w:b/>
          <w:sz w:val="24"/>
        </w:rPr>
        <w:t>4.特别注意</w:t>
      </w:r>
    </w:p>
    <w:p w14:paraId="05308337">
      <w:pPr>
        <w:spacing w:line="360" w:lineRule="auto"/>
        <w:ind w:firstLine="480" w:firstLineChars="200"/>
        <w:rPr>
          <w:rFonts w:ascii="宋体" w:hAnsi="宋体"/>
          <w:sz w:val="24"/>
        </w:rPr>
      </w:pPr>
      <w:r>
        <w:rPr>
          <w:rFonts w:hint="eastAsia" w:ascii="宋体" w:hAnsi="宋体"/>
          <w:sz w:val="24"/>
        </w:rPr>
        <w:t>单位负责人为同一人或者存在控股、管理关系的不同单位，不得同时参加本次竞争性谈判。</w:t>
      </w:r>
    </w:p>
    <w:p w14:paraId="7D83A7B9">
      <w:pPr>
        <w:spacing w:line="360" w:lineRule="auto"/>
        <w:ind w:firstLine="482" w:firstLineChars="200"/>
        <w:rPr>
          <w:rFonts w:ascii="宋体" w:hAnsi="宋体"/>
          <w:b/>
          <w:kern w:val="0"/>
          <w:sz w:val="24"/>
        </w:rPr>
      </w:pPr>
      <w:r>
        <w:rPr>
          <w:rFonts w:hint="eastAsia" w:ascii="宋体" w:hAnsi="宋体"/>
          <w:b/>
          <w:kern w:val="0"/>
          <w:sz w:val="24"/>
        </w:rPr>
        <w:t>二</w:t>
      </w:r>
      <w:r>
        <w:rPr>
          <w:rFonts w:ascii="宋体" w:hAnsi="宋体"/>
          <w:b/>
          <w:kern w:val="0"/>
          <w:sz w:val="24"/>
        </w:rPr>
        <w:t>、谈判文件说明</w:t>
      </w:r>
    </w:p>
    <w:p w14:paraId="464C24EE">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31B9844C">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13ECC749">
      <w:pPr>
        <w:spacing w:line="360" w:lineRule="auto"/>
        <w:ind w:firstLine="480" w:firstLineChars="200"/>
        <w:rPr>
          <w:rFonts w:ascii="宋体" w:hAnsi="宋体"/>
          <w:kern w:val="0"/>
          <w:sz w:val="24"/>
        </w:rPr>
      </w:pPr>
      <w:r>
        <w:rPr>
          <w:rFonts w:hint="eastAsia" w:ascii="宋体" w:hAnsi="宋体"/>
          <w:kern w:val="0"/>
          <w:sz w:val="24"/>
        </w:rPr>
        <w:t>（1）谈判公告</w:t>
      </w:r>
    </w:p>
    <w:p w14:paraId="0D8CA797">
      <w:pPr>
        <w:spacing w:line="360" w:lineRule="auto"/>
        <w:ind w:firstLine="480" w:firstLineChars="200"/>
        <w:rPr>
          <w:rFonts w:ascii="宋体" w:hAnsi="宋体"/>
          <w:kern w:val="0"/>
          <w:sz w:val="24"/>
        </w:rPr>
      </w:pPr>
      <w:r>
        <w:rPr>
          <w:rFonts w:hint="eastAsia" w:ascii="宋体" w:hAnsi="宋体"/>
          <w:kern w:val="0"/>
          <w:sz w:val="24"/>
        </w:rPr>
        <w:t>（2）供应商</w:t>
      </w:r>
      <w:r>
        <w:rPr>
          <w:rFonts w:ascii="宋体" w:hAnsi="宋体"/>
          <w:kern w:val="0"/>
          <w:sz w:val="24"/>
        </w:rPr>
        <w:t>须知</w:t>
      </w:r>
    </w:p>
    <w:p w14:paraId="17EDC89D">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内容</w:t>
      </w:r>
    </w:p>
    <w:p w14:paraId="51069934">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15C62D0C">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649D89A8">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1A47C35B">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2338EF69">
      <w:pPr>
        <w:spacing w:line="360" w:lineRule="auto"/>
        <w:ind w:firstLine="482" w:firstLineChars="20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02144FF9">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1F85A172">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30D0CEC5">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计量单位</w:t>
      </w:r>
    </w:p>
    <w:p w14:paraId="4D74E1B7">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41E02020">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6317978C">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1C3EBE1A">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45D33057">
      <w:pPr>
        <w:spacing w:line="360" w:lineRule="auto"/>
        <w:ind w:firstLine="480" w:firstLineChars="200"/>
        <w:rPr>
          <w:rFonts w:hint="eastAsia" w:ascii="宋体" w:hAnsi="宋体"/>
          <w:kern w:val="0"/>
          <w:sz w:val="24"/>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2CAB2CF8">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kern w:val="0"/>
          <w:sz w:val="24"/>
          <w:lang w:val="en-US" w:eastAsia="zh-CN"/>
        </w:rPr>
        <w:t>3</w:t>
      </w:r>
      <w:r>
        <w:rPr>
          <w:rFonts w:hint="eastAsia" w:ascii="宋体" w:hAnsi="宋体"/>
          <w:kern w:val="0"/>
          <w:sz w:val="24"/>
        </w:rPr>
        <w:t>）按照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6A864142">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5A87E7AF">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240A64C6">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7AC574A4">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2A53D6AA">
      <w:pPr>
        <w:spacing w:line="360" w:lineRule="auto"/>
        <w:ind w:firstLine="482" w:firstLineChars="200"/>
        <w:rPr>
          <w:rFonts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1B550C8A">
      <w:pPr>
        <w:spacing w:line="360" w:lineRule="auto"/>
        <w:ind w:firstLine="482" w:firstLineChars="200"/>
        <w:rPr>
          <w:rFonts w:hint="eastAsia" w:ascii="宋体" w:hAnsi="宋体" w:eastAsia="宋体"/>
          <w:b/>
          <w:kern w:val="0"/>
          <w:sz w:val="24"/>
          <w:highlight w:val="none"/>
          <w:lang w:val="en-US" w:eastAsia="zh-CN"/>
        </w:rPr>
      </w:pPr>
      <w:r>
        <w:rPr>
          <w:rFonts w:ascii="宋体" w:hAnsi="宋体"/>
          <w:b/>
          <w:kern w:val="0"/>
          <w:sz w:val="24"/>
          <w:highlight w:val="none"/>
        </w:rPr>
        <w:t>6</w:t>
      </w:r>
      <w:r>
        <w:rPr>
          <w:rFonts w:hint="eastAsia" w:ascii="宋体" w:hAnsi="宋体"/>
          <w:b/>
          <w:kern w:val="0"/>
          <w:sz w:val="24"/>
          <w:highlight w:val="none"/>
        </w:rPr>
        <w:t>. 报价</w:t>
      </w:r>
      <w:r>
        <w:rPr>
          <w:rFonts w:hint="eastAsia" w:ascii="宋体" w:hAnsi="宋体"/>
          <w:b/>
          <w:kern w:val="0"/>
          <w:sz w:val="24"/>
          <w:highlight w:val="none"/>
          <w:lang w:val="en-US" w:eastAsia="zh-CN"/>
        </w:rPr>
        <w:t>方式</w:t>
      </w:r>
    </w:p>
    <w:p w14:paraId="7F1D5347">
      <w:pPr>
        <w:spacing w:line="360" w:lineRule="auto"/>
        <w:ind w:firstLine="480" w:firstLineChars="200"/>
        <w:rPr>
          <w:rFonts w:ascii="宋体" w:hAnsi="宋体"/>
          <w:kern w:val="0"/>
          <w:sz w:val="24"/>
          <w:highlight w:val="none"/>
        </w:rPr>
      </w:pPr>
      <w:r>
        <w:rPr>
          <w:rFonts w:ascii="宋体" w:hAnsi="宋体"/>
          <w:kern w:val="0"/>
          <w:sz w:val="24"/>
          <w:highlight w:val="none"/>
        </w:rPr>
        <w:t>6</w:t>
      </w:r>
      <w:r>
        <w:rPr>
          <w:rFonts w:hint="eastAsia" w:ascii="宋体" w:hAnsi="宋体"/>
          <w:kern w:val="0"/>
          <w:sz w:val="24"/>
          <w:highlight w:val="none"/>
        </w:rPr>
        <w:t>.1 谈判文件</w:t>
      </w:r>
      <w:r>
        <w:rPr>
          <w:rFonts w:ascii="宋体" w:hAnsi="宋体"/>
          <w:kern w:val="0"/>
          <w:sz w:val="24"/>
          <w:highlight w:val="none"/>
        </w:rPr>
        <w:t>中的</w:t>
      </w:r>
      <w:r>
        <w:rPr>
          <w:rFonts w:hint="eastAsia" w:ascii="宋体" w:hAnsi="宋体"/>
          <w:kern w:val="0"/>
          <w:sz w:val="24"/>
          <w:highlight w:val="none"/>
        </w:rPr>
        <w:t>报价</w:t>
      </w:r>
      <w:r>
        <w:rPr>
          <w:rFonts w:ascii="宋体" w:hAnsi="宋体"/>
          <w:kern w:val="0"/>
          <w:sz w:val="24"/>
          <w:highlight w:val="none"/>
        </w:rPr>
        <w:t>一律用</w:t>
      </w:r>
      <w:r>
        <w:rPr>
          <w:rFonts w:hint="eastAsia" w:ascii="宋体" w:hAnsi="宋体"/>
          <w:kern w:val="0"/>
          <w:sz w:val="24"/>
          <w:highlight w:val="none"/>
        </w:rPr>
        <w:t>下浮费率</w:t>
      </w:r>
      <w:r>
        <w:rPr>
          <w:rFonts w:ascii="宋体" w:hAnsi="宋体"/>
          <w:kern w:val="0"/>
          <w:sz w:val="24"/>
          <w:highlight w:val="none"/>
        </w:rPr>
        <w:t>填报</w:t>
      </w:r>
      <w:r>
        <w:rPr>
          <w:rFonts w:hint="eastAsia" w:ascii="宋体" w:hAnsi="宋体"/>
          <w:kern w:val="0"/>
          <w:sz w:val="24"/>
          <w:highlight w:val="none"/>
          <w:lang w:eastAsia="zh-CN"/>
        </w:rPr>
        <w:t>，</w:t>
      </w:r>
      <w:r>
        <w:rPr>
          <w:rFonts w:hint="eastAsia" w:ascii="宋体" w:hAnsi="宋体"/>
          <w:kern w:val="0"/>
          <w:sz w:val="24"/>
          <w:highlight w:val="none"/>
          <w:lang w:val="en-US" w:eastAsia="zh-CN"/>
        </w:rPr>
        <w:t>保留小数点后2位</w:t>
      </w:r>
      <w:r>
        <w:rPr>
          <w:rFonts w:ascii="宋体" w:hAnsi="宋体"/>
          <w:kern w:val="0"/>
          <w:sz w:val="24"/>
          <w:highlight w:val="none"/>
        </w:rPr>
        <w:t>。</w:t>
      </w:r>
    </w:p>
    <w:p w14:paraId="4D2F913C">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133975D0">
      <w:pPr>
        <w:spacing w:line="360" w:lineRule="auto"/>
        <w:ind w:firstLine="480" w:firstLineChars="200"/>
        <w:rPr>
          <w:rFonts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63027868">
      <w:pPr>
        <w:widowControl/>
        <w:spacing w:line="360" w:lineRule="auto"/>
        <w:ind w:firstLine="480" w:firstLineChars="200"/>
        <w:jc w:val="left"/>
        <w:rPr>
          <w:rFonts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42A04FF2">
      <w:pPr>
        <w:spacing w:line="360" w:lineRule="auto"/>
        <w:ind w:firstLine="482" w:firstLineChars="200"/>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499A50C8">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227C03AB">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590CE390">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60432A02">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472AA21C">
      <w:pPr>
        <w:spacing w:line="360" w:lineRule="auto"/>
        <w:ind w:firstLine="480" w:firstLineChars="200"/>
        <w:rPr>
          <w:rFonts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6FAC923E">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53B83D6D">
      <w:pPr>
        <w:widowControl/>
        <w:spacing w:line="360" w:lineRule="auto"/>
        <w:ind w:firstLine="482" w:firstLineChars="200"/>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5DAC3DE9">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1.1 </w:t>
      </w:r>
      <w:r>
        <w:rPr>
          <w:rFonts w:hint="eastAsia" w:ascii="宋体" w:hAnsi="宋体" w:cs="宋体"/>
          <w:kern w:val="0"/>
          <w:sz w:val="24"/>
        </w:rPr>
        <w:t>供应商</w:t>
      </w:r>
      <w:r>
        <w:rPr>
          <w:rFonts w:ascii="宋体" w:hAnsi="宋体" w:cs="宋体"/>
          <w:kern w:val="0"/>
          <w:sz w:val="24"/>
        </w:rPr>
        <w:t>应提交“</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正本</w:t>
      </w:r>
      <w:r>
        <w:rPr>
          <w:rFonts w:ascii="宋体" w:hAnsi="宋体" w:cs="宋体"/>
          <w:kern w:val="0"/>
          <w:sz w:val="24"/>
        </w:rPr>
        <w:t>一套和副本</w:t>
      </w:r>
      <w:r>
        <w:rPr>
          <w:rFonts w:hint="eastAsia" w:ascii="宋体" w:hAnsi="宋体" w:cs="宋体"/>
          <w:kern w:val="0"/>
          <w:sz w:val="24"/>
        </w:rPr>
        <w:t>一</w:t>
      </w:r>
      <w:r>
        <w:rPr>
          <w:rFonts w:ascii="宋体" w:hAnsi="宋体" w:cs="宋体"/>
          <w:kern w:val="0"/>
          <w:sz w:val="24"/>
        </w:rPr>
        <w:t>套，每套“</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封面</w:t>
      </w:r>
      <w:r>
        <w:rPr>
          <w:rFonts w:ascii="宋体" w:hAnsi="宋体" w:cs="宋体"/>
          <w:kern w:val="0"/>
          <w:sz w:val="24"/>
        </w:rPr>
        <w:t>的右上角应标明“</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或</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。电子版文件（盖鲜章的PDF扫描件）一套（提供形式：U盘）</w:t>
      </w:r>
    </w:p>
    <w:p w14:paraId="21145435">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1.2 </w:t>
      </w:r>
      <w:r>
        <w:rPr>
          <w:rFonts w:hint="eastAsia" w:ascii="宋体" w:hAnsi="宋体" w:cs="宋体"/>
          <w:kern w:val="0"/>
          <w:sz w:val="24"/>
        </w:rPr>
        <w:t>谈判文件</w:t>
      </w:r>
      <w:r>
        <w:rPr>
          <w:rFonts w:ascii="宋体" w:hAnsi="宋体" w:cs="宋体"/>
          <w:kern w:val="0"/>
          <w:sz w:val="24"/>
        </w:rPr>
        <w:t>的包装、标记要求</w:t>
      </w:r>
    </w:p>
    <w:p w14:paraId="2432B4E0">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1.2.1 </w:t>
      </w:r>
      <w:r>
        <w:rPr>
          <w:rFonts w:hint="eastAsia" w:ascii="宋体" w:hAnsi="宋体" w:cs="宋体"/>
          <w:kern w:val="0"/>
          <w:sz w:val="24"/>
        </w:rPr>
        <w:t>谈判文件</w:t>
      </w:r>
      <w:r>
        <w:rPr>
          <w:rFonts w:hint="eastAsia" w:ascii="宋体" w:hAnsi="宋体" w:cs="宋体"/>
          <w:kern w:val="0"/>
          <w:sz w:val="24"/>
          <w:lang w:val="en-US" w:eastAsia="zh-CN"/>
        </w:rPr>
        <w:t>密封后</w:t>
      </w:r>
      <w:r>
        <w:rPr>
          <w:rFonts w:ascii="宋体" w:hAnsi="宋体" w:cs="宋体"/>
          <w:kern w:val="0"/>
          <w:sz w:val="24"/>
        </w:rPr>
        <w:t>提交</w:t>
      </w:r>
      <w:r>
        <w:rPr>
          <w:rFonts w:hint="eastAsia" w:ascii="宋体" w:hAnsi="宋体" w:cs="宋体"/>
          <w:kern w:val="0"/>
          <w:sz w:val="24"/>
        </w:rPr>
        <w:t>。</w:t>
      </w:r>
    </w:p>
    <w:p w14:paraId="52DA1C1E">
      <w:pPr>
        <w:widowControl/>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.2.2 供应商</w:t>
      </w:r>
      <w:r>
        <w:rPr>
          <w:rFonts w:ascii="宋体" w:hAnsi="宋体" w:cs="宋体"/>
          <w:kern w:val="0"/>
          <w:sz w:val="24"/>
        </w:rPr>
        <w:t>应将</w:t>
      </w:r>
      <w:r>
        <w:rPr>
          <w:rFonts w:hint="eastAsia" w:ascii="宋体" w:hAnsi="宋体" w:cs="宋体"/>
          <w:kern w:val="0"/>
          <w:sz w:val="24"/>
        </w:rPr>
        <w:t>谈判文件</w:t>
      </w:r>
      <w:r>
        <w:rPr>
          <w:rFonts w:ascii="宋体" w:hAnsi="宋体" w:cs="宋体"/>
          <w:kern w:val="0"/>
          <w:sz w:val="24"/>
        </w:rPr>
        <w:t>按正本、副本分别封装，并标明</w:t>
      </w:r>
      <w:r>
        <w:rPr>
          <w:rFonts w:hint="eastAsia" w:ascii="宋体" w:hAnsi="宋体" w:cs="宋体"/>
          <w:kern w:val="0"/>
          <w:sz w:val="24"/>
        </w:rPr>
        <w:t>采购</w:t>
      </w:r>
      <w:r>
        <w:rPr>
          <w:rFonts w:ascii="宋体" w:hAnsi="宋体" w:cs="宋体"/>
          <w:kern w:val="0"/>
          <w:sz w:val="24"/>
        </w:rPr>
        <w:t>项目名称、供应商名称、地址、邮政编码及“</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字样</w:t>
      </w:r>
      <w:r>
        <w:rPr>
          <w:rFonts w:ascii="宋体" w:hAnsi="宋体" w:cs="宋体"/>
          <w:kern w:val="0"/>
          <w:sz w:val="24"/>
        </w:rPr>
        <w:t>。再将</w:t>
      </w:r>
      <w:r>
        <w:rPr>
          <w:rFonts w:hint="eastAsia" w:ascii="宋体" w:hAnsi="宋体" w:cs="宋体"/>
          <w:kern w:val="0"/>
          <w:sz w:val="24"/>
        </w:rPr>
        <w:t>单独</w:t>
      </w:r>
      <w:r>
        <w:rPr>
          <w:rFonts w:ascii="宋体" w:hAnsi="宋体" w:cs="宋体"/>
          <w:kern w:val="0"/>
          <w:sz w:val="24"/>
        </w:rPr>
        <w:t>密封包装的</w:t>
      </w:r>
      <w:r>
        <w:rPr>
          <w:rFonts w:hint="eastAsia" w:ascii="宋体" w:hAnsi="宋体" w:cs="宋体"/>
          <w:kern w:val="0"/>
          <w:sz w:val="24"/>
        </w:rPr>
        <w:t>全套</w:t>
      </w:r>
      <w:r>
        <w:rPr>
          <w:rFonts w:ascii="宋体" w:hAnsi="宋体" w:cs="宋体"/>
          <w:kern w:val="0"/>
          <w:sz w:val="24"/>
        </w:rPr>
        <w:t>正本、副本文件统一封装在</w:t>
      </w:r>
      <w:r>
        <w:rPr>
          <w:rFonts w:hint="eastAsia" w:ascii="宋体" w:hAnsi="宋体" w:cs="宋体"/>
          <w:kern w:val="0"/>
          <w:sz w:val="24"/>
        </w:rPr>
        <w:t>一件</w:t>
      </w:r>
      <w:r>
        <w:rPr>
          <w:rFonts w:ascii="宋体" w:hAnsi="宋体" w:cs="宋体"/>
          <w:kern w:val="0"/>
          <w:sz w:val="24"/>
        </w:rPr>
        <w:t>包装内。</w:t>
      </w:r>
    </w:p>
    <w:p w14:paraId="35D3EABA">
      <w:pPr>
        <w:spacing w:line="360" w:lineRule="auto"/>
        <w:ind w:firstLine="480" w:firstLineChars="200"/>
        <w:rPr>
          <w:rFonts w:ascii="宋体" w:hAnsi="宋体" w:cs="宋体"/>
          <w:kern w:val="0"/>
          <w:sz w:val="24"/>
        </w:rPr>
      </w:pPr>
      <w:r>
        <w:rPr>
          <w:rFonts w:ascii="宋体" w:hAnsi="宋体" w:cs="宋体"/>
          <w:kern w:val="0"/>
          <w:sz w:val="24"/>
        </w:rPr>
        <w:t>1.2.3 每一密封</w:t>
      </w:r>
      <w:r>
        <w:rPr>
          <w:rFonts w:hint="eastAsia" w:ascii="宋体" w:hAnsi="宋体" w:cs="宋体"/>
          <w:kern w:val="0"/>
          <w:sz w:val="24"/>
        </w:rPr>
        <w:t>袋的封口处均应加盖密封章或供应商公章，</w:t>
      </w:r>
      <w:r>
        <w:rPr>
          <w:rFonts w:ascii="宋体" w:hAnsi="宋体" w:cs="宋体"/>
          <w:kern w:val="0"/>
          <w:sz w:val="24"/>
        </w:rPr>
        <w:t>并在封面上标明</w:t>
      </w:r>
      <w:r>
        <w:rPr>
          <w:rFonts w:hint="eastAsia" w:ascii="宋体" w:hAnsi="宋体" w:cs="宋体"/>
          <w:kern w:val="0"/>
          <w:sz w:val="24"/>
        </w:rPr>
        <w:t>采购项目名称、供应商名称及“在xxxx年xx月xx日</w:t>
      </w:r>
      <w:r>
        <w:rPr>
          <w:rFonts w:ascii="宋体" w:hAnsi="宋体" w:cs="宋体"/>
          <w:kern w:val="0"/>
          <w:sz w:val="24"/>
        </w:rPr>
        <w:t>（</w:t>
      </w:r>
      <w:r>
        <w:rPr>
          <w:rFonts w:hint="eastAsia" w:ascii="宋体" w:hAnsi="宋体" w:cs="宋体"/>
          <w:kern w:val="0"/>
          <w:sz w:val="24"/>
        </w:rPr>
        <w:t>评审时间</w:t>
      </w:r>
      <w:r>
        <w:rPr>
          <w:rFonts w:ascii="宋体" w:hAnsi="宋体" w:cs="宋体"/>
          <w:kern w:val="0"/>
          <w:sz w:val="24"/>
        </w:rPr>
        <w:t>）之前不准启封</w:t>
      </w:r>
      <w:r>
        <w:rPr>
          <w:rFonts w:hint="eastAsia" w:ascii="宋体" w:hAnsi="宋体" w:cs="宋体"/>
          <w:kern w:val="0"/>
          <w:sz w:val="24"/>
        </w:rPr>
        <w:t>”的</w:t>
      </w:r>
      <w:r>
        <w:rPr>
          <w:rFonts w:ascii="宋体" w:hAnsi="宋体" w:cs="宋体"/>
          <w:kern w:val="0"/>
          <w:sz w:val="24"/>
        </w:rPr>
        <w:t>字样。</w:t>
      </w:r>
    </w:p>
    <w:p w14:paraId="70FCCB20">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1.3 </w:t>
      </w:r>
      <w:r>
        <w:rPr>
          <w:rFonts w:hint="eastAsia" w:ascii="宋体" w:hAnsi="宋体" w:cs="宋体"/>
          <w:kern w:val="0"/>
          <w:sz w:val="24"/>
        </w:rPr>
        <w:t>谈判文件</w:t>
      </w:r>
      <w:r>
        <w:rPr>
          <w:rFonts w:ascii="宋体" w:hAnsi="宋体" w:cs="宋体"/>
          <w:kern w:val="0"/>
          <w:sz w:val="24"/>
        </w:rPr>
        <w:t>的提交：供应商应</w:t>
      </w:r>
      <w:r>
        <w:rPr>
          <w:rFonts w:hint="eastAsia" w:ascii="宋体" w:hAnsi="宋体" w:cs="宋体"/>
          <w:kern w:val="0"/>
          <w:sz w:val="24"/>
        </w:rPr>
        <w:t>于谈判文件递交</w:t>
      </w:r>
      <w:r>
        <w:rPr>
          <w:rFonts w:ascii="宋体" w:hAnsi="宋体" w:cs="宋体"/>
          <w:kern w:val="0"/>
          <w:sz w:val="24"/>
        </w:rPr>
        <w:t>截止时间前由专人将</w:t>
      </w:r>
      <w:r>
        <w:rPr>
          <w:rFonts w:hint="eastAsia" w:ascii="宋体" w:hAnsi="宋体" w:cs="宋体"/>
          <w:kern w:val="0"/>
          <w:sz w:val="24"/>
        </w:rPr>
        <w:t>谈判文件</w:t>
      </w:r>
      <w:r>
        <w:rPr>
          <w:rFonts w:ascii="宋体" w:hAnsi="宋体" w:cs="宋体"/>
          <w:kern w:val="0"/>
          <w:sz w:val="24"/>
        </w:rPr>
        <w:t>送至</w:t>
      </w:r>
      <w:r>
        <w:rPr>
          <w:rFonts w:hint="eastAsia" w:ascii="宋体" w:hAnsi="宋体" w:cs="宋体"/>
          <w:kern w:val="0"/>
          <w:sz w:val="24"/>
        </w:rPr>
        <w:t>指定地点</w:t>
      </w:r>
      <w:r>
        <w:rPr>
          <w:rFonts w:ascii="宋体" w:hAnsi="宋体" w:cs="宋体"/>
          <w:kern w:val="0"/>
          <w:sz w:val="24"/>
        </w:rPr>
        <w:t>。</w:t>
      </w:r>
    </w:p>
    <w:p w14:paraId="6A9DDDE7">
      <w:pPr>
        <w:widowControl/>
        <w:spacing w:line="360" w:lineRule="auto"/>
        <w:ind w:firstLine="480" w:firstLineChars="200"/>
        <w:jc w:val="left"/>
        <w:rPr>
          <w:rFonts w:ascii="宋体" w:hAnsi="宋体" w:cs="宋体"/>
          <w:kern w:val="0"/>
          <w:sz w:val="24"/>
        </w:rPr>
      </w:pPr>
      <w:r>
        <w:rPr>
          <w:rFonts w:ascii="宋体" w:hAnsi="宋体" w:cs="宋体"/>
          <w:kern w:val="0"/>
          <w:sz w:val="24"/>
        </w:rPr>
        <w:t xml:space="preserve">1.4 </w:t>
      </w:r>
      <w:r>
        <w:rPr>
          <w:rFonts w:hint="eastAsia" w:ascii="宋体" w:hAnsi="宋体" w:cs="宋体"/>
          <w:kern w:val="0"/>
          <w:sz w:val="24"/>
        </w:rPr>
        <w:t>供应商</w:t>
      </w:r>
      <w:r>
        <w:rPr>
          <w:rFonts w:ascii="宋体" w:hAnsi="宋体" w:cs="宋体"/>
          <w:kern w:val="0"/>
          <w:sz w:val="24"/>
        </w:rPr>
        <w:t>在递交</w:t>
      </w:r>
      <w:r>
        <w:rPr>
          <w:rFonts w:hint="eastAsia" w:ascii="宋体" w:hAnsi="宋体" w:cs="宋体"/>
          <w:kern w:val="0"/>
          <w:sz w:val="24"/>
        </w:rPr>
        <w:t>谈判文件</w:t>
      </w:r>
      <w:r>
        <w:rPr>
          <w:rFonts w:ascii="宋体" w:hAnsi="宋体" w:cs="宋体"/>
          <w:kern w:val="0"/>
          <w:sz w:val="24"/>
        </w:rPr>
        <w:t>时，应同时出示谈判文件要求的资质证明文件的复印件</w:t>
      </w:r>
      <w:r>
        <w:rPr>
          <w:rFonts w:ascii="宋体" w:hAnsi="宋体" w:cs="宋体"/>
          <w:spacing w:val="-6"/>
          <w:kern w:val="0"/>
          <w:sz w:val="24"/>
        </w:rPr>
        <w:t>并加盖有效公章，并按目录排列</w:t>
      </w:r>
      <w:r>
        <w:rPr>
          <w:rFonts w:hint="eastAsia" w:ascii="宋体" w:hAnsi="宋体" w:cs="宋体"/>
          <w:kern w:val="0"/>
          <w:sz w:val="24"/>
        </w:rPr>
        <w:t>。</w:t>
      </w:r>
    </w:p>
    <w:p w14:paraId="7378F304">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489EC5DF">
      <w:pPr>
        <w:spacing w:line="360" w:lineRule="auto"/>
        <w:ind w:firstLine="480" w:firstLineChars="200"/>
        <w:rPr>
          <w:rFonts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2964D880">
      <w:pPr>
        <w:spacing w:line="360" w:lineRule="auto"/>
        <w:ind w:firstLine="482" w:firstLineChars="200"/>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569BE4BC">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189E66AE">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2C11ABBF">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18BD2CC8">
      <w:pPr>
        <w:spacing w:line="360" w:lineRule="auto"/>
        <w:ind w:firstLine="480" w:firstLineChars="200"/>
        <w:rPr>
          <w:rFonts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30C93E00">
      <w:pPr>
        <w:spacing w:line="360" w:lineRule="auto"/>
        <w:ind w:firstLine="480" w:firstLineChars="200"/>
        <w:rPr>
          <w:rFonts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46BC667F">
      <w:pPr>
        <w:spacing w:line="360" w:lineRule="auto"/>
        <w:ind w:firstLine="482" w:firstLineChars="20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758485BE">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.否决</w:t>
      </w:r>
    </w:p>
    <w:p w14:paraId="626C0365">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0F012FC5">
      <w:pPr>
        <w:spacing w:line="360" w:lineRule="auto"/>
        <w:ind w:firstLine="480" w:firstLineChars="200"/>
        <w:rPr>
          <w:rFonts w:ascii="宋体" w:hAnsi="宋体"/>
          <w:kern w:val="0"/>
          <w:sz w:val="24"/>
        </w:rPr>
      </w:pPr>
      <w:r>
        <w:rPr>
          <w:rFonts w:hint="eastAsia" w:ascii="宋体" w:hAnsi="宋体"/>
          <w:kern w:val="0"/>
          <w:sz w:val="24"/>
        </w:rPr>
        <w:t>（1）逾期</w:t>
      </w:r>
      <w:r>
        <w:rPr>
          <w:rFonts w:ascii="宋体" w:hAnsi="宋体"/>
          <w:kern w:val="0"/>
          <w:sz w:val="24"/>
        </w:rPr>
        <w:t>送达的；</w:t>
      </w:r>
    </w:p>
    <w:p w14:paraId="10F6A348">
      <w:pPr>
        <w:spacing w:line="360" w:lineRule="auto"/>
        <w:ind w:firstLine="480" w:firstLineChars="200"/>
        <w:rPr>
          <w:rFonts w:ascii="宋体" w:hAnsi="宋体"/>
          <w:kern w:val="0"/>
          <w:sz w:val="24"/>
        </w:rPr>
      </w:pPr>
      <w:r>
        <w:rPr>
          <w:rFonts w:hint="eastAsia" w:ascii="宋体" w:hAnsi="宋体"/>
          <w:kern w:val="0"/>
          <w:sz w:val="24"/>
        </w:rPr>
        <w:t>（2）供应商针对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21385446">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484BDDD6">
      <w:pPr>
        <w:spacing w:line="360" w:lineRule="auto"/>
        <w:ind w:firstLine="480" w:firstLineChars="200"/>
        <w:rPr>
          <w:rFonts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03C64AAD">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.评审组织</w:t>
      </w:r>
    </w:p>
    <w:p w14:paraId="7B282101">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28234D3A">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243FE12B">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7DEC2BB2">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3C576C8B">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6A145048">
      <w:pPr>
        <w:spacing w:line="360" w:lineRule="auto"/>
        <w:ind w:firstLine="480" w:firstLineChars="200"/>
        <w:rPr>
          <w:rFonts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5CB2FD24">
      <w:pPr>
        <w:spacing w:line="360" w:lineRule="auto"/>
        <w:ind w:firstLine="480" w:firstLineChars="200"/>
        <w:rPr>
          <w:rFonts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67BD81BE">
      <w:pPr>
        <w:spacing w:line="360" w:lineRule="auto"/>
        <w:ind w:firstLine="480" w:firstLineChars="200"/>
        <w:rPr>
          <w:rFonts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17416ED1">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0C510F8F">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3F287EB2">
      <w:pPr>
        <w:spacing w:line="360" w:lineRule="auto"/>
        <w:ind w:firstLine="482" w:firstLineChars="200"/>
        <w:rPr>
          <w:rFonts w:ascii="宋体" w:hAnsi="宋体"/>
          <w:b/>
          <w:kern w:val="0"/>
          <w:sz w:val="24"/>
        </w:rPr>
      </w:pPr>
      <w:r>
        <w:rPr>
          <w:rFonts w:hint="eastAsia" w:ascii="宋体" w:hAnsi="宋体"/>
          <w:b/>
          <w:kern w:val="0"/>
          <w:sz w:val="24"/>
        </w:rPr>
        <w:t>5</w:t>
      </w:r>
      <w:r>
        <w:rPr>
          <w:rFonts w:ascii="宋体" w:hAnsi="宋体"/>
          <w:b/>
          <w:kern w:val="0"/>
          <w:sz w:val="24"/>
        </w:rPr>
        <w:t>.</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0E901E37">
      <w:pPr>
        <w:spacing w:line="360" w:lineRule="auto"/>
        <w:ind w:firstLine="480" w:firstLineChars="200"/>
        <w:rPr>
          <w:rFonts w:ascii="宋体" w:hAnsi="宋体"/>
          <w:kern w:val="0"/>
          <w:sz w:val="24"/>
        </w:rPr>
      </w:pPr>
      <w:r>
        <w:rPr>
          <w:rFonts w:hint="eastAsia" w:ascii="宋体" w:hAnsi="宋体"/>
          <w:kern w:val="0"/>
          <w:sz w:val="24"/>
        </w:rPr>
        <w:t>5.1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6C68AF17">
      <w:pPr>
        <w:spacing w:line="360" w:lineRule="auto"/>
        <w:ind w:firstLine="480" w:firstLineChars="200"/>
        <w:rPr>
          <w:rFonts w:ascii="宋体" w:hAnsi="宋体"/>
          <w:kern w:val="0"/>
          <w:sz w:val="24"/>
        </w:rPr>
      </w:pPr>
      <w:r>
        <w:rPr>
          <w:rFonts w:hint="eastAsia" w:ascii="宋体" w:hAnsi="宋体"/>
          <w:kern w:val="0"/>
          <w:sz w:val="24"/>
        </w:rPr>
        <w:t>5.</w:t>
      </w:r>
      <w:r>
        <w:rPr>
          <w:rFonts w:ascii="宋体" w:hAnsi="宋体"/>
          <w:kern w:val="0"/>
          <w:sz w:val="24"/>
        </w:rPr>
        <w:t xml:space="preserve">2 </w:t>
      </w:r>
      <w:r>
        <w:rPr>
          <w:rFonts w:hint="eastAsia" w:ascii="宋体" w:hAnsi="宋体"/>
          <w:kern w:val="0"/>
          <w:sz w:val="24"/>
        </w:rPr>
        <w:t>评审主要内容</w:t>
      </w:r>
    </w:p>
    <w:p w14:paraId="0FBA7E8F">
      <w:pPr>
        <w:spacing w:line="360" w:lineRule="auto"/>
        <w:ind w:firstLine="480" w:firstLineChars="200"/>
        <w:rPr>
          <w:rFonts w:ascii="宋体" w:hAnsi="宋体"/>
          <w:kern w:val="0"/>
          <w:sz w:val="24"/>
        </w:rPr>
      </w:pPr>
      <w:r>
        <w:rPr>
          <w:rFonts w:hint="eastAsia" w:ascii="宋体" w:hAnsi="宋体"/>
          <w:kern w:val="0"/>
          <w:sz w:val="24"/>
        </w:rPr>
        <w:t>5.</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019C9604">
      <w:pPr>
        <w:spacing w:line="360" w:lineRule="auto"/>
        <w:ind w:firstLine="480" w:firstLineChars="200"/>
        <w:rPr>
          <w:rFonts w:ascii="宋体" w:hAnsi="宋体"/>
          <w:kern w:val="0"/>
          <w:sz w:val="24"/>
        </w:rPr>
      </w:pPr>
      <w:r>
        <w:rPr>
          <w:rFonts w:hint="eastAsia" w:ascii="宋体" w:hAnsi="宋体"/>
          <w:kern w:val="0"/>
          <w:sz w:val="24"/>
        </w:rPr>
        <w:t>5.</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0DA26CF3">
      <w:pPr>
        <w:spacing w:line="360" w:lineRule="auto"/>
        <w:ind w:firstLine="480" w:firstLineChars="200"/>
        <w:rPr>
          <w:rFonts w:ascii="宋体" w:hAnsi="宋体"/>
          <w:kern w:val="0"/>
          <w:sz w:val="24"/>
        </w:rPr>
      </w:pPr>
      <w:r>
        <w:rPr>
          <w:rFonts w:hint="eastAsia" w:ascii="宋体" w:hAnsi="宋体"/>
          <w:kern w:val="0"/>
          <w:sz w:val="24"/>
        </w:rPr>
        <w:t>5</w:t>
      </w:r>
      <w:r>
        <w:rPr>
          <w:rFonts w:ascii="宋体" w:hAnsi="宋体"/>
          <w:kern w:val="0"/>
          <w:sz w:val="24"/>
        </w:rPr>
        <w:t xml:space="preserve">.2.3 </w:t>
      </w:r>
      <w:r>
        <w:rPr>
          <w:rFonts w:hint="eastAsia" w:ascii="宋体" w:hAnsi="宋体"/>
          <w:snapToGrid w:val="0"/>
          <w:kern w:val="0"/>
          <w:sz w:val="24"/>
          <w:szCs w:val="21"/>
        </w:rPr>
        <w:t>经评审的最低价法：（对报价不高于最高限价（若有）的所有报价人的谈判文件，按照报价由低到高的顺序排序。符合性审查合格的报价人中，报价最低的成为第一成交候选人，报价次低的成为第二成交候选人，依次类推</w:t>
      </w:r>
      <w:r>
        <w:rPr>
          <w:rFonts w:hint="eastAsia" w:ascii="宋体" w:hAnsi="宋体"/>
          <w:snapToGrid w:val="0"/>
          <w:color w:val="FF0000"/>
          <w:kern w:val="0"/>
          <w:sz w:val="24"/>
          <w:szCs w:val="21"/>
        </w:rPr>
        <w:t>）</w:t>
      </w:r>
    </w:p>
    <w:p w14:paraId="6A1842C2">
      <w:pPr>
        <w:spacing w:line="360" w:lineRule="auto"/>
        <w:ind w:firstLine="482" w:firstLineChars="200"/>
        <w:rPr>
          <w:rFonts w:ascii="宋体" w:hAnsi="宋体"/>
          <w:b/>
          <w:kern w:val="0"/>
          <w:sz w:val="24"/>
        </w:rPr>
      </w:pPr>
      <w:r>
        <w:rPr>
          <w:rFonts w:hint="eastAsia" w:ascii="宋体" w:hAnsi="宋体"/>
          <w:b/>
          <w:kern w:val="0"/>
          <w:sz w:val="24"/>
        </w:rPr>
        <w:t>6</w:t>
      </w:r>
      <w:r>
        <w:rPr>
          <w:rFonts w:ascii="宋体" w:hAnsi="宋体"/>
          <w:b/>
          <w:kern w:val="0"/>
          <w:sz w:val="24"/>
        </w:rPr>
        <w:t>.</w:t>
      </w:r>
      <w:r>
        <w:rPr>
          <w:rFonts w:hint="eastAsia" w:ascii="宋体" w:hAnsi="宋体"/>
          <w:b/>
          <w:kern w:val="0"/>
          <w:sz w:val="24"/>
        </w:rPr>
        <w:t>保密</w:t>
      </w:r>
    </w:p>
    <w:p w14:paraId="6E68203E">
      <w:pPr>
        <w:spacing w:line="360" w:lineRule="auto"/>
        <w:ind w:firstLine="480" w:firstLineChars="200"/>
        <w:rPr>
          <w:rFonts w:ascii="宋体" w:hAnsi="宋体"/>
          <w:kern w:val="0"/>
          <w:sz w:val="24"/>
        </w:rPr>
      </w:pPr>
      <w:r>
        <w:rPr>
          <w:rFonts w:hint="eastAsia" w:ascii="宋体" w:hAnsi="宋体"/>
          <w:kern w:val="0"/>
          <w:sz w:val="24"/>
        </w:rPr>
        <w:t>6.1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28F01AF7">
      <w:pPr>
        <w:spacing w:line="360" w:lineRule="auto"/>
        <w:ind w:firstLine="482" w:firstLineChars="200"/>
        <w:rPr>
          <w:rFonts w:ascii="宋体" w:hAnsi="宋体"/>
          <w:b/>
          <w:kern w:val="0"/>
          <w:sz w:val="24"/>
        </w:rPr>
      </w:pPr>
      <w:r>
        <w:rPr>
          <w:rFonts w:hint="eastAsia" w:ascii="宋体" w:hAnsi="宋体"/>
          <w:b/>
          <w:kern w:val="0"/>
          <w:sz w:val="24"/>
        </w:rPr>
        <w:t>六</w:t>
      </w:r>
      <w:r>
        <w:rPr>
          <w:rFonts w:ascii="宋体" w:hAnsi="宋体"/>
          <w:b/>
          <w:kern w:val="0"/>
          <w:sz w:val="24"/>
        </w:rPr>
        <w:t>、授予合同</w:t>
      </w:r>
    </w:p>
    <w:p w14:paraId="05931B5A">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19788B4F">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1CE07CCA">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5D9B6B26">
      <w:pPr>
        <w:spacing w:line="360" w:lineRule="auto"/>
        <w:ind w:firstLine="480" w:firstLineChars="200"/>
        <w:rPr>
          <w:rFonts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66C33960">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5F8488CB">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3887437A">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73B0943F">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51A40871">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26822110">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2BEE89BD">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72ECEB21">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71227C04">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12F9C2CE">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607C0CDE">
      <w:pPr>
        <w:widowControl/>
        <w:jc w:val="center"/>
        <w:rPr>
          <w:rFonts w:ascii="宋体" w:hAnsi="宋体"/>
          <w:kern w:val="0"/>
          <w:sz w:val="28"/>
          <w:szCs w:val="28"/>
        </w:rPr>
      </w:pPr>
    </w:p>
    <w:p w14:paraId="5A3FEED8">
      <w:pPr>
        <w:widowControl/>
        <w:jc w:val="center"/>
        <w:rPr>
          <w:rFonts w:ascii="宋体" w:hAnsi="宋体"/>
          <w:kern w:val="0"/>
          <w:sz w:val="28"/>
          <w:szCs w:val="28"/>
        </w:rPr>
      </w:pPr>
    </w:p>
    <w:p w14:paraId="7C113764">
      <w:pPr>
        <w:widowControl/>
        <w:jc w:val="center"/>
        <w:rPr>
          <w:rFonts w:ascii="宋体" w:hAnsi="宋体"/>
          <w:kern w:val="0"/>
          <w:sz w:val="28"/>
          <w:szCs w:val="28"/>
        </w:rPr>
      </w:pPr>
    </w:p>
    <w:p w14:paraId="4C767BFE">
      <w:pPr>
        <w:widowControl/>
        <w:jc w:val="center"/>
        <w:rPr>
          <w:rFonts w:ascii="宋体" w:hAnsi="宋体"/>
          <w:kern w:val="0"/>
          <w:sz w:val="28"/>
          <w:szCs w:val="28"/>
        </w:rPr>
      </w:pPr>
    </w:p>
    <w:p w14:paraId="3D7CA581">
      <w:pPr>
        <w:widowControl/>
        <w:jc w:val="center"/>
        <w:rPr>
          <w:rFonts w:ascii="宋体" w:hAnsi="宋体"/>
          <w:kern w:val="0"/>
          <w:sz w:val="28"/>
          <w:szCs w:val="28"/>
        </w:rPr>
      </w:pPr>
    </w:p>
    <w:p w14:paraId="1794785D">
      <w:pPr>
        <w:widowControl/>
        <w:jc w:val="center"/>
        <w:rPr>
          <w:rFonts w:ascii="宋体" w:hAnsi="宋体"/>
          <w:kern w:val="0"/>
          <w:sz w:val="28"/>
          <w:szCs w:val="28"/>
        </w:rPr>
      </w:pPr>
    </w:p>
    <w:p w14:paraId="483A61BD">
      <w:pPr>
        <w:widowControl/>
        <w:jc w:val="center"/>
        <w:rPr>
          <w:rFonts w:ascii="宋体" w:hAnsi="宋体"/>
          <w:kern w:val="0"/>
          <w:sz w:val="28"/>
          <w:szCs w:val="28"/>
        </w:rPr>
      </w:pPr>
    </w:p>
    <w:p w14:paraId="4F82C480">
      <w:pPr>
        <w:widowControl/>
        <w:jc w:val="center"/>
        <w:rPr>
          <w:rFonts w:ascii="宋体" w:hAnsi="宋体"/>
          <w:kern w:val="0"/>
          <w:sz w:val="28"/>
          <w:szCs w:val="28"/>
        </w:rPr>
      </w:pPr>
    </w:p>
    <w:p w14:paraId="50DAD414">
      <w:pPr>
        <w:widowControl/>
        <w:jc w:val="center"/>
        <w:rPr>
          <w:rFonts w:ascii="宋体" w:hAnsi="宋体"/>
          <w:kern w:val="0"/>
          <w:sz w:val="28"/>
          <w:szCs w:val="28"/>
        </w:rPr>
      </w:pPr>
    </w:p>
    <w:p w14:paraId="485EF04A">
      <w:pPr>
        <w:widowControl/>
        <w:jc w:val="center"/>
        <w:rPr>
          <w:rFonts w:ascii="宋体" w:hAnsi="宋体"/>
          <w:kern w:val="0"/>
          <w:sz w:val="28"/>
          <w:szCs w:val="28"/>
        </w:rPr>
      </w:pPr>
    </w:p>
    <w:p w14:paraId="75F76153">
      <w:pPr>
        <w:widowControl/>
        <w:jc w:val="center"/>
        <w:rPr>
          <w:rFonts w:ascii="宋体" w:hAnsi="宋体"/>
          <w:kern w:val="0"/>
          <w:sz w:val="28"/>
          <w:szCs w:val="28"/>
        </w:rPr>
      </w:pPr>
    </w:p>
    <w:p w14:paraId="58DC48FA">
      <w:pPr>
        <w:widowControl/>
        <w:jc w:val="center"/>
        <w:rPr>
          <w:rFonts w:ascii="宋体" w:hAnsi="宋体"/>
          <w:kern w:val="0"/>
          <w:sz w:val="28"/>
          <w:szCs w:val="28"/>
        </w:rPr>
      </w:pPr>
    </w:p>
    <w:p w14:paraId="2B2FB190">
      <w:pPr>
        <w:widowControl/>
        <w:jc w:val="center"/>
        <w:rPr>
          <w:rFonts w:ascii="宋体" w:hAnsi="宋体"/>
          <w:kern w:val="0"/>
          <w:sz w:val="28"/>
          <w:szCs w:val="28"/>
        </w:rPr>
      </w:pPr>
    </w:p>
    <w:p w14:paraId="65F9A4DF">
      <w:pPr>
        <w:widowControl/>
        <w:jc w:val="center"/>
        <w:rPr>
          <w:rFonts w:ascii="宋体" w:hAnsi="宋体"/>
          <w:kern w:val="0"/>
          <w:sz w:val="28"/>
          <w:szCs w:val="28"/>
        </w:rPr>
      </w:pPr>
    </w:p>
    <w:p w14:paraId="4F7AC22E">
      <w:pPr>
        <w:widowControl/>
        <w:jc w:val="center"/>
        <w:rPr>
          <w:rFonts w:ascii="宋体" w:hAnsi="宋体"/>
          <w:kern w:val="0"/>
          <w:sz w:val="28"/>
          <w:szCs w:val="28"/>
        </w:rPr>
      </w:pPr>
    </w:p>
    <w:p w14:paraId="143DE7B2">
      <w:pPr>
        <w:widowControl/>
        <w:jc w:val="center"/>
        <w:rPr>
          <w:rFonts w:ascii="宋体" w:hAnsi="宋体"/>
          <w:kern w:val="0"/>
          <w:sz w:val="28"/>
          <w:szCs w:val="28"/>
        </w:rPr>
      </w:pPr>
    </w:p>
    <w:p w14:paraId="2D935A35">
      <w:pPr>
        <w:widowControl/>
        <w:jc w:val="center"/>
        <w:rPr>
          <w:rFonts w:ascii="宋体" w:hAnsi="宋体"/>
          <w:kern w:val="0"/>
          <w:sz w:val="28"/>
          <w:szCs w:val="28"/>
        </w:rPr>
      </w:pPr>
    </w:p>
    <w:p w14:paraId="7A29B9FA">
      <w:pPr>
        <w:widowControl/>
        <w:jc w:val="center"/>
        <w:rPr>
          <w:rFonts w:ascii="宋体" w:hAnsi="宋体"/>
          <w:kern w:val="0"/>
          <w:sz w:val="28"/>
          <w:szCs w:val="28"/>
        </w:rPr>
      </w:pPr>
    </w:p>
    <w:p w14:paraId="30B9483C">
      <w:pPr>
        <w:widowControl/>
        <w:jc w:val="center"/>
        <w:rPr>
          <w:rFonts w:ascii="宋体" w:hAnsi="宋体"/>
          <w:kern w:val="0"/>
          <w:sz w:val="28"/>
          <w:szCs w:val="28"/>
        </w:rPr>
      </w:pPr>
    </w:p>
    <w:p w14:paraId="632028FD">
      <w:pPr>
        <w:widowControl/>
        <w:jc w:val="center"/>
        <w:rPr>
          <w:rFonts w:ascii="宋体" w:hAnsi="宋体"/>
          <w:kern w:val="0"/>
          <w:sz w:val="28"/>
          <w:szCs w:val="28"/>
        </w:rPr>
      </w:pPr>
    </w:p>
    <w:p w14:paraId="3C9D9371">
      <w:pPr>
        <w:widowControl/>
        <w:jc w:val="center"/>
        <w:rPr>
          <w:rFonts w:ascii="宋体" w:hAnsi="宋体"/>
          <w:kern w:val="0"/>
          <w:sz w:val="28"/>
          <w:szCs w:val="28"/>
        </w:rPr>
      </w:pPr>
    </w:p>
    <w:p w14:paraId="1D89DFF6">
      <w:pPr>
        <w:widowControl/>
        <w:jc w:val="center"/>
        <w:rPr>
          <w:rFonts w:ascii="宋体" w:hAnsi="宋体"/>
          <w:kern w:val="0"/>
          <w:sz w:val="28"/>
          <w:szCs w:val="28"/>
        </w:rPr>
      </w:pPr>
    </w:p>
    <w:p w14:paraId="6E867DAC">
      <w:pPr>
        <w:widowControl/>
        <w:jc w:val="center"/>
        <w:rPr>
          <w:rFonts w:ascii="宋体" w:hAnsi="宋体"/>
          <w:kern w:val="0"/>
          <w:sz w:val="28"/>
          <w:szCs w:val="28"/>
        </w:rPr>
      </w:pPr>
    </w:p>
    <w:p w14:paraId="4818F171">
      <w:pPr>
        <w:widowControl/>
        <w:jc w:val="center"/>
        <w:rPr>
          <w:rFonts w:ascii="宋体" w:hAnsi="宋体"/>
          <w:kern w:val="0"/>
          <w:sz w:val="28"/>
          <w:szCs w:val="28"/>
        </w:rPr>
      </w:pPr>
    </w:p>
    <w:p w14:paraId="26B833A6">
      <w:pPr>
        <w:widowControl/>
        <w:jc w:val="center"/>
        <w:rPr>
          <w:rFonts w:ascii="宋体" w:hAnsi="宋体"/>
          <w:kern w:val="0"/>
          <w:sz w:val="28"/>
          <w:szCs w:val="28"/>
        </w:rPr>
      </w:pPr>
    </w:p>
    <w:p w14:paraId="3948D94C">
      <w:pPr>
        <w:widowControl/>
        <w:jc w:val="center"/>
        <w:rPr>
          <w:rFonts w:ascii="宋体" w:hAnsi="宋体"/>
          <w:kern w:val="0"/>
          <w:sz w:val="28"/>
          <w:szCs w:val="28"/>
        </w:rPr>
      </w:pPr>
    </w:p>
    <w:p w14:paraId="177205D8">
      <w:pPr>
        <w:widowControl/>
        <w:jc w:val="center"/>
        <w:rPr>
          <w:rFonts w:ascii="宋体" w:hAnsi="宋体"/>
          <w:kern w:val="0"/>
          <w:sz w:val="28"/>
          <w:szCs w:val="28"/>
        </w:rPr>
      </w:pPr>
    </w:p>
    <w:p w14:paraId="3CEAF492">
      <w:pPr>
        <w:widowControl/>
        <w:rPr>
          <w:rFonts w:ascii="宋体" w:hAnsi="宋体"/>
          <w:kern w:val="0"/>
          <w:sz w:val="28"/>
          <w:szCs w:val="28"/>
        </w:rPr>
      </w:pPr>
    </w:p>
    <w:p w14:paraId="61C8EE58">
      <w:pPr>
        <w:pStyle w:val="2"/>
        <w:spacing w:before="240" w:beforeLines="100" w:after="360" w:afterLines="150" w:line="276" w:lineRule="auto"/>
        <w:jc w:val="center"/>
        <w:rPr>
          <w:rFonts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7C97B574">
      <w:pPr>
        <w:rPr>
          <w:rFonts w:ascii="宋体" w:hAnsi="宋体"/>
          <w:b/>
          <w:kern w:val="0"/>
          <w:sz w:val="24"/>
        </w:rPr>
      </w:pPr>
    </w:p>
    <w:p w14:paraId="53281F12">
      <w:pPr>
        <w:ind w:firstLine="643" w:firstLineChars="200"/>
        <w:jc w:val="center"/>
        <w:rPr>
          <w:rFonts w:ascii="宋体" w:hAnsi="宋体"/>
          <w:b/>
          <w:kern w:val="0"/>
          <w:sz w:val="32"/>
        </w:rPr>
      </w:pPr>
      <w:r>
        <w:rPr>
          <w:rFonts w:hint="eastAsia" w:ascii="宋体" w:hAnsi="宋体"/>
          <w:b/>
          <w:kern w:val="0"/>
          <w:sz w:val="32"/>
        </w:rPr>
        <w:t>附件1 谈判响应书</w:t>
      </w:r>
    </w:p>
    <w:p w14:paraId="03C06FB0">
      <w:pPr>
        <w:rPr>
          <w:rFonts w:ascii="宋体" w:hAnsi="宋体"/>
          <w:sz w:val="24"/>
        </w:rPr>
      </w:pPr>
    </w:p>
    <w:p w14:paraId="52092469">
      <w:pPr>
        <w:rPr>
          <w:rFonts w:ascii="宋体" w:hAnsi="宋体"/>
          <w:sz w:val="24"/>
        </w:rPr>
      </w:pPr>
      <w:r>
        <w:rPr>
          <w:rFonts w:ascii="宋体" w:hAnsi="宋体"/>
          <w:sz w:val="24"/>
        </w:rPr>
        <w:t>致：</w:t>
      </w:r>
      <w:r>
        <w:rPr>
          <w:rFonts w:hint="eastAsia" w:ascii="宋体" w:hAnsi="宋体"/>
          <w:sz w:val="24"/>
          <w:u w:val="single"/>
        </w:rPr>
        <w:t>重庆天泽新材料有限公司</w:t>
      </w:r>
    </w:p>
    <w:p w14:paraId="51B1CC5D">
      <w:pPr>
        <w:rPr>
          <w:rFonts w:ascii="宋体" w:hAnsi="宋体"/>
          <w:sz w:val="24"/>
        </w:rPr>
      </w:pPr>
    </w:p>
    <w:p w14:paraId="568E801F">
      <w:pPr>
        <w:pStyle w:val="37"/>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rPr>
        <w:t>一</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3320CA37">
      <w:pPr>
        <w:pStyle w:val="37"/>
        <w:numPr>
          <w:ilvl w:val="0"/>
          <w:numId w:val="6"/>
        </w:numPr>
        <w:ind w:firstLineChars="0"/>
        <w:rPr>
          <w:rFonts w:ascii="宋体" w:hAnsi="宋体"/>
          <w:color w:val="auto"/>
        </w:rPr>
      </w:pPr>
      <w:r>
        <w:rPr>
          <w:rFonts w:hint="eastAsia" w:ascii="宋体" w:hAnsi="宋体"/>
          <w:color w:val="auto"/>
        </w:rPr>
        <w:t>供应商</w:t>
      </w:r>
      <w:r>
        <w:rPr>
          <w:rFonts w:ascii="宋体" w:hAnsi="宋体"/>
          <w:color w:val="auto"/>
        </w:rPr>
        <w:t>基本情况表</w:t>
      </w:r>
    </w:p>
    <w:p w14:paraId="18145A6C">
      <w:pPr>
        <w:pStyle w:val="37"/>
        <w:numPr>
          <w:ilvl w:val="0"/>
          <w:numId w:val="6"/>
        </w:numPr>
        <w:ind w:firstLineChars="0"/>
        <w:rPr>
          <w:rFonts w:ascii="宋体" w:hAnsi="宋体"/>
          <w:color w:val="auto"/>
        </w:rPr>
      </w:pPr>
      <w:r>
        <w:rPr>
          <w:rFonts w:hint="eastAsia" w:ascii="宋体" w:hAnsi="宋体"/>
          <w:color w:val="auto"/>
        </w:rPr>
        <w:t>供应商</w:t>
      </w:r>
      <w:r>
        <w:rPr>
          <w:rFonts w:ascii="宋体" w:hAnsi="宋体"/>
          <w:color w:val="auto"/>
        </w:rPr>
        <w:t>资格证明文件</w:t>
      </w:r>
    </w:p>
    <w:p w14:paraId="0741925A">
      <w:pPr>
        <w:pStyle w:val="37"/>
        <w:numPr>
          <w:ilvl w:val="0"/>
          <w:numId w:val="6"/>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r>
        <w:rPr>
          <w:rFonts w:hint="eastAsia" w:ascii="宋体" w:hAnsi="宋体"/>
          <w:color w:val="auto"/>
        </w:rPr>
        <w:t xml:space="preserve"> </w:t>
      </w:r>
    </w:p>
    <w:p w14:paraId="0E2409D8">
      <w:pPr>
        <w:pStyle w:val="37"/>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5678963F">
      <w:pPr>
        <w:pStyle w:val="37"/>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14:paraId="5304C8E4">
      <w:pPr>
        <w:pStyle w:val="37"/>
        <w:tabs>
          <w:tab w:val="left" w:pos="780"/>
        </w:tabs>
        <w:ind w:firstLineChars="0"/>
        <w:rPr>
          <w:rFonts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0CAC8696">
      <w:pPr>
        <w:pStyle w:val="37"/>
        <w:numPr>
          <w:ilvl w:val="0"/>
          <w:numId w:val="7"/>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5FFB75BF">
      <w:pPr>
        <w:pStyle w:val="37"/>
        <w:tabs>
          <w:tab w:val="left" w:pos="780"/>
        </w:tabs>
        <w:ind w:firstLineChars="0"/>
        <w:rPr>
          <w:rFonts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106DF55C">
      <w:pPr>
        <w:pStyle w:val="37"/>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3C5CFA3B">
      <w:pPr>
        <w:pStyle w:val="37"/>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7AE53580">
      <w:pPr>
        <w:pStyle w:val="37"/>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6C5BA1F2">
      <w:pPr>
        <w:pStyle w:val="37"/>
        <w:rPr>
          <w:rFonts w:ascii="宋体" w:hAnsi="宋体"/>
          <w:color w:val="auto"/>
        </w:rPr>
      </w:pPr>
      <w:r>
        <w:rPr>
          <w:rFonts w:ascii="宋体" w:hAnsi="宋体"/>
          <w:color w:val="auto"/>
        </w:rPr>
        <w:t>电子邮件：</w:t>
      </w:r>
      <w:r>
        <w:rPr>
          <w:rFonts w:ascii="宋体" w:hAnsi="宋体"/>
          <w:color w:val="auto"/>
          <w:u w:val="single"/>
        </w:rPr>
        <w:t xml:space="preserve">                             </w:t>
      </w:r>
    </w:p>
    <w:p w14:paraId="2CB3F1E5">
      <w:pPr>
        <w:pStyle w:val="37"/>
        <w:spacing w:line="480" w:lineRule="auto"/>
        <w:ind w:firstLine="3120" w:firstLineChars="1300"/>
        <w:rPr>
          <w:rFonts w:ascii="宋体" w:hAnsi="宋体"/>
          <w:color w:val="auto"/>
        </w:rPr>
      </w:pPr>
      <w:r>
        <w:rPr>
          <w:rFonts w:ascii="宋体" w:hAnsi="宋体"/>
          <w:color w:val="auto"/>
        </w:rPr>
        <w:t xml:space="preserve">授权代表签字：                         </w:t>
      </w:r>
    </w:p>
    <w:p w14:paraId="6FC1CD36">
      <w:pPr>
        <w:pStyle w:val="37"/>
        <w:spacing w:line="480" w:lineRule="auto"/>
        <w:ind w:firstLine="3360" w:firstLineChars="1400"/>
        <w:rPr>
          <w:rFonts w:ascii="宋体" w:hAnsi="宋体"/>
          <w:color w:val="auto"/>
        </w:rPr>
      </w:pPr>
      <w:r>
        <w:rPr>
          <w:rFonts w:ascii="宋体" w:hAnsi="宋体"/>
          <w:color w:val="auto"/>
        </w:rPr>
        <w:t>供应商名称：              （加盖公章）</w:t>
      </w:r>
    </w:p>
    <w:p w14:paraId="3685C86F">
      <w:pPr>
        <w:pStyle w:val="37"/>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14:paraId="5ADBDADF">
      <w:pPr>
        <w:spacing w:line="480" w:lineRule="auto"/>
        <w:ind w:firstLine="7590" w:firstLineChars="2700"/>
        <w:rPr>
          <w:rFonts w:ascii="宋体" w:hAnsi="宋体"/>
          <w:b/>
          <w:kern w:val="0"/>
          <w:sz w:val="28"/>
          <w:szCs w:val="28"/>
        </w:rPr>
      </w:pPr>
      <w:r>
        <w:rPr>
          <w:rFonts w:ascii="宋体" w:hAnsi="宋体"/>
          <w:b/>
          <w:kern w:val="0"/>
          <w:sz w:val="28"/>
          <w:szCs w:val="28"/>
        </w:rPr>
        <w:br w:type="page"/>
      </w:r>
    </w:p>
    <w:p w14:paraId="27A3D49F">
      <w:pPr>
        <w:pStyle w:val="37"/>
        <w:spacing w:line="480" w:lineRule="auto"/>
        <w:ind w:firstLine="643"/>
        <w:jc w:val="center"/>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40BA4ECB">
      <w:pPr>
        <w:pStyle w:val="37"/>
        <w:spacing w:line="480" w:lineRule="auto"/>
        <w:ind w:firstLine="482"/>
        <w:jc w:val="center"/>
        <w:rPr>
          <w:rFonts w:ascii="宋体" w:hAnsi="宋体"/>
          <w:b/>
          <w:color w:val="auto"/>
          <w:kern w:val="0"/>
        </w:rPr>
      </w:pPr>
    </w:p>
    <w:p w14:paraId="71042B8D">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重庆天泽新材料有限公司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52B0AA61">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54F5F22D">
      <w:pPr>
        <w:spacing w:line="480" w:lineRule="auto"/>
        <w:rPr>
          <w:rFonts w:ascii="宋体" w:hAnsi="宋体"/>
          <w:color w:val="000000"/>
          <w:sz w:val="24"/>
        </w:rPr>
      </w:pPr>
    </w:p>
    <w:p w14:paraId="14DA1507">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166AB8EE">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683AD9DA">
      <w:pPr>
        <w:rPr>
          <w:rFonts w:ascii="宋体" w:hAnsi="宋体"/>
          <w:color w:val="000000"/>
        </w:rPr>
      </w:pPr>
    </w:p>
    <w:p w14:paraId="2918F7DD">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1083DA7C">
      <w:pPr>
        <w:spacing w:line="360" w:lineRule="auto"/>
        <w:rPr>
          <w:rFonts w:ascii="宋体" w:hAnsi="宋体"/>
          <w:color w:val="000000"/>
          <w:sz w:val="24"/>
        </w:rPr>
      </w:pPr>
    </w:p>
    <w:p w14:paraId="0830027E">
      <w:pPr>
        <w:spacing w:line="360" w:lineRule="auto"/>
        <w:rPr>
          <w:rFonts w:ascii="宋体" w:hAnsi="宋体"/>
          <w:color w:val="000000"/>
          <w:sz w:val="18"/>
          <w:szCs w:val="18"/>
        </w:rPr>
        <w:sectPr>
          <w:headerReference r:id="rId5" w:type="default"/>
          <w:footerReference r:id="rId6" w:type="default"/>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5CAF23C6">
      <w:pPr>
        <w:widowControl/>
        <w:jc w:val="center"/>
        <w:rPr>
          <w:rFonts w:hint="default" w:ascii="宋体" w:hAnsi="宋体" w:eastAsia="宋体"/>
          <w:b/>
          <w:kern w:val="0"/>
          <w:sz w:val="32"/>
          <w:szCs w:val="28"/>
          <w:lang w:val="en-US" w:eastAsia="zh-CN"/>
        </w:rPr>
      </w:pPr>
      <w:r>
        <w:rPr>
          <w:rFonts w:hint="eastAsia" w:ascii="宋体" w:hAnsi="宋体"/>
          <w:b/>
          <w:kern w:val="0"/>
          <w:sz w:val="32"/>
          <w:szCs w:val="28"/>
        </w:rPr>
        <w:t>附件</w:t>
      </w:r>
      <w:r>
        <w:rPr>
          <w:rFonts w:hint="eastAsia" w:ascii="宋体" w:hAnsi="宋体"/>
          <w:b/>
          <w:kern w:val="0"/>
          <w:sz w:val="32"/>
          <w:szCs w:val="28"/>
          <w:lang w:val="en-US" w:eastAsia="zh-CN"/>
        </w:rPr>
        <w:t>3</w:t>
      </w:r>
      <w:r>
        <w:rPr>
          <w:rFonts w:hint="eastAsia" w:ascii="宋体" w:hAnsi="宋体"/>
          <w:b/>
          <w:kern w:val="0"/>
          <w:sz w:val="32"/>
          <w:szCs w:val="28"/>
        </w:rPr>
        <w:t xml:space="preserve">  </w:t>
      </w:r>
      <w:r>
        <w:rPr>
          <w:rFonts w:hint="eastAsia" w:ascii="宋体" w:hAnsi="宋体"/>
          <w:b/>
          <w:kern w:val="0"/>
          <w:sz w:val="32"/>
          <w:szCs w:val="28"/>
          <w:lang w:val="en-US" w:eastAsia="zh-CN"/>
        </w:rPr>
        <w:t>资格证明</w:t>
      </w:r>
    </w:p>
    <w:p w14:paraId="593EFD6E">
      <w:pPr>
        <w:spacing w:line="480" w:lineRule="auto"/>
        <w:ind w:firstLine="480" w:firstLineChars="200"/>
        <w:jc w:val="left"/>
        <w:rPr>
          <w:rFonts w:hint="eastAsia" w:ascii="宋体" w:hAnsi="宋体"/>
          <w:color w:val="000000"/>
          <w:sz w:val="24"/>
        </w:rPr>
      </w:pPr>
      <w:r>
        <w:rPr>
          <w:rFonts w:hint="eastAsia" w:ascii="宋体" w:hAnsi="宋体"/>
          <w:color w:val="000000"/>
          <w:sz w:val="24"/>
        </w:rPr>
        <w:t>供应商提交下列资格证明文件</w:t>
      </w:r>
    </w:p>
    <w:p w14:paraId="3C259DE4">
      <w:pPr>
        <w:spacing w:line="480" w:lineRule="auto"/>
        <w:ind w:firstLine="480" w:firstLineChars="200"/>
        <w:jc w:val="left"/>
        <w:rPr>
          <w:rFonts w:hint="eastAsia" w:ascii="宋体" w:hAnsi="宋体"/>
          <w:color w:val="000000"/>
          <w:sz w:val="24"/>
        </w:rPr>
      </w:pPr>
      <w:r>
        <w:rPr>
          <w:rFonts w:hint="eastAsia" w:ascii="宋体" w:hAnsi="宋体"/>
          <w:color w:val="000000"/>
          <w:sz w:val="24"/>
        </w:rPr>
        <w:t>(1)企业法人营业执照副本（清晰复印件并加盖有效公章）</w:t>
      </w:r>
    </w:p>
    <w:p w14:paraId="138AB9A4">
      <w:pPr>
        <w:spacing w:line="480" w:lineRule="auto"/>
        <w:ind w:firstLine="480" w:firstLineChars="200"/>
        <w:jc w:val="left"/>
        <w:rPr>
          <w:rFonts w:hint="eastAsia" w:ascii="宋体" w:hAnsi="宋体"/>
          <w:color w:val="000000"/>
          <w:sz w:val="24"/>
        </w:rPr>
      </w:pPr>
      <w:r>
        <w:rPr>
          <w:rFonts w:hint="eastAsia" w:ascii="宋体" w:hAnsi="宋体"/>
          <w:color w:val="000000"/>
          <w:sz w:val="24"/>
        </w:rPr>
        <w:t>(2)“信用中国”网站( www.creditchina. gov.cn）及中国政府采购网( 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221CFCAA">
      <w:pPr>
        <w:spacing w:line="480" w:lineRule="auto"/>
        <w:ind w:firstLine="480" w:firstLineChars="200"/>
        <w:jc w:val="left"/>
        <w:rPr>
          <w:rFonts w:hint="eastAsia" w:ascii="宋体" w:hAnsi="宋体"/>
          <w:color w:val="000000"/>
          <w:sz w:val="24"/>
        </w:rPr>
      </w:pPr>
      <w:r>
        <w:rPr>
          <w:rFonts w:hint="eastAsia" w:ascii="宋体" w:hAnsi="宋体"/>
          <w:color w:val="000000"/>
          <w:sz w:val="24"/>
        </w:rPr>
        <w:t>(3)资质证明文件、安全生产许可证</w:t>
      </w:r>
    </w:p>
    <w:p w14:paraId="4525B10B">
      <w:pPr>
        <w:spacing w:line="480" w:lineRule="auto"/>
        <w:ind w:firstLine="480" w:firstLineChars="200"/>
        <w:jc w:val="left"/>
        <w:rPr>
          <w:rFonts w:hint="eastAsia" w:ascii="宋体" w:hAnsi="宋体"/>
          <w:color w:val="000000"/>
          <w:sz w:val="24"/>
        </w:rPr>
      </w:pPr>
      <w:r>
        <w:rPr>
          <w:rFonts w:hint="eastAsia" w:ascii="宋体" w:hAnsi="宋体"/>
          <w:color w:val="000000"/>
          <w:sz w:val="24"/>
        </w:rPr>
        <w:t>(4）作业人员相关专业资质</w:t>
      </w:r>
    </w:p>
    <w:p w14:paraId="4A427A42">
      <w:pPr>
        <w:widowControl/>
        <w:jc w:val="center"/>
        <w:rPr>
          <w:rFonts w:hint="eastAsia" w:ascii="宋体" w:hAnsi="宋体"/>
          <w:b/>
          <w:kern w:val="0"/>
          <w:sz w:val="32"/>
          <w:szCs w:val="28"/>
        </w:rPr>
      </w:pPr>
    </w:p>
    <w:p w14:paraId="5F82B04E">
      <w:pPr>
        <w:widowControl/>
        <w:jc w:val="center"/>
        <w:rPr>
          <w:rFonts w:hint="eastAsia" w:ascii="宋体" w:hAnsi="宋体"/>
          <w:b/>
          <w:kern w:val="0"/>
          <w:sz w:val="32"/>
          <w:szCs w:val="28"/>
        </w:rPr>
      </w:pPr>
    </w:p>
    <w:p w14:paraId="300DE0AD">
      <w:pPr>
        <w:widowControl/>
        <w:jc w:val="center"/>
        <w:rPr>
          <w:rFonts w:hint="eastAsia" w:ascii="宋体" w:hAnsi="宋体"/>
          <w:b/>
          <w:kern w:val="0"/>
          <w:sz w:val="32"/>
          <w:szCs w:val="28"/>
        </w:rPr>
      </w:pPr>
    </w:p>
    <w:p w14:paraId="33359E26">
      <w:pPr>
        <w:widowControl/>
        <w:jc w:val="center"/>
        <w:rPr>
          <w:rFonts w:hint="eastAsia" w:ascii="宋体" w:hAnsi="宋体"/>
          <w:b/>
          <w:kern w:val="0"/>
          <w:sz w:val="32"/>
          <w:szCs w:val="28"/>
        </w:rPr>
      </w:pPr>
    </w:p>
    <w:p w14:paraId="0C5EF05A">
      <w:pPr>
        <w:widowControl/>
        <w:jc w:val="center"/>
        <w:rPr>
          <w:rFonts w:hint="eastAsia" w:ascii="宋体" w:hAnsi="宋体"/>
          <w:b/>
          <w:kern w:val="0"/>
          <w:sz w:val="32"/>
          <w:szCs w:val="28"/>
        </w:rPr>
      </w:pPr>
    </w:p>
    <w:p w14:paraId="0B428AD5">
      <w:pPr>
        <w:widowControl/>
        <w:jc w:val="center"/>
        <w:rPr>
          <w:rFonts w:hint="eastAsia" w:ascii="宋体" w:hAnsi="宋体"/>
          <w:b/>
          <w:kern w:val="0"/>
          <w:sz w:val="32"/>
          <w:szCs w:val="28"/>
        </w:rPr>
      </w:pPr>
    </w:p>
    <w:p w14:paraId="57B198EA">
      <w:pPr>
        <w:widowControl/>
        <w:jc w:val="center"/>
        <w:rPr>
          <w:rFonts w:hint="eastAsia" w:ascii="宋体" w:hAnsi="宋体"/>
          <w:b/>
          <w:kern w:val="0"/>
          <w:sz w:val="32"/>
          <w:szCs w:val="28"/>
        </w:rPr>
      </w:pPr>
    </w:p>
    <w:p w14:paraId="6894DF0B">
      <w:pPr>
        <w:widowControl/>
        <w:jc w:val="center"/>
        <w:rPr>
          <w:rFonts w:hint="eastAsia" w:ascii="宋体" w:hAnsi="宋体"/>
          <w:b/>
          <w:kern w:val="0"/>
          <w:sz w:val="32"/>
          <w:szCs w:val="28"/>
        </w:rPr>
      </w:pPr>
    </w:p>
    <w:p w14:paraId="105931F1">
      <w:pPr>
        <w:widowControl/>
        <w:jc w:val="center"/>
        <w:rPr>
          <w:rFonts w:hint="eastAsia" w:ascii="宋体" w:hAnsi="宋体"/>
          <w:b/>
          <w:kern w:val="0"/>
          <w:sz w:val="32"/>
          <w:szCs w:val="28"/>
        </w:rPr>
      </w:pPr>
    </w:p>
    <w:p w14:paraId="584C7328">
      <w:pPr>
        <w:widowControl/>
        <w:jc w:val="center"/>
        <w:rPr>
          <w:rFonts w:hint="eastAsia" w:ascii="宋体" w:hAnsi="宋体"/>
          <w:b/>
          <w:kern w:val="0"/>
          <w:sz w:val="32"/>
          <w:szCs w:val="28"/>
        </w:rPr>
      </w:pPr>
    </w:p>
    <w:p w14:paraId="11B119FE">
      <w:pPr>
        <w:widowControl/>
        <w:jc w:val="center"/>
        <w:rPr>
          <w:rFonts w:hint="eastAsia" w:ascii="宋体" w:hAnsi="宋体"/>
          <w:b/>
          <w:kern w:val="0"/>
          <w:sz w:val="32"/>
          <w:szCs w:val="28"/>
        </w:rPr>
      </w:pPr>
    </w:p>
    <w:p w14:paraId="543D8059">
      <w:pPr>
        <w:widowControl/>
        <w:jc w:val="center"/>
        <w:rPr>
          <w:rFonts w:hint="eastAsia" w:ascii="宋体" w:hAnsi="宋体"/>
          <w:b/>
          <w:kern w:val="0"/>
          <w:sz w:val="32"/>
          <w:szCs w:val="28"/>
        </w:rPr>
      </w:pPr>
    </w:p>
    <w:p w14:paraId="0B7C9F3C">
      <w:pPr>
        <w:widowControl/>
        <w:jc w:val="center"/>
        <w:rPr>
          <w:rFonts w:hint="eastAsia" w:ascii="宋体" w:hAnsi="宋体"/>
          <w:b/>
          <w:kern w:val="0"/>
          <w:sz w:val="32"/>
          <w:szCs w:val="28"/>
        </w:rPr>
      </w:pPr>
    </w:p>
    <w:p w14:paraId="4E81DD80">
      <w:pPr>
        <w:widowControl/>
        <w:jc w:val="center"/>
        <w:rPr>
          <w:rFonts w:hint="eastAsia" w:ascii="宋体" w:hAnsi="宋体"/>
          <w:b/>
          <w:kern w:val="0"/>
          <w:sz w:val="32"/>
          <w:szCs w:val="28"/>
        </w:rPr>
      </w:pPr>
    </w:p>
    <w:p w14:paraId="25AD5A00">
      <w:pPr>
        <w:widowControl/>
        <w:jc w:val="center"/>
        <w:rPr>
          <w:rFonts w:hint="eastAsia" w:ascii="宋体" w:hAnsi="宋体"/>
          <w:b/>
          <w:kern w:val="0"/>
          <w:sz w:val="32"/>
          <w:szCs w:val="28"/>
        </w:rPr>
      </w:pPr>
    </w:p>
    <w:p w14:paraId="11F406F4">
      <w:pPr>
        <w:widowControl/>
        <w:jc w:val="both"/>
        <w:rPr>
          <w:rFonts w:hint="eastAsia" w:ascii="宋体" w:hAnsi="宋体"/>
          <w:b/>
          <w:kern w:val="0"/>
          <w:sz w:val="32"/>
          <w:szCs w:val="28"/>
        </w:rPr>
      </w:pPr>
    </w:p>
    <w:p w14:paraId="3EAEB91C">
      <w:pPr>
        <w:widowControl/>
        <w:jc w:val="center"/>
        <w:rPr>
          <w:rFonts w:ascii="宋体" w:hAnsi="宋体"/>
          <w:b/>
          <w:kern w:val="0"/>
          <w:sz w:val="32"/>
          <w:szCs w:val="28"/>
        </w:rPr>
      </w:pPr>
      <w:r>
        <w:rPr>
          <w:rFonts w:hint="eastAsia" w:ascii="宋体" w:hAnsi="宋体"/>
          <w:b/>
          <w:kern w:val="0"/>
          <w:sz w:val="32"/>
          <w:szCs w:val="28"/>
        </w:rPr>
        <w:t>附件</w:t>
      </w:r>
      <w:r>
        <w:rPr>
          <w:rFonts w:hint="eastAsia" w:ascii="宋体" w:hAnsi="宋体"/>
          <w:b/>
          <w:kern w:val="0"/>
          <w:sz w:val="32"/>
          <w:szCs w:val="28"/>
          <w:lang w:val="en-US" w:eastAsia="zh-CN"/>
        </w:rPr>
        <w:t>4</w:t>
      </w:r>
      <w:r>
        <w:rPr>
          <w:rFonts w:hint="eastAsia" w:ascii="宋体" w:hAnsi="宋体"/>
          <w:b/>
          <w:kern w:val="0"/>
          <w:sz w:val="32"/>
          <w:szCs w:val="28"/>
        </w:rPr>
        <w:t xml:space="preserve">  报价函</w:t>
      </w:r>
    </w:p>
    <w:p w14:paraId="37A69684">
      <w:pPr>
        <w:widowControl/>
        <w:jc w:val="center"/>
        <w:rPr>
          <w:rFonts w:ascii="宋体" w:hAnsi="宋体"/>
          <w:bCs/>
          <w:kern w:val="0"/>
          <w:sz w:val="28"/>
          <w:szCs w:val="28"/>
        </w:rPr>
      </w:pPr>
      <w:r>
        <w:rPr>
          <w:rFonts w:hint="eastAsia" w:ascii="宋体" w:hAnsi="宋体"/>
          <w:bCs/>
          <w:kern w:val="0"/>
          <w:sz w:val="28"/>
          <w:szCs w:val="28"/>
        </w:rPr>
        <w:t>格式自拟</w:t>
      </w:r>
    </w:p>
    <w:p w14:paraId="567056D7">
      <w:pPr>
        <w:rPr>
          <w:rFonts w:ascii="宋体" w:hAnsi="宋体"/>
          <w:bCs/>
          <w:kern w:val="0"/>
          <w:sz w:val="28"/>
          <w:szCs w:val="28"/>
        </w:rPr>
      </w:pPr>
      <w:r>
        <w:rPr>
          <w:rFonts w:hint="eastAsia" w:ascii="宋体" w:hAnsi="宋体"/>
          <w:bCs/>
          <w:kern w:val="0"/>
          <w:sz w:val="28"/>
          <w:szCs w:val="28"/>
        </w:rPr>
        <w:br w:type="page"/>
      </w:r>
    </w:p>
    <w:p w14:paraId="09075388">
      <w:pPr>
        <w:widowControl/>
        <w:jc w:val="center"/>
        <w:rPr>
          <w:rFonts w:ascii="宋体" w:hAnsi="宋体"/>
          <w:bCs/>
          <w:kern w:val="0"/>
          <w:sz w:val="28"/>
          <w:szCs w:val="28"/>
        </w:rPr>
      </w:pPr>
      <w:r>
        <w:rPr>
          <w:rFonts w:hint="eastAsia" w:ascii="宋体" w:hAnsi="宋体"/>
          <w:bCs/>
          <w:kern w:val="0"/>
          <w:sz w:val="28"/>
          <w:szCs w:val="28"/>
        </w:rPr>
        <w:t>附件4 合同模板</w:t>
      </w:r>
    </w:p>
    <w:p w14:paraId="4589874F">
      <w:pPr>
        <w:jc w:val="left"/>
        <w:rPr>
          <w:rFonts w:eastAsia="仿宋_GB2312"/>
          <w:bCs/>
          <w:color w:val="000000"/>
          <w:sz w:val="32"/>
          <w:szCs w:val="32"/>
        </w:rPr>
      </w:pP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6D3D4AA9">
      <w:pPr>
        <w:jc w:val="center"/>
        <w:rPr>
          <w:rFonts w:eastAsia="华文中宋"/>
          <w:b/>
          <w:color w:val="000000"/>
          <w:sz w:val="52"/>
          <w:szCs w:val="52"/>
        </w:rPr>
      </w:pPr>
    </w:p>
    <w:p w14:paraId="1504F05F">
      <w:pPr>
        <w:jc w:val="center"/>
        <w:rPr>
          <w:rFonts w:eastAsia="华文中宋"/>
          <w:b/>
          <w:color w:val="000000"/>
          <w:sz w:val="52"/>
          <w:szCs w:val="52"/>
        </w:rPr>
      </w:pPr>
    </w:p>
    <w:p w14:paraId="1EB9DEF7">
      <w:pPr>
        <w:jc w:val="center"/>
        <w:rPr>
          <w:rFonts w:eastAsia="华文中宋"/>
          <w:b/>
          <w:color w:val="000000"/>
          <w:sz w:val="52"/>
          <w:szCs w:val="52"/>
        </w:rPr>
      </w:pPr>
    </w:p>
    <w:p w14:paraId="177D0394">
      <w:pPr>
        <w:jc w:val="center"/>
        <w:rPr>
          <w:rFonts w:eastAsia="华文中宋"/>
          <w:b/>
          <w:color w:val="000000"/>
          <w:sz w:val="52"/>
          <w:szCs w:val="52"/>
        </w:rPr>
      </w:pPr>
    </w:p>
    <w:p w14:paraId="28883861">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r>
    </w:p>
    <w:p w14:paraId="6EB76BFB">
      <w:pPr>
        <w:jc w:val="center"/>
        <w:rPr>
          <w:rFonts w:eastAsia="华文中宋"/>
          <w:b/>
          <w:color w:val="000000"/>
          <w:sz w:val="52"/>
          <w:szCs w:val="52"/>
        </w:rPr>
      </w:pPr>
    </w:p>
    <w:p w14:paraId="2EF592CB">
      <w:pPr>
        <w:jc w:val="center"/>
        <w:rPr>
          <w:rFonts w:eastAsia="黑体"/>
          <w:b/>
          <w:color w:val="000000"/>
          <w:sz w:val="72"/>
          <w:szCs w:val="72"/>
        </w:rPr>
      </w:pPr>
    </w:p>
    <w:p w14:paraId="616F32D7">
      <w:pPr>
        <w:jc w:val="center"/>
        <w:rPr>
          <w:rFonts w:eastAsia="楷体_GB2312"/>
          <w:b/>
          <w:color w:val="000000"/>
          <w:sz w:val="72"/>
          <w:szCs w:val="72"/>
        </w:rPr>
      </w:pPr>
    </w:p>
    <w:p w14:paraId="2F80A20E">
      <w:pPr>
        <w:jc w:val="center"/>
        <w:rPr>
          <w:rFonts w:eastAsia="黑体"/>
          <w:b/>
          <w:color w:val="000000"/>
          <w:sz w:val="52"/>
          <w:szCs w:val="52"/>
        </w:rPr>
      </w:pPr>
    </w:p>
    <w:p w14:paraId="0009530D">
      <w:pPr>
        <w:rPr>
          <w:b/>
          <w:color w:val="000000"/>
          <w:sz w:val="28"/>
          <w:szCs w:val="28"/>
        </w:rPr>
      </w:pPr>
    </w:p>
    <w:p w14:paraId="40318664">
      <w:pPr>
        <w:rPr>
          <w:b/>
          <w:color w:val="000000"/>
          <w:sz w:val="28"/>
          <w:szCs w:val="28"/>
        </w:rPr>
      </w:pPr>
    </w:p>
    <w:p w14:paraId="44E6F464">
      <w:pPr>
        <w:rPr>
          <w:b/>
          <w:color w:val="000000"/>
          <w:sz w:val="28"/>
          <w:szCs w:val="28"/>
        </w:rPr>
      </w:pPr>
    </w:p>
    <w:p w14:paraId="4A279167">
      <w:pPr>
        <w:rPr>
          <w:b/>
          <w:color w:val="000000"/>
          <w:sz w:val="28"/>
          <w:szCs w:val="28"/>
        </w:rPr>
      </w:pPr>
    </w:p>
    <w:p w14:paraId="7585A49D">
      <w:pPr>
        <w:rPr>
          <w:b/>
          <w:color w:val="000000"/>
          <w:sz w:val="28"/>
          <w:szCs w:val="28"/>
        </w:rPr>
      </w:pPr>
    </w:p>
    <w:p w14:paraId="3DEAF5BF">
      <w:pPr>
        <w:ind w:right="2719" w:rightChars="1295" w:firstLine="2738" w:firstLineChars="1304"/>
        <w:jc w:val="distribute"/>
        <w:rPr>
          <w:b/>
          <w:color w:val="000000"/>
          <w:sz w:val="32"/>
          <w:szCs w:val="28"/>
        </w:rPr>
      </w:pPr>
      <w: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8AF97C1">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BMA6w8EAgAADAQAAA4AAAAAAAAAAQAgAAAAJwEA&#10;AGRycy9lMm9Eb2MueG1sUEsFBgAAAAAGAAYAWQEAAJ0FAAAAAA==&#10;">
                <v:fill on="f" focussize="0,0"/>
                <v:stroke color="#FFFFFF" joinstyle="miter"/>
                <v:imagedata o:title=""/>
                <o:lock v:ext="edit" aspectratio="f"/>
                <v:textbox>
                  <w:txbxContent>
                    <w:p w14:paraId="18AF97C1">
                      <w:pPr>
                        <w:rPr>
                          <w:b/>
                          <w:bCs/>
                          <w:sz w:val="32"/>
                        </w:rPr>
                      </w:pPr>
                      <w:r>
                        <w:rPr>
                          <w:rFonts w:hint="eastAsia"/>
                          <w:b/>
                          <w:bCs/>
                          <w:sz w:val="32"/>
                        </w:rPr>
                        <w:t>制定</w:t>
                      </w:r>
                    </w:p>
                  </w:txbxContent>
                </v:textbox>
              </v:shape>
            </w:pict>
          </mc:Fallback>
        </mc:AlternateContent>
      </w:r>
      <w:r>
        <w:rPr>
          <w:b/>
          <w:color w:val="000000"/>
          <w:sz w:val="32"/>
          <w:szCs w:val="28"/>
        </w:rPr>
        <w:t>住房城乡建设部</w:t>
      </w:r>
    </w:p>
    <w:p w14:paraId="65D55B76">
      <w:pPr>
        <w:ind w:right="2719" w:rightChars="1295" w:firstLine="2750" w:firstLineChars="856"/>
        <w:jc w:val="distribute"/>
        <w:rPr>
          <w:b/>
          <w:color w:val="000000"/>
          <w:sz w:val="32"/>
          <w:szCs w:val="28"/>
        </w:rPr>
        <w:sectPr>
          <w:footerReference r:id="rId8" w:type="first"/>
          <w:footerReference r:id="rId7" w:type="default"/>
          <w:pgSz w:w="11906" w:h="16838"/>
          <w:pgMar w:top="1418" w:right="1555" w:bottom="1418" w:left="1531" w:header="851" w:footer="992" w:gutter="0"/>
          <w:pgNumType w:start="1"/>
          <w:cols w:space="720" w:num="1"/>
          <w:titlePg/>
          <w:docGrid w:type="lines" w:linePitch="312" w:charSpace="0"/>
        </w:sectPr>
      </w:pPr>
      <w:r>
        <w:rPr>
          <w:b/>
          <w:color w:val="000000"/>
          <w:sz w:val="32"/>
          <w:szCs w:val="28"/>
        </w:rPr>
        <w:t>国家工商行政管理总局</w:t>
      </w:r>
      <w:bookmarkStart w:id="82" w:name="_Toc296503025"/>
      <w:bookmarkStart w:id="83" w:name="_Toc296890982"/>
    </w:p>
    <w:p w14:paraId="16754C7B">
      <w:pPr>
        <w:tabs>
          <w:tab w:val="left" w:pos="2424"/>
        </w:tabs>
        <w:rPr>
          <w:rFonts w:ascii="华文中宋" w:hAnsi="华文中宋" w:eastAsia="华文中宋"/>
          <w:sz w:val="44"/>
          <w:szCs w:val="44"/>
        </w:rPr>
      </w:pPr>
      <w:bookmarkStart w:id="84" w:name="_Toc351203480"/>
      <w:r>
        <w:tab/>
      </w:r>
      <w:r>
        <w:rPr>
          <w:rFonts w:ascii="华文中宋" w:hAnsi="华文中宋" w:eastAsia="华文中宋"/>
          <w:sz w:val="44"/>
          <w:szCs w:val="44"/>
        </w:rPr>
        <w:tab/>
      </w:r>
    </w:p>
    <w:p w14:paraId="4D4DA564">
      <w:pPr>
        <w:tabs>
          <w:tab w:val="left" w:pos="2424"/>
        </w:tabs>
        <w:jc w:val="center"/>
        <w:rPr>
          <w:rFonts w:eastAsia="华文中宋"/>
          <w:b/>
          <w:color w:val="000000"/>
          <w:sz w:val="44"/>
          <w:szCs w:val="44"/>
        </w:rPr>
      </w:pPr>
      <w:r>
        <w:rPr>
          <w:rFonts w:ascii="华文中宋" w:hAnsi="华文中宋" w:eastAsia="华文中宋"/>
          <w:sz w:val="44"/>
          <w:szCs w:val="44"/>
        </w:rPr>
        <w:t>第一部分 合同协议书</w:t>
      </w:r>
      <w:bookmarkEnd w:id="82"/>
      <w:bookmarkEnd w:id="83"/>
      <w:bookmarkEnd w:id="84"/>
    </w:p>
    <w:p w14:paraId="37FDCFF1">
      <w:pPr>
        <w:spacing w:line="360" w:lineRule="auto"/>
        <w:rPr>
          <w:rFonts w:eastAsia="仿宋_GB2312"/>
          <w:b/>
          <w:color w:val="000000"/>
          <w:sz w:val="30"/>
          <w:szCs w:val="30"/>
          <w:u w:val="single"/>
        </w:rPr>
      </w:pPr>
      <w:r>
        <w:rPr>
          <w:rFonts w:eastAsia="仿宋_GB2312"/>
          <w:b/>
          <w:color w:val="000000"/>
          <w:sz w:val="30"/>
          <w:szCs w:val="30"/>
        </w:rPr>
        <w:t>发包人（全称）：</w:t>
      </w:r>
      <w:r>
        <w:rPr>
          <w:rFonts w:eastAsia="仿宋_GB2312"/>
          <w:b/>
          <w:color w:val="000000"/>
          <w:sz w:val="30"/>
          <w:szCs w:val="30"/>
          <w:highlight w:val="yellow"/>
          <w:u w:val="single"/>
        </w:rPr>
        <w:t xml:space="preserve">                                    </w:t>
      </w:r>
    </w:p>
    <w:p w14:paraId="35A5A87C">
      <w:pPr>
        <w:spacing w:line="360" w:lineRule="auto"/>
        <w:rPr>
          <w:rFonts w:eastAsia="仿宋_GB2312"/>
          <w:b/>
          <w:color w:val="000000"/>
          <w:sz w:val="30"/>
          <w:szCs w:val="30"/>
          <w:u w:val="single"/>
        </w:rPr>
      </w:pPr>
      <w:r>
        <w:rPr>
          <w:rFonts w:eastAsia="仿宋_GB2312"/>
          <w:b/>
          <w:color w:val="000000"/>
          <w:sz w:val="30"/>
          <w:szCs w:val="30"/>
        </w:rPr>
        <w:t>承包人（全称）：</w:t>
      </w:r>
      <w:r>
        <w:rPr>
          <w:rFonts w:eastAsia="仿宋_GB2312"/>
          <w:b/>
          <w:color w:val="000000"/>
          <w:sz w:val="30"/>
          <w:szCs w:val="30"/>
          <w:highlight w:val="yellow"/>
          <w:u w:val="single"/>
        </w:rPr>
        <w:t xml:space="preserve">                                    </w:t>
      </w:r>
    </w:p>
    <w:p w14:paraId="616744AF">
      <w:pPr>
        <w:spacing w:line="360" w:lineRule="auto"/>
        <w:ind w:firstLine="600" w:firstLineChars="200"/>
        <w:rPr>
          <w:rFonts w:eastAsia="仿宋_GB2312"/>
          <w:color w:val="000000"/>
          <w:sz w:val="30"/>
          <w:szCs w:val="30"/>
        </w:rPr>
      </w:pPr>
      <w:r>
        <w:rPr>
          <w:rFonts w:eastAsia="仿宋_GB2312"/>
          <w:color w:val="000000"/>
          <w:sz w:val="30"/>
          <w:szCs w:val="30"/>
        </w:rPr>
        <w:t>根据《</w:t>
      </w:r>
      <w:r>
        <w:rPr>
          <w:rFonts w:hint="eastAsia" w:eastAsia="仿宋_GB2312"/>
          <w:color w:val="000000"/>
          <w:sz w:val="30"/>
          <w:szCs w:val="30"/>
        </w:rPr>
        <w:t>中华人民共和国民法典</w:t>
      </w:r>
      <w:r>
        <w:rPr>
          <w:rFonts w:eastAsia="仿宋_GB2312"/>
          <w:color w:val="000000"/>
          <w:sz w:val="30"/>
          <w:szCs w:val="30"/>
        </w:rPr>
        <w:t>》、《中华人民共和国建筑法》及有关法律规定，遵循平等、自愿、公平和诚实信用的原则，双方就</w:t>
      </w:r>
    </w:p>
    <w:p w14:paraId="66BB7785">
      <w:pPr>
        <w:spacing w:line="360" w:lineRule="auto"/>
        <w:rPr>
          <w:rFonts w:eastAsia="仿宋_GB2312"/>
          <w:color w:val="000000"/>
          <w:sz w:val="30"/>
          <w:szCs w:val="30"/>
        </w:rPr>
      </w:pPr>
      <w:r>
        <w:rPr>
          <w:rFonts w:eastAsia="仿宋_GB2312"/>
          <w:color w:val="000000"/>
          <w:sz w:val="30"/>
          <w:szCs w:val="30"/>
          <w:highlight w:val="yellow"/>
          <w:u w:val="single"/>
        </w:rPr>
        <w:t xml:space="preserve">                 </w:t>
      </w:r>
      <w:r>
        <w:rPr>
          <w:rFonts w:eastAsia="仿宋_GB2312"/>
          <w:color w:val="000000"/>
          <w:sz w:val="30"/>
          <w:szCs w:val="30"/>
        </w:rPr>
        <w:t>工程施工及有关事项协商一致</w:t>
      </w:r>
      <w:r>
        <w:rPr>
          <w:rFonts w:hint="eastAsia" w:eastAsia="仿宋_GB2312"/>
          <w:color w:val="000000"/>
          <w:sz w:val="30"/>
          <w:szCs w:val="30"/>
        </w:rPr>
        <w:t>，</w:t>
      </w:r>
      <w:r>
        <w:rPr>
          <w:rFonts w:eastAsia="仿宋_GB2312"/>
          <w:color w:val="000000"/>
          <w:sz w:val="30"/>
          <w:szCs w:val="30"/>
        </w:rPr>
        <w:t>共同达成如下协议：</w:t>
      </w:r>
    </w:p>
    <w:p w14:paraId="48BB17C7">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85" w:name="_Toc351203481"/>
      <w:r>
        <w:rPr>
          <w:rFonts w:ascii="Times New Roman" w:hAnsi="Times New Roman" w:eastAsia="黑体"/>
          <w:b w:val="0"/>
          <w:color w:val="000000"/>
          <w:sz w:val="32"/>
          <w:szCs w:val="32"/>
        </w:rPr>
        <w:t>一、工程概况</w:t>
      </w:r>
      <w:bookmarkEnd w:id="85"/>
    </w:p>
    <w:p w14:paraId="73266A20">
      <w:pPr>
        <w:spacing w:line="360" w:lineRule="auto"/>
        <w:ind w:firstLine="588" w:firstLineChars="196"/>
        <w:rPr>
          <w:rFonts w:eastAsia="仿宋_GB2312"/>
          <w:color w:val="000000"/>
          <w:sz w:val="30"/>
          <w:szCs w:val="30"/>
          <w:u w:val="single"/>
        </w:rPr>
      </w:pPr>
      <w:r>
        <w:rPr>
          <w:rFonts w:eastAsia="仿宋_GB2312"/>
          <w:bCs/>
          <w:color w:val="000000"/>
          <w:sz w:val="30"/>
          <w:szCs w:val="30"/>
        </w:rPr>
        <w:t>1.工程名称</w:t>
      </w:r>
      <w:r>
        <w:rPr>
          <w:rFonts w:eastAsia="仿宋_GB2312"/>
          <w:color w:val="000000"/>
          <w:sz w:val="30"/>
          <w:szCs w:val="30"/>
        </w:rPr>
        <w:t>：</w:t>
      </w:r>
      <w:r>
        <w:rPr>
          <w:rFonts w:eastAsia="仿宋_GB2312"/>
          <w:color w:val="000000"/>
          <w:sz w:val="30"/>
          <w:szCs w:val="30"/>
          <w:highlight w:val="yellow"/>
          <w:u w:val="single"/>
        </w:rPr>
        <w:t xml:space="preserve">                              </w:t>
      </w:r>
      <w:r>
        <w:rPr>
          <w:rFonts w:eastAsia="仿宋_GB2312"/>
          <w:color w:val="000000"/>
          <w:sz w:val="30"/>
          <w:szCs w:val="30"/>
        </w:rPr>
        <w:t>。</w:t>
      </w:r>
    </w:p>
    <w:p w14:paraId="625B5E40">
      <w:pPr>
        <w:spacing w:line="360" w:lineRule="auto"/>
        <w:ind w:firstLine="588" w:firstLineChars="196"/>
        <w:rPr>
          <w:rFonts w:eastAsia="仿宋_GB2312"/>
          <w:bCs/>
          <w:color w:val="000000"/>
          <w:sz w:val="30"/>
          <w:szCs w:val="30"/>
        </w:rPr>
      </w:pPr>
      <w:r>
        <w:rPr>
          <w:rFonts w:eastAsia="仿宋_GB2312"/>
          <w:bCs/>
          <w:color w:val="000000"/>
          <w:sz w:val="30"/>
          <w:szCs w:val="30"/>
        </w:rPr>
        <w:t>2.工程地点：</w:t>
      </w:r>
      <w:r>
        <w:rPr>
          <w:rFonts w:eastAsia="仿宋_GB2312"/>
          <w:color w:val="000000"/>
          <w:sz w:val="30"/>
          <w:szCs w:val="30"/>
          <w:highlight w:val="yellow"/>
          <w:u w:val="single"/>
        </w:rPr>
        <w:t xml:space="preserve">                              </w:t>
      </w:r>
      <w:r>
        <w:rPr>
          <w:rFonts w:eastAsia="仿宋_GB2312"/>
          <w:color w:val="000000"/>
          <w:sz w:val="30"/>
          <w:szCs w:val="30"/>
        </w:rPr>
        <w:t>。</w:t>
      </w:r>
    </w:p>
    <w:p w14:paraId="4BD3411B">
      <w:pPr>
        <w:spacing w:line="360" w:lineRule="auto"/>
        <w:ind w:firstLine="588" w:firstLineChars="196"/>
        <w:rPr>
          <w:rFonts w:eastAsia="仿宋_GB2312"/>
          <w:bCs/>
          <w:color w:val="000000"/>
          <w:sz w:val="30"/>
          <w:szCs w:val="30"/>
        </w:rPr>
      </w:pPr>
      <w:r>
        <w:rPr>
          <w:rFonts w:eastAsia="仿宋_GB2312"/>
          <w:bCs/>
          <w:color w:val="000000"/>
          <w:sz w:val="30"/>
          <w:szCs w:val="30"/>
        </w:rPr>
        <w:t>3.工程立项批准文号：</w:t>
      </w:r>
      <w:r>
        <w:rPr>
          <w:rFonts w:eastAsia="仿宋_GB2312"/>
          <w:color w:val="000000"/>
          <w:sz w:val="30"/>
          <w:szCs w:val="30"/>
          <w:highlight w:val="yellow"/>
          <w:u w:val="single"/>
        </w:rPr>
        <w:t xml:space="preserve">                      </w:t>
      </w:r>
      <w:r>
        <w:rPr>
          <w:rFonts w:eastAsia="仿宋_GB2312"/>
          <w:bCs/>
          <w:color w:val="000000"/>
          <w:sz w:val="30"/>
          <w:szCs w:val="30"/>
        </w:rPr>
        <w:t>。</w:t>
      </w:r>
    </w:p>
    <w:p w14:paraId="0BA8E16E">
      <w:pPr>
        <w:spacing w:line="360" w:lineRule="auto"/>
        <w:ind w:firstLine="588" w:firstLineChars="196"/>
        <w:rPr>
          <w:rFonts w:eastAsia="仿宋_GB2312"/>
          <w:bCs/>
          <w:color w:val="000000"/>
          <w:sz w:val="30"/>
          <w:szCs w:val="30"/>
        </w:rPr>
      </w:pPr>
      <w:r>
        <w:rPr>
          <w:rFonts w:eastAsia="仿宋_GB2312"/>
          <w:bCs/>
          <w:color w:val="000000"/>
          <w:sz w:val="30"/>
          <w:szCs w:val="30"/>
        </w:rPr>
        <w:t>4.资金来源：</w:t>
      </w:r>
      <w:r>
        <w:rPr>
          <w:rFonts w:eastAsia="仿宋_GB2312"/>
          <w:color w:val="000000"/>
          <w:sz w:val="30"/>
          <w:szCs w:val="30"/>
          <w:highlight w:val="yellow"/>
          <w:u w:val="single"/>
        </w:rPr>
        <w:t xml:space="preserve">                              </w:t>
      </w:r>
      <w:r>
        <w:rPr>
          <w:rFonts w:eastAsia="仿宋_GB2312"/>
          <w:bCs/>
          <w:color w:val="000000"/>
          <w:sz w:val="30"/>
          <w:szCs w:val="30"/>
        </w:rPr>
        <w:t>。</w:t>
      </w:r>
    </w:p>
    <w:p w14:paraId="64DBA9AC">
      <w:pPr>
        <w:spacing w:line="360" w:lineRule="auto"/>
        <w:ind w:firstLine="588" w:firstLineChars="196"/>
        <w:rPr>
          <w:rFonts w:eastAsia="仿宋_GB2312"/>
          <w:bCs/>
          <w:color w:val="000000"/>
          <w:sz w:val="30"/>
          <w:szCs w:val="30"/>
        </w:rPr>
      </w:pPr>
      <w:r>
        <w:rPr>
          <w:rFonts w:hint="eastAsia" w:eastAsia="仿宋_GB2312"/>
          <w:bCs/>
          <w:color w:val="000000"/>
          <w:sz w:val="30"/>
          <w:szCs w:val="30"/>
        </w:rPr>
        <w:t>5.工程内容：</w:t>
      </w:r>
      <w:r>
        <w:rPr>
          <w:rFonts w:eastAsia="仿宋_GB2312"/>
          <w:color w:val="000000"/>
          <w:sz w:val="30"/>
          <w:szCs w:val="30"/>
          <w:highlight w:val="yellow"/>
          <w:u w:val="single"/>
        </w:rPr>
        <w:t xml:space="preserve">                              </w:t>
      </w:r>
      <w:r>
        <w:rPr>
          <w:rFonts w:eastAsia="仿宋_GB2312"/>
          <w:bCs/>
          <w:color w:val="000000"/>
          <w:sz w:val="30"/>
          <w:szCs w:val="30"/>
        </w:rPr>
        <w:t>。</w:t>
      </w:r>
    </w:p>
    <w:p w14:paraId="7EA7E6E5">
      <w:pPr>
        <w:spacing w:line="360" w:lineRule="auto"/>
        <w:ind w:firstLine="600" w:firstLineChars="200"/>
        <w:rPr>
          <w:rFonts w:eastAsia="仿宋_GB2312"/>
          <w:color w:val="000000"/>
          <w:sz w:val="30"/>
          <w:szCs w:val="30"/>
        </w:rPr>
      </w:pPr>
      <w:r>
        <w:rPr>
          <w:rFonts w:hint="eastAsia" w:eastAsia="仿宋_GB2312"/>
          <w:bCs/>
          <w:color w:val="000000"/>
          <w:sz w:val="30"/>
          <w:szCs w:val="30"/>
        </w:rPr>
        <w:t>6</w:t>
      </w:r>
      <w:r>
        <w:rPr>
          <w:rFonts w:eastAsia="仿宋_GB2312"/>
          <w:bCs/>
          <w:color w:val="000000"/>
          <w:sz w:val="30"/>
          <w:szCs w:val="30"/>
        </w:rPr>
        <w:t>.工程承包范围：</w:t>
      </w:r>
      <w:r>
        <w:rPr>
          <w:rFonts w:eastAsia="仿宋_GB2312"/>
          <w:color w:val="000000"/>
          <w:sz w:val="30"/>
          <w:szCs w:val="30"/>
          <w:highlight w:val="yellow"/>
          <w:u w:val="single"/>
        </w:rPr>
        <w:t xml:space="preserve">                          </w:t>
      </w:r>
      <w:r>
        <w:rPr>
          <w:rFonts w:eastAsia="仿宋_GB2312"/>
          <w:color w:val="000000"/>
          <w:sz w:val="30"/>
          <w:szCs w:val="30"/>
        </w:rPr>
        <w:t>。</w:t>
      </w:r>
    </w:p>
    <w:p w14:paraId="637899DB">
      <w:pPr>
        <w:pStyle w:val="8"/>
        <w:ind w:right="63" w:firstLine="600" w:firstLineChars="200"/>
      </w:pPr>
      <w:r>
        <w:rPr>
          <w:rFonts w:hint="eastAsia" w:eastAsia="仿宋_GB2312"/>
          <w:bCs/>
          <w:color w:val="000000"/>
          <w:sz w:val="30"/>
          <w:szCs w:val="30"/>
        </w:rPr>
        <w:t>7</w:t>
      </w:r>
      <w:r>
        <w:rPr>
          <w:rFonts w:eastAsia="仿宋_GB2312"/>
          <w:bCs/>
          <w:color w:val="000000"/>
          <w:sz w:val="30"/>
          <w:szCs w:val="30"/>
        </w:rPr>
        <w:t>.</w:t>
      </w:r>
      <w:r>
        <w:rPr>
          <w:rFonts w:hint="eastAsia" w:eastAsia="仿宋_GB2312"/>
          <w:bCs/>
          <w:color w:val="000000"/>
          <w:sz w:val="30"/>
          <w:szCs w:val="30"/>
        </w:rPr>
        <w:t>甲供材</w:t>
      </w:r>
      <w:r>
        <w:rPr>
          <w:rFonts w:eastAsia="仿宋_GB2312"/>
          <w:bCs/>
          <w:color w:val="000000"/>
          <w:sz w:val="30"/>
          <w:szCs w:val="30"/>
        </w:rPr>
        <w:t>范围：</w:t>
      </w:r>
      <w:r>
        <w:rPr>
          <w:rFonts w:eastAsia="仿宋_GB2312"/>
          <w:color w:val="000000"/>
          <w:sz w:val="30"/>
          <w:szCs w:val="30"/>
          <w:highlight w:val="yellow"/>
          <w:u w:val="single"/>
        </w:rPr>
        <w:t xml:space="preserve">                            </w:t>
      </w:r>
      <w:r>
        <w:rPr>
          <w:rFonts w:eastAsia="仿宋_GB2312"/>
          <w:color w:val="000000"/>
          <w:sz w:val="30"/>
          <w:szCs w:val="30"/>
        </w:rPr>
        <w:t>。</w:t>
      </w:r>
    </w:p>
    <w:p w14:paraId="28641688">
      <w:pPr>
        <w:pStyle w:val="8"/>
        <w:ind w:left="63" w:right="63"/>
      </w:pPr>
    </w:p>
    <w:p w14:paraId="0314D607">
      <w:pPr>
        <w:pStyle w:val="5"/>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 xml:space="preserve">   </w:t>
      </w:r>
      <w:bookmarkStart w:id="86" w:name="_Toc351203482"/>
      <w:r>
        <w:rPr>
          <w:rFonts w:ascii="Times New Roman" w:hAnsi="Times New Roman" w:eastAsia="黑体"/>
          <w:b w:val="0"/>
          <w:color w:val="000000"/>
          <w:sz w:val="32"/>
          <w:szCs w:val="32"/>
        </w:rPr>
        <w:t>二、合同工期</w:t>
      </w:r>
      <w:bookmarkEnd w:id="86"/>
    </w:p>
    <w:p w14:paraId="5943B448">
      <w:pPr>
        <w:spacing w:line="360" w:lineRule="auto"/>
        <w:ind w:firstLine="459"/>
        <w:rPr>
          <w:rFonts w:eastAsia="仿宋_GB2312"/>
          <w:color w:val="000000"/>
          <w:sz w:val="30"/>
          <w:szCs w:val="30"/>
        </w:rPr>
      </w:pPr>
      <w:r>
        <w:rPr>
          <w:rFonts w:eastAsia="仿宋_GB2312"/>
          <w:color w:val="000000"/>
          <w:sz w:val="30"/>
          <w:szCs w:val="30"/>
        </w:rPr>
        <w:t>计划开工日期：</w:t>
      </w:r>
      <w:r>
        <w:rPr>
          <w:rFonts w:eastAsia="仿宋_GB2312"/>
          <w:color w:val="000000"/>
          <w:sz w:val="30"/>
          <w:szCs w:val="30"/>
          <w:highlight w:val="yellow"/>
          <w:u w:val="single"/>
        </w:rPr>
        <w:t xml:space="preserve">      </w:t>
      </w:r>
      <w:r>
        <w:rPr>
          <w:rFonts w:eastAsia="仿宋_GB2312"/>
          <w:color w:val="000000"/>
          <w:sz w:val="30"/>
          <w:szCs w:val="30"/>
        </w:rPr>
        <w:t>年</w:t>
      </w:r>
      <w:r>
        <w:rPr>
          <w:rFonts w:eastAsia="仿宋_GB2312"/>
          <w:color w:val="000000"/>
          <w:sz w:val="30"/>
          <w:szCs w:val="30"/>
          <w:highlight w:val="yellow"/>
          <w:u w:val="single"/>
        </w:rPr>
        <w:t xml:space="preserve">      </w:t>
      </w:r>
      <w:r>
        <w:rPr>
          <w:rFonts w:eastAsia="仿宋_GB2312"/>
          <w:color w:val="000000"/>
          <w:sz w:val="30"/>
          <w:szCs w:val="30"/>
        </w:rPr>
        <w:t>月</w:t>
      </w:r>
      <w:r>
        <w:rPr>
          <w:rFonts w:eastAsia="仿宋_GB2312"/>
          <w:color w:val="000000"/>
          <w:sz w:val="30"/>
          <w:szCs w:val="30"/>
          <w:highlight w:val="yellow"/>
          <w:u w:val="single"/>
        </w:rPr>
        <w:t xml:space="preserve">      </w:t>
      </w:r>
      <w:r>
        <w:rPr>
          <w:rFonts w:eastAsia="仿宋_GB2312"/>
          <w:color w:val="000000"/>
          <w:sz w:val="30"/>
          <w:szCs w:val="30"/>
        </w:rPr>
        <w:t>日。</w:t>
      </w:r>
    </w:p>
    <w:p w14:paraId="0C505690">
      <w:pPr>
        <w:spacing w:line="360" w:lineRule="auto"/>
        <w:ind w:firstLine="459"/>
        <w:rPr>
          <w:rFonts w:eastAsia="仿宋_GB2312"/>
          <w:color w:val="000000"/>
          <w:sz w:val="30"/>
          <w:szCs w:val="30"/>
        </w:rPr>
      </w:pPr>
      <w:r>
        <w:rPr>
          <w:rFonts w:eastAsia="仿宋_GB2312"/>
          <w:color w:val="000000"/>
          <w:sz w:val="30"/>
          <w:szCs w:val="30"/>
        </w:rPr>
        <w:t>计划竣工日期：</w:t>
      </w:r>
      <w:r>
        <w:rPr>
          <w:rFonts w:eastAsia="仿宋_GB2312"/>
          <w:color w:val="000000"/>
          <w:sz w:val="30"/>
          <w:szCs w:val="30"/>
          <w:highlight w:val="yellow"/>
          <w:u w:val="single"/>
        </w:rPr>
        <w:t xml:space="preserve">      </w:t>
      </w:r>
      <w:r>
        <w:rPr>
          <w:rFonts w:eastAsia="仿宋_GB2312"/>
          <w:color w:val="000000"/>
          <w:sz w:val="30"/>
          <w:szCs w:val="30"/>
        </w:rPr>
        <w:t>年</w:t>
      </w:r>
      <w:r>
        <w:rPr>
          <w:rFonts w:eastAsia="仿宋_GB2312"/>
          <w:color w:val="000000"/>
          <w:sz w:val="30"/>
          <w:szCs w:val="30"/>
          <w:highlight w:val="yellow"/>
          <w:u w:val="single"/>
        </w:rPr>
        <w:t xml:space="preserve">      </w:t>
      </w:r>
      <w:r>
        <w:rPr>
          <w:rFonts w:eastAsia="仿宋_GB2312"/>
          <w:color w:val="000000"/>
          <w:sz w:val="30"/>
          <w:szCs w:val="30"/>
        </w:rPr>
        <w:t>月</w:t>
      </w:r>
      <w:r>
        <w:rPr>
          <w:rFonts w:eastAsia="仿宋_GB2312"/>
          <w:color w:val="000000"/>
          <w:sz w:val="30"/>
          <w:szCs w:val="30"/>
          <w:highlight w:val="yellow"/>
          <w:u w:val="single"/>
        </w:rPr>
        <w:t xml:space="preserve">      </w:t>
      </w:r>
      <w:r>
        <w:rPr>
          <w:rFonts w:eastAsia="仿宋_GB2312"/>
          <w:color w:val="000000"/>
          <w:sz w:val="30"/>
          <w:szCs w:val="30"/>
        </w:rPr>
        <w:t>日。</w:t>
      </w:r>
    </w:p>
    <w:p w14:paraId="785CA9FF">
      <w:pPr>
        <w:spacing w:line="360" w:lineRule="auto"/>
        <w:ind w:firstLine="459"/>
        <w:rPr>
          <w:rFonts w:eastAsia="仿宋_GB2312"/>
          <w:color w:val="000000"/>
          <w:sz w:val="30"/>
          <w:szCs w:val="30"/>
        </w:rPr>
      </w:pPr>
      <w:r>
        <w:rPr>
          <w:rFonts w:eastAsia="仿宋_GB2312"/>
          <w:color w:val="000000"/>
          <w:sz w:val="30"/>
          <w:szCs w:val="30"/>
        </w:rPr>
        <w:t>工期总日历天数：</w:t>
      </w:r>
      <w:r>
        <w:rPr>
          <w:rFonts w:eastAsia="仿宋_GB2312"/>
          <w:color w:val="000000"/>
          <w:sz w:val="30"/>
          <w:szCs w:val="30"/>
          <w:highlight w:val="yellow"/>
          <w:u w:val="single"/>
        </w:rPr>
        <w:t xml:space="preserve">      </w:t>
      </w:r>
      <w:r>
        <w:rPr>
          <w:rFonts w:eastAsia="仿宋_GB2312"/>
          <w:color w:val="000000"/>
          <w:sz w:val="30"/>
          <w:szCs w:val="30"/>
        </w:rPr>
        <w:t>天。</w:t>
      </w:r>
      <w:r>
        <w:rPr>
          <w:rFonts w:hint="eastAsia" w:eastAsia="仿宋_GB2312"/>
          <w:color w:val="000000"/>
          <w:sz w:val="30"/>
          <w:szCs w:val="30"/>
        </w:rPr>
        <w:t>合同工期为合同范围内所有工程内容的整体工期，竣工验收之日应以合同内最后一个单位工程验收合格之日为准。</w:t>
      </w:r>
      <w:r>
        <w:rPr>
          <w:rFonts w:eastAsia="仿宋_GB2312"/>
          <w:color w:val="000000"/>
          <w:sz w:val="30"/>
          <w:szCs w:val="30"/>
        </w:rPr>
        <w:t>工期总日历天数与根据前述计划开竣工日期计算的工期天数不一致的，以工期总日历天数为准。</w:t>
      </w:r>
    </w:p>
    <w:p w14:paraId="50F6B40B">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87" w:name="_Toc351203483"/>
      <w:r>
        <w:rPr>
          <w:rFonts w:ascii="Times New Roman" w:hAnsi="Times New Roman" w:eastAsia="黑体"/>
          <w:b w:val="0"/>
          <w:color w:val="000000"/>
          <w:sz w:val="32"/>
          <w:szCs w:val="32"/>
        </w:rPr>
        <w:t>三、质量标准</w:t>
      </w:r>
      <w:bookmarkEnd w:id="87"/>
    </w:p>
    <w:p w14:paraId="2DACD597">
      <w:pPr>
        <w:spacing w:line="360" w:lineRule="auto"/>
        <w:ind w:firstLine="459"/>
        <w:rPr>
          <w:rFonts w:eastAsia="仿宋_GB2312"/>
          <w:color w:val="000000"/>
          <w:sz w:val="30"/>
          <w:szCs w:val="30"/>
        </w:rPr>
      </w:pPr>
      <w:r>
        <w:rPr>
          <w:rFonts w:eastAsia="仿宋_GB2312"/>
          <w:color w:val="000000"/>
          <w:sz w:val="30"/>
          <w:szCs w:val="30"/>
        </w:rPr>
        <w:t>工程质量符合</w:t>
      </w:r>
      <w:r>
        <w:rPr>
          <w:rFonts w:hint="eastAsia" w:eastAsia="仿宋_GB2312"/>
          <w:color w:val="000000"/>
          <w:sz w:val="30"/>
          <w:szCs w:val="30"/>
          <w:u w:val="single"/>
        </w:rPr>
        <w:t xml:space="preserve"> 国家现行有关施工质量验收规范及双方约定的施工方案的要求，并达到合格 </w:t>
      </w:r>
      <w:r>
        <w:rPr>
          <w:rFonts w:eastAsia="仿宋_GB2312"/>
          <w:color w:val="000000"/>
          <w:sz w:val="30"/>
          <w:szCs w:val="30"/>
        </w:rPr>
        <w:t>标准。</w:t>
      </w:r>
    </w:p>
    <w:p w14:paraId="4B3C79F8">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88" w:name="_Toc351203484"/>
      <w:r>
        <w:rPr>
          <w:rFonts w:ascii="Times New Roman" w:hAnsi="Times New Roman" w:eastAsia="黑体"/>
          <w:b w:val="0"/>
          <w:color w:val="000000"/>
          <w:sz w:val="32"/>
          <w:szCs w:val="32"/>
        </w:rPr>
        <w:t>四、签约合同价与合同价格形式</w:t>
      </w:r>
      <w:bookmarkEnd w:id="88"/>
      <w:r>
        <w:rPr>
          <w:rFonts w:ascii="Times New Roman" w:hAnsi="Times New Roman" w:eastAsia="黑体"/>
          <w:b w:val="0"/>
          <w:color w:val="000000"/>
          <w:sz w:val="32"/>
          <w:szCs w:val="32"/>
        </w:rPr>
        <w:tab/>
      </w:r>
    </w:p>
    <w:p w14:paraId="6E5DD37B">
      <w:pPr>
        <w:spacing w:line="360" w:lineRule="auto"/>
        <w:ind w:firstLine="600" w:firstLineChars="200"/>
        <w:rPr>
          <w:rFonts w:eastAsia="仿宋_GB2312"/>
          <w:color w:val="000000"/>
          <w:sz w:val="30"/>
          <w:szCs w:val="30"/>
        </w:rPr>
      </w:pPr>
      <w:r>
        <w:rPr>
          <w:rFonts w:eastAsia="仿宋_GB2312"/>
          <w:color w:val="000000"/>
          <w:sz w:val="30"/>
          <w:szCs w:val="30"/>
        </w:rPr>
        <w:t>1.签约合同价为：</w:t>
      </w:r>
    </w:p>
    <w:p w14:paraId="76BB3A02">
      <w:pPr>
        <w:spacing w:line="360" w:lineRule="auto"/>
        <w:ind w:firstLine="750" w:firstLineChars="2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highlight w:val="yellow"/>
          <w:u w:val="single"/>
        </w:rPr>
        <w:t xml:space="preserve">                  </w:t>
      </w:r>
      <w:r>
        <w:rPr>
          <w:rFonts w:eastAsia="仿宋_GB2312"/>
          <w:color w:val="000000"/>
          <w:sz w:val="30"/>
          <w:szCs w:val="30"/>
        </w:rPr>
        <w:t xml:space="preserve"> (¥</w:t>
      </w:r>
      <w:r>
        <w:rPr>
          <w:rFonts w:eastAsia="仿宋_GB2312"/>
          <w:color w:val="000000"/>
          <w:sz w:val="30"/>
          <w:szCs w:val="30"/>
          <w:highlight w:val="yellow"/>
          <w:u w:val="single"/>
        </w:rPr>
        <w:t xml:space="preserve">                  </w:t>
      </w:r>
      <w:r>
        <w:rPr>
          <w:rFonts w:eastAsia="仿宋_GB2312"/>
          <w:color w:val="000000"/>
          <w:sz w:val="30"/>
          <w:szCs w:val="30"/>
        </w:rPr>
        <w:t>元)；</w:t>
      </w:r>
    </w:p>
    <w:p w14:paraId="37ED9CF0">
      <w:pPr>
        <w:spacing w:line="360" w:lineRule="auto"/>
        <w:ind w:firstLine="600" w:firstLineChars="200"/>
        <w:rPr>
          <w:rFonts w:eastAsia="仿宋_GB2312"/>
          <w:color w:val="000000"/>
          <w:sz w:val="30"/>
          <w:szCs w:val="30"/>
        </w:rPr>
      </w:pPr>
      <w:r>
        <w:rPr>
          <w:rFonts w:eastAsia="仿宋_GB2312"/>
          <w:color w:val="000000"/>
          <w:sz w:val="30"/>
          <w:szCs w:val="30"/>
        </w:rPr>
        <w:t>2.合同价格形式：</w:t>
      </w:r>
      <w:r>
        <w:rPr>
          <w:rFonts w:hint="eastAsia" w:eastAsia="仿宋_GB2312"/>
          <w:color w:val="000000"/>
          <w:sz w:val="30"/>
          <w:szCs w:val="30"/>
          <w:u w:val="single"/>
        </w:rPr>
        <w:t>暂估总价合同</w:t>
      </w:r>
      <w:r>
        <w:rPr>
          <w:rFonts w:eastAsia="仿宋_GB2312"/>
          <w:color w:val="000000"/>
          <w:sz w:val="30"/>
          <w:szCs w:val="30"/>
        </w:rPr>
        <w:t>。</w:t>
      </w:r>
    </w:p>
    <w:p w14:paraId="5477871C">
      <w:pPr>
        <w:pStyle w:val="5"/>
        <w:spacing w:before="120" w:after="120" w:line="360" w:lineRule="auto"/>
        <w:rPr>
          <w:rFonts w:ascii="Times New Roman" w:hAnsi="Times New Roman" w:eastAsia="黑体"/>
          <w:b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89" w:name="_Toc351203485"/>
      <w:r>
        <w:rPr>
          <w:rFonts w:ascii="Times New Roman" w:hAnsi="Times New Roman" w:eastAsia="黑体"/>
          <w:b w:val="0"/>
          <w:color w:val="000000"/>
          <w:sz w:val="32"/>
          <w:szCs w:val="32"/>
        </w:rPr>
        <w:t>五、</w:t>
      </w:r>
      <w:bookmarkEnd w:id="89"/>
      <w:r>
        <w:rPr>
          <w:rFonts w:ascii="Times New Roman" w:hAnsi="Times New Roman" w:eastAsia="黑体"/>
          <w:b w:val="0"/>
          <w:color w:val="000000"/>
          <w:sz w:val="32"/>
          <w:szCs w:val="32"/>
        </w:rPr>
        <w:t>项目经理</w:t>
      </w:r>
    </w:p>
    <w:p w14:paraId="45D97758">
      <w:pPr>
        <w:spacing w:line="360" w:lineRule="auto"/>
        <w:ind w:firstLine="600" w:firstLineChars="200"/>
        <w:rPr>
          <w:rFonts w:eastAsia="仿宋_GB2312"/>
          <w:color w:val="000000"/>
          <w:sz w:val="30"/>
          <w:szCs w:val="30"/>
        </w:rPr>
      </w:pPr>
      <w:r>
        <w:rPr>
          <w:rFonts w:eastAsia="仿宋_GB2312"/>
          <w:color w:val="000000"/>
          <w:sz w:val="30"/>
          <w:szCs w:val="30"/>
        </w:rPr>
        <w:t>承包人项目经理：</w:t>
      </w:r>
      <w:r>
        <w:rPr>
          <w:rFonts w:eastAsia="仿宋_GB2312"/>
          <w:color w:val="000000"/>
          <w:sz w:val="30"/>
          <w:szCs w:val="30"/>
          <w:highlight w:val="yellow"/>
          <w:u w:val="single"/>
        </w:rPr>
        <w:t xml:space="preserve">                  </w:t>
      </w:r>
      <w:r>
        <w:rPr>
          <w:rFonts w:eastAsia="仿宋_GB2312"/>
          <w:color w:val="000000"/>
          <w:sz w:val="30"/>
          <w:szCs w:val="30"/>
        </w:rPr>
        <w:t>。</w:t>
      </w:r>
    </w:p>
    <w:p w14:paraId="6A6E0728">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90" w:name="_Toc351203486"/>
      <w:r>
        <w:rPr>
          <w:rFonts w:ascii="Times New Roman" w:hAnsi="Times New Roman" w:eastAsia="黑体"/>
          <w:b w:val="0"/>
          <w:color w:val="000000"/>
          <w:sz w:val="32"/>
          <w:szCs w:val="32"/>
        </w:rPr>
        <w:t>六、合同文件构成</w:t>
      </w:r>
      <w:bookmarkEnd w:id="90"/>
    </w:p>
    <w:p w14:paraId="3DBC7C66">
      <w:pPr>
        <w:spacing w:line="360" w:lineRule="auto"/>
        <w:ind w:firstLine="600" w:firstLineChars="200"/>
        <w:rPr>
          <w:rFonts w:eastAsia="仿宋_GB2312"/>
          <w:bCs/>
          <w:color w:val="000000"/>
          <w:sz w:val="30"/>
          <w:szCs w:val="30"/>
        </w:rPr>
      </w:pPr>
      <w:r>
        <w:rPr>
          <w:rFonts w:eastAsia="仿宋_GB2312"/>
          <w:bCs/>
          <w:color w:val="000000"/>
          <w:sz w:val="30"/>
          <w:szCs w:val="30"/>
        </w:rPr>
        <w:t>本协议书与下列文件一起构成合同文件：</w:t>
      </w:r>
    </w:p>
    <w:p w14:paraId="360C65E2">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（1）中</w:t>
      </w:r>
      <w:r>
        <w:rPr>
          <w:rFonts w:hint="eastAsia" w:eastAsia="仿宋_GB2312"/>
          <w:color w:val="000000"/>
          <w:sz w:val="30"/>
          <w:szCs w:val="30"/>
        </w:rPr>
        <w:t>选</w:t>
      </w:r>
      <w:r>
        <w:rPr>
          <w:rFonts w:eastAsia="仿宋_GB2312"/>
          <w:color w:val="000000"/>
          <w:sz w:val="30"/>
          <w:szCs w:val="30"/>
        </w:rPr>
        <w:t>通知书（如果有）；</w:t>
      </w:r>
    </w:p>
    <w:p w14:paraId="7A5BD995">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（2）</w:t>
      </w:r>
      <w:r>
        <w:rPr>
          <w:rFonts w:hint="eastAsia" w:eastAsia="仿宋_GB2312"/>
          <w:color w:val="000000"/>
          <w:sz w:val="30"/>
          <w:szCs w:val="30"/>
        </w:rPr>
        <w:t>报价</w:t>
      </w:r>
      <w:r>
        <w:rPr>
          <w:rFonts w:eastAsia="仿宋_GB2312"/>
          <w:color w:val="000000"/>
          <w:sz w:val="30"/>
          <w:szCs w:val="30"/>
        </w:rPr>
        <w:t xml:space="preserve">函及其附录（如果有）； </w:t>
      </w:r>
    </w:p>
    <w:p w14:paraId="54FD042C">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（3）专用合同条款及其附件；</w:t>
      </w:r>
    </w:p>
    <w:p w14:paraId="0DA634B9">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（4）通用合同条款；</w:t>
      </w:r>
    </w:p>
    <w:p w14:paraId="66DB8D21">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（5）技术标准和要求；</w:t>
      </w:r>
    </w:p>
    <w:p w14:paraId="4343A6B9">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（6）图纸；</w:t>
      </w:r>
    </w:p>
    <w:p w14:paraId="5FCA70CF">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w:t>
      </w:r>
      <w:r>
        <w:rPr>
          <w:rFonts w:hint="eastAsia" w:eastAsia="仿宋_GB2312"/>
          <w:color w:val="000000"/>
          <w:sz w:val="30"/>
          <w:szCs w:val="30"/>
        </w:rPr>
        <w:t>7</w:t>
      </w:r>
      <w:r>
        <w:rPr>
          <w:rFonts w:eastAsia="仿宋_GB2312"/>
          <w:color w:val="000000"/>
          <w:sz w:val="30"/>
          <w:szCs w:val="30"/>
        </w:rPr>
        <w:t>）</w:t>
      </w:r>
      <w:r>
        <w:rPr>
          <w:rFonts w:hint="eastAsia" w:eastAsia="仿宋_GB2312"/>
          <w:color w:val="000000"/>
          <w:sz w:val="30"/>
          <w:szCs w:val="30"/>
        </w:rPr>
        <w:t>竞争性谈判文件</w:t>
      </w:r>
    </w:p>
    <w:p w14:paraId="44A972E2">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w:t>
      </w:r>
      <w:r>
        <w:rPr>
          <w:rFonts w:hint="eastAsia" w:eastAsia="仿宋_GB2312"/>
          <w:color w:val="000000"/>
          <w:sz w:val="30"/>
          <w:szCs w:val="30"/>
        </w:rPr>
        <w:t>8</w:t>
      </w:r>
      <w:r>
        <w:rPr>
          <w:rFonts w:eastAsia="仿宋_GB2312"/>
          <w:color w:val="000000"/>
          <w:sz w:val="30"/>
          <w:szCs w:val="30"/>
        </w:rPr>
        <w:t>）其他合同文件。</w:t>
      </w:r>
    </w:p>
    <w:p w14:paraId="270EEA30">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在合同订立及履行过程中形成的与合同有关的文件均构成合同文件组成部分。</w:t>
      </w:r>
    </w:p>
    <w:p w14:paraId="0817C487">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上述各项合同文件包括合同当事人就该项合同文件所作出的补充和修改，属于同一类内容的文件，应以最新签署的为准。</w:t>
      </w:r>
      <w:r>
        <w:rPr>
          <w:rFonts w:hint="eastAsia" w:eastAsia="仿宋_GB2312"/>
          <w:color w:val="000000"/>
          <w:sz w:val="30"/>
          <w:szCs w:val="30"/>
        </w:rPr>
        <w:t>专用合同条款及其附件须经合同当事人签字或盖章。</w:t>
      </w:r>
    </w:p>
    <w:p w14:paraId="40F5736E">
      <w:pPr>
        <w:pStyle w:val="5"/>
        <w:spacing w:before="120" w:after="120" w:line="360" w:lineRule="auto"/>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 xml:space="preserve">   </w:t>
      </w:r>
      <w:r>
        <w:rPr>
          <w:rFonts w:ascii="Times New Roman" w:hAnsi="Times New Roman" w:eastAsia="黑体"/>
          <w:b w:val="0"/>
          <w:color w:val="000000"/>
          <w:sz w:val="32"/>
          <w:szCs w:val="32"/>
        </w:rPr>
        <w:t xml:space="preserve"> </w:t>
      </w:r>
      <w:bookmarkStart w:id="91" w:name="_Toc351203487"/>
      <w:r>
        <w:rPr>
          <w:rFonts w:ascii="Times New Roman" w:hAnsi="Times New Roman" w:eastAsia="黑体"/>
          <w:b w:val="0"/>
          <w:color w:val="000000"/>
          <w:sz w:val="32"/>
          <w:szCs w:val="32"/>
        </w:rPr>
        <w:t>七、承诺</w:t>
      </w:r>
      <w:bookmarkEnd w:id="91"/>
    </w:p>
    <w:p w14:paraId="10C03A40">
      <w:pPr>
        <w:spacing w:line="360" w:lineRule="auto"/>
        <w:ind w:firstLine="600" w:firstLineChars="200"/>
        <w:rPr>
          <w:rFonts w:eastAsia="仿宋_GB2312"/>
          <w:bCs/>
          <w:color w:val="000000"/>
          <w:sz w:val="30"/>
          <w:szCs w:val="30"/>
        </w:rPr>
      </w:pPr>
      <w:r>
        <w:rPr>
          <w:rFonts w:eastAsia="仿宋_GB2312"/>
          <w:bCs/>
          <w:color w:val="000000"/>
          <w:sz w:val="30"/>
          <w:szCs w:val="30"/>
        </w:rPr>
        <w:t>1.发包人承诺按照法律规定履行项目审批手续、筹集工程建设资金并按照合同约定的期限和方式支付合同价款。</w:t>
      </w:r>
    </w:p>
    <w:p w14:paraId="011DC587">
      <w:pPr>
        <w:spacing w:line="360" w:lineRule="auto"/>
        <w:ind w:firstLine="600" w:firstLineChars="200"/>
        <w:rPr>
          <w:rFonts w:eastAsia="仿宋_GB2312"/>
          <w:bCs/>
          <w:color w:val="000000"/>
          <w:sz w:val="30"/>
          <w:szCs w:val="30"/>
        </w:rPr>
      </w:pPr>
      <w:r>
        <w:rPr>
          <w:rFonts w:eastAsia="仿宋_GB2312"/>
          <w:bCs/>
          <w:color w:val="000000"/>
          <w:sz w:val="30"/>
          <w:szCs w:val="30"/>
        </w:rPr>
        <w:t>2.承包人承诺按照法律规定及合同约定组织完成工程施工，确保工程质量和安全，不进行转包及违法分包，并在缺陷责任期及保修期内承担相应的工程维修责任。</w:t>
      </w:r>
    </w:p>
    <w:p w14:paraId="61DE6BD7">
      <w:pPr>
        <w:spacing w:line="360" w:lineRule="auto"/>
        <w:ind w:firstLine="600" w:firstLineChars="200"/>
        <w:rPr>
          <w:rFonts w:eastAsia="仿宋_GB2312"/>
          <w:bCs/>
          <w:color w:val="000000"/>
          <w:sz w:val="30"/>
          <w:szCs w:val="30"/>
        </w:rPr>
      </w:pPr>
      <w:r>
        <w:rPr>
          <w:rFonts w:eastAsia="仿宋_GB2312"/>
          <w:bCs/>
          <w:color w:val="000000"/>
          <w:sz w:val="30"/>
          <w:szCs w:val="30"/>
        </w:rPr>
        <w:t>3.发包人和承包人通过招投标形式签订合同的，双方理解并</w:t>
      </w:r>
      <w:r>
        <w:rPr>
          <w:rFonts w:hint="eastAsia" w:eastAsia="仿宋_GB2312"/>
          <w:bCs/>
          <w:color w:val="000000"/>
          <w:sz w:val="30"/>
          <w:szCs w:val="30"/>
        </w:rPr>
        <w:t>承诺</w:t>
      </w:r>
      <w:r>
        <w:rPr>
          <w:rFonts w:eastAsia="仿宋_GB2312"/>
          <w:bCs/>
          <w:color w:val="000000"/>
          <w:sz w:val="30"/>
          <w:szCs w:val="30"/>
        </w:rPr>
        <w:t>不再就同一工程另行签订与合同实质性内容相背离的协议。</w:t>
      </w:r>
    </w:p>
    <w:p w14:paraId="4B787E9E">
      <w:pPr>
        <w:spacing w:line="360" w:lineRule="auto"/>
        <w:rPr>
          <w:rFonts w:eastAsia="黑体"/>
          <w:bCs/>
          <w:color w:val="000000"/>
          <w:sz w:val="32"/>
          <w:szCs w:val="32"/>
        </w:rPr>
      </w:pPr>
      <w:bookmarkStart w:id="92" w:name="_Toc351203488"/>
      <w:r>
        <w:rPr>
          <w:rFonts w:hint="eastAsia" w:eastAsia="黑体"/>
          <w:b/>
          <w:color w:val="000000"/>
          <w:sz w:val="32"/>
          <w:szCs w:val="32"/>
        </w:rPr>
        <w:t xml:space="preserve">    </w:t>
      </w:r>
      <w:r>
        <w:rPr>
          <w:rFonts w:eastAsia="黑体"/>
          <w:b/>
          <w:color w:val="000000"/>
          <w:sz w:val="32"/>
          <w:szCs w:val="32"/>
        </w:rPr>
        <w:t>八、词语含义</w:t>
      </w:r>
      <w:bookmarkEnd w:id="92"/>
    </w:p>
    <w:p w14:paraId="1D0ECA10">
      <w:pPr>
        <w:spacing w:line="360" w:lineRule="auto"/>
        <w:ind w:firstLine="600" w:firstLineChars="200"/>
        <w:rPr>
          <w:rFonts w:eastAsia="仿宋_GB2312"/>
          <w:bCs/>
          <w:color w:val="000000"/>
          <w:sz w:val="30"/>
          <w:szCs w:val="30"/>
        </w:rPr>
      </w:pPr>
      <w:r>
        <w:rPr>
          <w:rFonts w:eastAsia="仿宋_GB2312"/>
          <w:bCs/>
          <w:color w:val="000000"/>
          <w:sz w:val="30"/>
          <w:szCs w:val="30"/>
        </w:rPr>
        <w:t>本协议书中词语含义与第二部分通用合同条款中赋予的含义相同。</w:t>
      </w:r>
    </w:p>
    <w:p w14:paraId="7B1C2435">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93" w:name="_Toc351203489"/>
      <w:r>
        <w:rPr>
          <w:rFonts w:ascii="Times New Roman" w:hAnsi="Times New Roman" w:eastAsia="黑体"/>
          <w:b w:val="0"/>
          <w:color w:val="000000"/>
          <w:sz w:val="32"/>
          <w:szCs w:val="32"/>
        </w:rPr>
        <w:t>九、签订时间</w:t>
      </w:r>
      <w:bookmarkEnd w:id="93"/>
    </w:p>
    <w:p w14:paraId="102DEC53">
      <w:pPr>
        <w:spacing w:line="360" w:lineRule="auto"/>
        <w:ind w:firstLine="600" w:firstLineChars="200"/>
        <w:rPr>
          <w:rFonts w:eastAsia="仿宋_GB2312"/>
          <w:bCs/>
          <w:color w:val="000000"/>
          <w:sz w:val="30"/>
          <w:szCs w:val="30"/>
        </w:rPr>
      </w:pPr>
      <w:r>
        <w:rPr>
          <w:rFonts w:eastAsia="仿宋_GB2312"/>
          <w:bCs/>
          <w:color w:val="000000"/>
          <w:sz w:val="30"/>
          <w:szCs w:val="30"/>
        </w:rPr>
        <w:t>本合同于</w:t>
      </w:r>
      <w:r>
        <w:rPr>
          <w:rFonts w:eastAsia="仿宋_GB2312"/>
          <w:color w:val="000000"/>
          <w:sz w:val="30"/>
          <w:szCs w:val="30"/>
          <w:highlight w:val="yellow"/>
          <w:u w:val="single"/>
        </w:rPr>
        <w:t xml:space="preserve">         </w:t>
      </w:r>
      <w:r>
        <w:rPr>
          <w:rFonts w:eastAsia="仿宋_GB2312"/>
          <w:bCs/>
          <w:color w:val="000000"/>
          <w:sz w:val="30"/>
          <w:szCs w:val="30"/>
        </w:rPr>
        <w:t>年</w:t>
      </w:r>
      <w:r>
        <w:rPr>
          <w:rFonts w:eastAsia="仿宋_GB2312"/>
          <w:color w:val="000000"/>
          <w:sz w:val="30"/>
          <w:szCs w:val="30"/>
          <w:highlight w:val="yellow"/>
          <w:u w:val="single"/>
        </w:rPr>
        <w:t xml:space="preserve">         </w:t>
      </w:r>
      <w:r>
        <w:rPr>
          <w:rFonts w:eastAsia="仿宋_GB2312"/>
          <w:bCs/>
          <w:color w:val="000000"/>
          <w:sz w:val="30"/>
          <w:szCs w:val="30"/>
        </w:rPr>
        <w:t>月</w:t>
      </w:r>
      <w:r>
        <w:rPr>
          <w:rFonts w:eastAsia="仿宋_GB2312"/>
          <w:color w:val="000000"/>
          <w:sz w:val="30"/>
          <w:szCs w:val="30"/>
          <w:highlight w:val="yellow"/>
          <w:u w:val="single"/>
        </w:rPr>
        <w:t xml:space="preserve">         </w:t>
      </w:r>
      <w:r>
        <w:rPr>
          <w:rFonts w:eastAsia="仿宋_GB2312"/>
          <w:bCs/>
          <w:color w:val="000000"/>
          <w:sz w:val="30"/>
          <w:szCs w:val="30"/>
        </w:rPr>
        <w:t>日签订。</w:t>
      </w:r>
    </w:p>
    <w:p w14:paraId="1B6F11C7">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94" w:name="_Toc351203490"/>
      <w:r>
        <w:rPr>
          <w:rFonts w:ascii="Times New Roman" w:hAnsi="Times New Roman" w:eastAsia="黑体"/>
          <w:b w:val="0"/>
          <w:color w:val="000000"/>
          <w:sz w:val="32"/>
          <w:szCs w:val="32"/>
        </w:rPr>
        <w:t>十、签订地点</w:t>
      </w:r>
      <w:bookmarkEnd w:id="94"/>
    </w:p>
    <w:p w14:paraId="1C980B6B">
      <w:pPr>
        <w:spacing w:line="360" w:lineRule="auto"/>
        <w:ind w:firstLine="600" w:firstLineChars="200"/>
        <w:rPr>
          <w:rFonts w:eastAsia="仿宋_GB2312"/>
          <w:bCs/>
          <w:color w:val="000000"/>
          <w:sz w:val="30"/>
          <w:szCs w:val="30"/>
        </w:rPr>
      </w:pPr>
      <w:r>
        <w:rPr>
          <w:rFonts w:eastAsia="仿宋_GB2312"/>
          <w:bCs/>
          <w:color w:val="000000"/>
          <w:sz w:val="30"/>
          <w:szCs w:val="30"/>
        </w:rPr>
        <w:t>本合同在</w:t>
      </w:r>
      <w:r>
        <w:rPr>
          <w:rFonts w:eastAsia="仿宋_GB2312"/>
          <w:color w:val="000000"/>
          <w:sz w:val="30"/>
          <w:szCs w:val="30"/>
          <w:highlight w:val="yellow"/>
          <w:u w:val="single"/>
        </w:rPr>
        <w:t xml:space="preserve">                                </w:t>
      </w:r>
      <w:r>
        <w:rPr>
          <w:rFonts w:eastAsia="仿宋_GB2312"/>
          <w:bCs/>
          <w:color w:val="000000"/>
          <w:sz w:val="30"/>
          <w:szCs w:val="30"/>
        </w:rPr>
        <w:t>签订。</w:t>
      </w:r>
    </w:p>
    <w:p w14:paraId="2A693DDD">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95" w:name="_Toc351203491"/>
      <w:r>
        <w:rPr>
          <w:rFonts w:ascii="Times New Roman" w:hAnsi="Times New Roman" w:eastAsia="黑体"/>
          <w:b w:val="0"/>
          <w:color w:val="000000"/>
          <w:sz w:val="32"/>
          <w:szCs w:val="32"/>
        </w:rPr>
        <w:t>十一、补充协议</w:t>
      </w:r>
      <w:bookmarkEnd w:id="95"/>
    </w:p>
    <w:p w14:paraId="21185C79">
      <w:pPr>
        <w:spacing w:line="360" w:lineRule="auto"/>
        <w:ind w:firstLine="600" w:firstLineChars="200"/>
        <w:rPr>
          <w:rFonts w:eastAsia="仿宋_GB2312"/>
          <w:b/>
          <w:bCs/>
          <w:color w:val="000000"/>
          <w:sz w:val="30"/>
          <w:szCs w:val="30"/>
        </w:rPr>
      </w:pPr>
      <w:r>
        <w:rPr>
          <w:rFonts w:eastAsia="仿宋_GB2312"/>
          <w:bCs/>
          <w:color w:val="000000"/>
          <w:sz w:val="30"/>
          <w:szCs w:val="30"/>
        </w:rPr>
        <w:t>合同未尽事宜，合同当事人另行签订补充协议</w:t>
      </w:r>
      <w:r>
        <w:rPr>
          <w:rFonts w:hint="eastAsia" w:eastAsia="仿宋_GB2312"/>
          <w:bCs/>
          <w:color w:val="000000"/>
          <w:sz w:val="30"/>
          <w:szCs w:val="30"/>
        </w:rPr>
        <w:t>，</w:t>
      </w:r>
      <w:r>
        <w:rPr>
          <w:rFonts w:eastAsia="仿宋_GB2312"/>
          <w:bCs/>
          <w:color w:val="000000"/>
          <w:sz w:val="30"/>
          <w:szCs w:val="30"/>
        </w:rPr>
        <w:t>补充协议是合同的组成部分。</w:t>
      </w:r>
    </w:p>
    <w:p w14:paraId="2A22DDE1">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96" w:name="_Toc351203492"/>
      <w:r>
        <w:rPr>
          <w:rFonts w:ascii="Times New Roman" w:hAnsi="Times New Roman" w:eastAsia="黑体"/>
          <w:b w:val="0"/>
          <w:color w:val="000000"/>
          <w:sz w:val="32"/>
          <w:szCs w:val="32"/>
        </w:rPr>
        <w:t>十二、合同生效</w:t>
      </w:r>
      <w:bookmarkEnd w:id="96"/>
    </w:p>
    <w:p w14:paraId="6FD30E5C">
      <w:pPr>
        <w:spacing w:line="360" w:lineRule="auto"/>
        <w:ind w:firstLine="600" w:firstLineChars="200"/>
        <w:rPr>
          <w:rFonts w:eastAsia="仿宋_GB2312"/>
          <w:bCs/>
          <w:color w:val="000000"/>
          <w:sz w:val="30"/>
          <w:szCs w:val="30"/>
          <w:highlight w:val="cyan"/>
        </w:rPr>
      </w:pPr>
      <w:r>
        <w:rPr>
          <w:rFonts w:hint="eastAsia" w:eastAsia="仿宋_GB2312"/>
          <w:bCs/>
          <w:color w:val="000000"/>
          <w:sz w:val="30"/>
          <w:szCs w:val="30"/>
          <w:highlight w:val="cyan"/>
        </w:rPr>
        <w:t>本合同自（1）、（2）后生效</w:t>
      </w:r>
    </w:p>
    <w:p w14:paraId="1D9CD96E">
      <w:pPr>
        <w:spacing w:line="360" w:lineRule="auto"/>
        <w:ind w:firstLine="600" w:firstLineChars="200"/>
        <w:rPr>
          <w:rFonts w:eastAsia="仿宋_GB2312"/>
          <w:bCs/>
          <w:color w:val="000000"/>
          <w:sz w:val="30"/>
          <w:szCs w:val="30"/>
          <w:highlight w:val="cyan"/>
        </w:rPr>
      </w:pPr>
      <w:r>
        <w:rPr>
          <w:rFonts w:hint="eastAsia" w:eastAsia="仿宋_GB2312"/>
          <w:bCs/>
          <w:color w:val="000000"/>
          <w:sz w:val="30"/>
          <w:szCs w:val="30"/>
          <w:highlight w:val="cyan"/>
        </w:rPr>
        <w:t>（1）经双方法定代表人或其委托代理人签名并加盖公章或合同专用章</w:t>
      </w:r>
    </w:p>
    <w:p w14:paraId="4FB5F51A">
      <w:pPr>
        <w:spacing w:line="360" w:lineRule="auto"/>
        <w:ind w:firstLine="600" w:firstLineChars="200"/>
        <w:rPr>
          <w:rFonts w:eastAsia="仿宋_GB2312"/>
          <w:bCs/>
          <w:color w:val="000000"/>
          <w:sz w:val="30"/>
          <w:szCs w:val="30"/>
        </w:rPr>
      </w:pPr>
      <w:r>
        <w:rPr>
          <w:rFonts w:hint="eastAsia" w:eastAsia="仿宋_GB2312"/>
          <w:bCs/>
          <w:color w:val="000000"/>
          <w:sz w:val="30"/>
          <w:szCs w:val="30"/>
          <w:highlight w:val="cyan"/>
        </w:rPr>
        <w:t>（2）承包人按合同约定向发包人提交履约担保后</w:t>
      </w:r>
    </w:p>
    <w:p w14:paraId="28924802">
      <w:pPr>
        <w:pStyle w:val="5"/>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97" w:name="_Toc351203493"/>
      <w:r>
        <w:rPr>
          <w:rFonts w:ascii="Times New Roman" w:hAnsi="Times New Roman" w:eastAsia="黑体"/>
          <w:b w:val="0"/>
          <w:color w:val="000000"/>
          <w:sz w:val="32"/>
          <w:szCs w:val="32"/>
        </w:rPr>
        <w:t>十三、合同份数</w:t>
      </w:r>
      <w:bookmarkEnd w:id="97"/>
    </w:p>
    <w:p w14:paraId="20A25183">
      <w:pPr>
        <w:spacing w:line="360" w:lineRule="auto"/>
        <w:ind w:firstLine="600" w:firstLineChars="200"/>
        <w:rPr>
          <w:rFonts w:eastAsia="仿宋_GB2312"/>
          <w:bCs/>
          <w:color w:val="000000"/>
          <w:sz w:val="30"/>
          <w:szCs w:val="30"/>
        </w:rPr>
      </w:pPr>
      <w:r>
        <w:rPr>
          <w:rFonts w:eastAsia="仿宋_GB2312"/>
          <w:bCs/>
          <w:color w:val="000000"/>
          <w:sz w:val="30"/>
          <w:szCs w:val="30"/>
        </w:rPr>
        <w:t>本合同一式</w:t>
      </w:r>
      <w:r>
        <w:rPr>
          <w:rFonts w:eastAsia="仿宋_GB2312"/>
          <w:color w:val="000000"/>
          <w:sz w:val="30"/>
          <w:szCs w:val="30"/>
          <w:highlight w:val="yellow"/>
          <w:u w:val="single"/>
        </w:rPr>
        <w:t xml:space="preserve">         </w:t>
      </w:r>
      <w:r>
        <w:rPr>
          <w:rFonts w:eastAsia="仿宋_GB2312"/>
          <w:bCs/>
          <w:color w:val="000000"/>
          <w:sz w:val="30"/>
          <w:szCs w:val="30"/>
        </w:rPr>
        <w:t>份，均具有同等法律效力，发包人执</w:t>
      </w:r>
      <w:r>
        <w:rPr>
          <w:rFonts w:eastAsia="仿宋_GB2312"/>
          <w:color w:val="000000"/>
          <w:sz w:val="30"/>
          <w:szCs w:val="30"/>
          <w:highlight w:val="yellow"/>
          <w:u w:val="single"/>
        </w:rPr>
        <w:t xml:space="preserve">         </w:t>
      </w:r>
      <w:r>
        <w:rPr>
          <w:rFonts w:eastAsia="仿宋_GB2312"/>
          <w:bCs/>
          <w:color w:val="000000"/>
          <w:sz w:val="30"/>
          <w:szCs w:val="30"/>
        </w:rPr>
        <w:t>份，承包人执</w:t>
      </w:r>
      <w:r>
        <w:rPr>
          <w:rFonts w:eastAsia="仿宋_GB2312"/>
          <w:color w:val="000000"/>
          <w:sz w:val="30"/>
          <w:szCs w:val="30"/>
          <w:highlight w:val="yellow"/>
          <w:u w:val="single"/>
        </w:rPr>
        <w:t xml:space="preserve">         </w:t>
      </w:r>
      <w:r>
        <w:rPr>
          <w:rFonts w:eastAsia="仿宋_GB2312"/>
          <w:bCs/>
          <w:color w:val="000000"/>
          <w:sz w:val="30"/>
          <w:szCs w:val="30"/>
        </w:rPr>
        <w:t>份。</w:t>
      </w:r>
    </w:p>
    <w:p w14:paraId="31374CED">
      <w:pPr>
        <w:spacing w:line="360" w:lineRule="auto"/>
        <w:rPr>
          <w:rFonts w:eastAsia="仿宋_GB2312"/>
          <w:bCs/>
          <w:color w:val="000000"/>
          <w:sz w:val="30"/>
          <w:szCs w:val="30"/>
        </w:rPr>
      </w:pPr>
    </w:p>
    <w:p w14:paraId="5674CF93">
      <w:pPr>
        <w:spacing w:line="360" w:lineRule="auto"/>
        <w:rPr>
          <w:rFonts w:eastAsia="仿宋_GB2312"/>
          <w:color w:val="000000"/>
          <w:sz w:val="30"/>
          <w:szCs w:val="30"/>
        </w:rPr>
      </w:pPr>
    </w:p>
    <w:p w14:paraId="54B4FB27">
      <w:pPr>
        <w:spacing w:line="360" w:lineRule="auto"/>
        <w:rPr>
          <w:rFonts w:eastAsia="仿宋_GB2312"/>
          <w:color w:val="000000"/>
          <w:sz w:val="30"/>
          <w:szCs w:val="30"/>
        </w:rPr>
      </w:pPr>
      <w:r>
        <w:rPr>
          <w:rFonts w:eastAsia="仿宋_GB2312"/>
          <w:color w:val="000000"/>
          <w:sz w:val="30"/>
          <w:szCs w:val="30"/>
        </w:rPr>
        <w:t>发包人</w:t>
      </w:r>
      <w:r>
        <w:rPr>
          <w:rFonts w:hint="eastAsia" w:eastAsia="仿宋_GB2312"/>
          <w:color w:val="000000"/>
          <w:sz w:val="30"/>
          <w:szCs w:val="30"/>
        </w:rPr>
        <w:t xml:space="preserve">：  </w:t>
      </w:r>
      <w:r>
        <w:rPr>
          <w:rFonts w:eastAsia="仿宋_GB2312"/>
          <w:color w:val="000000"/>
          <w:sz w:val="30"/>
          <w:szCs w:val="30"/>
        </w:rPr>
        <w:t>(公章)</w:t>
      </w:r>
      <w:r>
        <w:rPr>
          <w:rFonts w:hint="eastAsia" w:eastAsia="仿宋_GB2312"/>
          <w:color w:val="000000"/>
          <w:sz w:val="30"/>
          <w:szCs w:val="30"/>
        </w:rPr>
        <w:t xml:space="preserve">             </w:t>
      </w:r>
      <w:r>
        <w:rPr>
          <w:rFonts w:eastAsia="仿宋_GB2312"/>
          <w:color w:val="000000"/>
          <w:sz w:val="30"/>
          <w:szCs w:val="30"/>
        </w:rPr>
        <w:t>承包人</w:t>
      </w:r>
      <w:r>
        <w:rPr>
          <w:rFonts w:hint="eastAsia" w:eastAsia="仿宋_GB2312"/>
          <w:color w:val="000000"/>
          <w:sz w:val="30"/>
          <w:szCs w:val="30"/>
        </w:rPr>
        <w:t xml:space="preserve">：  </w:t>
      </w:r>
      <w:r>
        <w:rPr>
          <w:rFonts w:eastAsia="仿宋_GB2312"/>
          <w:color w:val="000000"/>
          <w:sz w:val="30"/>
          <w:szCs w:val="30"/>
        </w:rPr>
        <w:t>(公章)</w:t>
      </w:r>
    </w:p>
    <w:p w14:paraId="4F0DADE0">
      <w:pPr>
        <w:spacing w:line="360" w:lineRule="auto"/>
        <w:rPr>
          <w:rFonts w:eastAsia="仿宋_GB2312"/>
          <w:color w:val="000000"/>
          <w:sz w:val="30"/>
          <w:szCs w:val="30"/>
          <w:u w:val="single"/>
        </w:rPr>
      </w:pPr>
      <w:r>
        <w:rPr>
          <w:rFonts w:hint="eastAsia" w:eastAsia="仿宋_GB2312"/>
          <w:color w:val="000000"/>
          <w:sz w:val="30"/>
          <w:szCs w:val="30"/>
        </w:rPr>
        <w:t xml:space="preserve">                                 </w:t>
      </w:r>
    </w:p>
    <w:p w14:paraId="1AEFA687">
      <w:pPr>
        <w:spacing w:line="360" w:lineRule="auto"/>
        <w:rPr>
          <w:rFonts w:eastAsia="仿宋_GB2312"/>
          <w:color w:val="000000"/>
          <w:sz w:val="30"/>
          <w:szCs w:val="30"/>
        </w:rPr>
      </w:pPr>
      <w:r>
        <w:rPr>
          <w:rFonts w:hint="eastAsia" w:eastAsia="仿宋_GB2312"/>
          <w:color w:val="000000"/>
          <w:sz w:val="30"/>
          <w:szCs w:val="30"/>
        </w:rPr>
        <w:t>法定代表人或其委托代理人：  法定代表人或其委托代理人：</w:t>
      </w:r>
    </w:p>
    <w:p w14:paraId="0199444B">
      <w:pPr>
        <w:spacing w:line="360" w:lineRule="auto"/>
        <w:rPr>
          <w:rFonts w:eastAsia="仿宋_GB2312"/>
          <w:color w:val="000000"/>
          <w:sz w:val="30"/>
          <w:szCs w:val="30"/>
        </w:rPr>
      </w:pPr>
      <w:r>
        <w:rPr>
          <w:rFonts w:hint="eastAsia" w:eastAsia="仿宋_GB2312"/>
          <w:color w:val="000000"/>
          <w:sz w:val="30"/>
          <w:szCs w:val="30"/>
        </w:rPr>
        <w:t>（签字）                    （签字）</w:t>
      </w:r>
    </w:p>
    <w:p w14:paraId="1D15198C">
      <w:pPr>
        <w:spacing w:line="360" w:lineRule="auto"/>
        <w:rPr>
          <w:rFonts w:eastAsia="仿宋_GB2312"/>
          <w:color w:val="000000"/>
          <w:sz w:val="30"/>
          <w:szCs w:val="30"/>
          <w:u w:val="single"/>
        </w:rPr>
      </w:pPr>
    </w:p>
    <w:p w14:paraId="10193AB6">
      <w:pPr>
        <w:tabs>
          <w:tab w:val="left" w:pos="4410"/>
        </w:tabs>
        <w:spacing w:line="360" w:lineRule="auto"/>
        <w:rPr>
          <w:rFonts w:eastAsia="仿宋_GB2312"/>
          <w:color w:val="000000"/>
          <w:sz w:val="30"/>
          <w:szCs w:val="30"/>
        </w:rPr>
      </w:pPr>
      <w:r>
        <w:rPr>
          <w:rFonts w:hint="eastAsia" w:eastAsia="仿宋_GB2312"/>
          <w:color w:val="000000"/>
          <w:sz w:val="30"/>
          <w:szCs w:val="30"/>
        </w:rPr>
        <w:t>组织机构代码：</w:t>
      </w:r>
      <w:r>
        <w:rPr>
          <w:rFonts w:eastAsia="仿宋_GB2312"/>
          <w:color w:val="000000"/>
          <w:sz w:val="30"/>
          <w:szCs w:val="30"/>
          <w:highlight w:val="yellow"/>
          <w:u w:val="single"/>
        </w:rPr>
        <w:t xml:space="preserve">            </w:t>
      </w:r>
      <w:r>
        <w:rPr>
          <w:rFonts w:eastAsia="仿宋_GB2312"/>
          <w:color w:val="000000"/>
          <w:sz w:val="30"/>
          <w:szCs w:val="30"/>
        </w:rPr>
        <w:t xml:space="preserve"> </w:t>
      </w:r>
      <w:r>
        <w:rPr>
          <w:rFonts w:hint="eastAsia" w:eastAsia="仿宋_GB2312"/>
          <w:color w:val="000000"/>
          <w:sz w:val="30"/>
          <w:szCs w:val="30"/>
        </w:rPr>
        <w:t xml:space="preserve"> 组织机构代码：</w:t>
      </w:r>
      <w:r>
        <w:rPr>
          <w:rFonts w:eastAsia="仿宋_GB2312"/>
          <w:color w:val="000000"/>
          <w:sz w:val="30"/>
          <w:szCs w:val="30"/>
          <w:highlight w:val="yellow"/>
          <w:u w:val="single"/>
        </w:rPr>
        <w:t xml:space="preserve">           </w:t>
      </w:r>
      <w:r>
        <w:rPr>
          <w:rFonts w:eastAsia="仿宋_GB2312"/>
          <w:color w:val="000000"/>
          <w:sz w:val="30"/>
          <w:szCs w:val="30"/>
        </w:rPr>
        <w:t xml:space="preserve"> </w:t>
      </w:r>
    </w:p>
    <w:p w14:paraId="1F03C034">
      <w:pPr>
        <w:spacing w:line="360" w:lineRule="auto"/>
        <w:rPr>
          <w:rFonts w:eastAsia="仿宋_GB2312"/>
          <w:color w:val="000000"/>
          <w:sz w:val="30"/>
          <w:szCs w:val="30"/>
        </w:rPr>
      </w:pPr>
      <w:r>
        <w:rPr>
          <w:rFonts w:eastAsia="仿宋_GB2312"/>
          <w:color w:val="000000"/>
          <w:sz w:val="30"/>
          <w:szCs w:val="30"/>
        </w:rPr>
        <w:t>地  址：</w:t>
      </w:r>
      <w:r>
        <w:rPr>
          <w:rFonts w:eastAsia="仿宋_GB2312"/>
          <w:color w:val="000000"/>
          <w:sz w:val="30"/>
          <w:szCs w:val="30"/>
          <w:highlight w:val="yellow"/>
          <w:u w:val="single"/>
        </w:rPr>
        <w:t xml:space="preserve">                  </w:t>
      </w:r>
      <w:r>
        <w:rPr>
          <w:rFonts w:hint="eastAsia" w:eastAsia="仿宋_GB2312"/>
          <w:color w:val="000000"/>
          <w:sz w:val="30"/>
          <w:szCs w:val="30"/>
        </w:rPr>
        <w:t xml:space="preserve"> </w:t>
      </w:r>
      <w:r>
        <w:rPr>
          <w:rFonts w:eastAsia="仿宋_GB2312"/>
          <w:color w:val="000000"/>
          <w:sz w:val="30"/>
          <w:szCs w:val="30"/>
        </w:rPr>
        <w:t xml:space="preserve"> 地  址：</w:t>
      </w:r>
      <w:r>
        <w:rPr>
          <w:rFonts w:eastAsia="仿宋_GB2312"/>
          <w:color w:val="000000"/>
          <w:sz w:val="30"/>
          <w:szCs w:val="30"/>
          <w:highlight w:val="yellow"/>
          <w:u w:val="single"/>
        </w:rPr>
        <w:t xml:space="preserve">                 </w:t>
      </w:r>
    </w:p>
    <w:p w14:paraId="2D70D0E4">
      <w:pPr>
        <w:spacing w:line="360" w:lineRule="auto"/>
        <w:rPr>
          <w:rFonts w:eastAsia="仿宋_GB2312"/>
          <w:color w:val="000000"/>
          <w:sz w:val="30"/>
          <w:szCs w:val="30"/>
        </w:rPr>
      </w:pPr>
      <w:r>
        <w:rPr>
          <w:rFonts w:eastAsia="仿宋_GB2312"/>
          <w:color w:val="000000"/>
          <w:sz w:val="30"/>
          <w:szCs w:val="30"/>
        </w:rPr>
        <w:t>邮政编码：</w:t>
      </w:r>
      <w:r>
        <w:rPr>
          <w:rFonts w:eastAsia="仿宋_GB2312"/>
          <w:color w:val="000000"/>
          <w:sz w:val="30"/>
          <w:szCs w:val="30"/>
          <w:highlight w:val="yellow"/>
          <w:u w:val="single"/>
        </w:rPr>
        <w:t xml:space="preserve">                </w:t>
      </w:r>
      <w:r>
        <w:rPr>
          <w:rFonts w:hint="eastAsia" w:eastAsia="仿宋_GB2312"/>
          <w:color w:val="000000"/>
          <w:sz w:val="30"/>
          <w:szCs w:val="30"/>
        </w:rPr>
        <w:t xml:space="preserve"> </w:t>
      </w:r>
      <w:r>
        <w:rPr>
          <w:rFonts w:eastAsia="仿宋_GB2312"/>
          <w:color w:val="000000"/>
          <w:sz w:val="30"/>
          <w:szCs w:val="30"/>
        </w:rPr>
        <w:t xml:space="preserve"> 邮政编码：</w:t>
      </w:r>
      <w:r>
        <w:rPr>
          <w:rFonts w:eastAsia="仿宋_GB2312"/>
          <w:color w:val="000000"/>
          <w:sz w:val="30"/>
          <w:szCs w:val="30"/>
          <w:highlight w:val="yellow"/>
          <w:u w:val="single"/>
        </w:rPr>
        <w:t xml:space="preserve">               </w:t>
      </w:r>
    </w:p>
    <w:p w14:paraId="299B9AA4">
      <w:pPr>
        <w:spacing w:line="360" w:lineRule="auto"/>
        <w:rPr>
          <w:rFonts w:eastAsia="仿宋_GB2312"/>
          <w:color w:val="000000"/>
          <w:sz w:val="30"/>
          <w:szCs w:val="30"/>
        </w:rPr>
      </w:pPr>
      <w:r>
        <w:rPr>
          <w:rFonts w:eastAsia="仿宋_GB2312"/>
          <w:color w:val="000000"/>
          <w:sz w:val="30"/>
          <w:szCs w:val="30"/>
        </w:rPr>
        <w:t>法定代表人：</w:t>
      </w:r>
      <w:r>
        <w:rPr>
          <w:rFonts w:eastAsia="仿宋_GB2312"/>
          <w:color w:val="000000"/>
          <w:sz w:val="30"/>
          <w:szCs w:val="30"/>
          <w:highlight w:val="yellow"/>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法定代表人：</w:t>
      </w:r>
      <w:r>
        <w:rPr>
          <w:rFonts w:eastAsia="仿宋_GB2312"/>
          <w:color w:val="000000"/>
          <w:sz w:val="30"/>
          <w:szCs w:val="30"/>
          <w:highlight w:val="yellow"/>
          <w:u w:val="single"/>
        </w:rPr>
        <w:t xml:space="preserve">             </w:t>
      </w:r>
    </w:p>
    <w:p w14:paraId="5C612BB5">
      <w:pPr>
        <w:spacing w:line="360" w:lineRule="auto"/>
        <w:rPr>
          <w:rFonts w:eastAsia="仿宋_GB2312"/>
          <w:color w:val="000000"/>
          <w:sz w:val="30"/>
          <w:szCs w:val="30"/>
        </w:rPr>
      </w:pPr>
      <w:r>
        <w:rPr>
          <w:rFonts w:eastAsia="仿宋_GB2312"/>
          <w:color w:val="000000"/>
          <w:sz w:val="30"/>
          <w:szCs w:val="30"/>
        </w:rPr>
        <w:t>委托代理人：</w:t>
      </w:r>
      <w:r>
        <w:rPr>
          <w:rFonts w:eastAsia="仿宋_GB2312"/>
          <w:color w:val="000000"/>
          <w:sz w:val="30"/>
          <w:szCs w:val="30"/>
          <w:highlight w:val="yellow"/>
          <w:u w:val="single"/>
        </w:rPr>
        <w:t xml:space="preserve">              </w:t>
      </w:r>
      <w:r>
        <w:rPr>
          <w:rFonts w:hint="eastAsia" w:eastAsia="仿宋_GB2312"/>
          <w:color w:val="000000"/>
          <w:sz w:val="30"/>
          <w:szCs w:val="30"/>
        </w:rPr>
        <w:t xml:space="preserve"> </w:t>
      </w:r>
      <w:r>
        <w:rPr>
          <w:rFonts w:eastAsia="仿宋_GB2312"/>
          <w:color w:val="000000"/>
          <w:sz w:val="30"/>
          <w:szCs w:val="30"/>
        </w:rPr>
        <w:t xml:space="preserve"> 委托代理人：</w:t>
      </w:r>
      <w:r>
        <w:rPr>
          <w:rFonts w:eastAsia="仿宋_GB2312"/>
          <w:color w:val="000000"/>
          <w:sz w:val="30"/>
          <w:szCs w:val="30"/>
          <w:highlight w:val="yellow"/>
          <w:u w:val="single"/>
        </w:rPr>
        <w:t xml:space="preserve">             </w:t>
      </w:r>
    </w:p>
    <w:p w14:paraId="094CE17D">
      <w:pPr>
        <w:spacing w:line="360" w:lineRule="auto"/>
        <w:rPr>
          <w:rFonts w:eastAsia="仿宋_GB2312"/>
          <w:color w:val="000000"/>
          <w:sz w:val="30"/>
          <w:szCs w:val="30"/>
        </w:rPr>
      </w:pPr>
      <w:r>
        <w:rPr>
          <w:rFonts w:eastAsia="仿宋_GB2312"/>
          <w:color w:val="000000"/>
          <w:sz w:val="30"/>
          <w:szCs w:val="30"/>
        </w:rPr>
        <w:t>电  话：</w:t>
      </w:r>
      <w:r>
        <w:rPr>
          <w:rFonts w:eastAsia="仿宋_GB2312"/>
          <w:color w:val="000000"/>
          <w:sz w:val="30"/>
          <w:szCs w:val="30"/>
          <w:highlight w:val="yellow"/>
          <w:u w:val="single"/>
        </w:rPr>
        <w:t xml:space="preserve">                  </w:t>
      </w:r>
      <w:r>
        <w:rPr>
          <w:rFonts w:hint="eastAsia" w:eastAsia="仿宋_GB2312"/>
          <w:color w:val="000000"/>
          <w:sz w:val="30"/>
          <w:szCs w:val="30"/>
        </w:rPr>
        <w:t xml:space="preserve"> </w:t>
      </w:r>
      <w:r>
        <w:rPr>
          <w:rFonts w:eastAsia="仿宋_GB2312"/>
          <w:color w:val="000000"/>
          <w:sz w:val="30"/>
          <w:szCs w:val="30"/>
        </w:rPr>
        <w:t xml:space="preserve"> 电  话：</w:t>
      </w:r>
      <w:r>
        <w:rPr>
          <w:rFonts w:eastAsia="仿宋_GB2312"/>
          <w:color w:val="000000"/>
          <w:sz w:val="30"/>
          <w:szCs w:val="30"/>
          <w:highlight w:val="yellow"/>
          <w:u w:val="single"/>
        </w:rPr>
        <w:t xml:space="preserve">                 </w:t>
      </w:r>
    </w:p>
    <w:p w14:paraId="2B344324">
      <w:pPr>
        <w:spacing w:line="360" w:lineRule="auto"/>
        <w:rPr>
          <w:rFonts w:eastAsia="仿宋_GB2312"/>
          <w:color w:val="000000"/>
          <w:sz w:val="30"/>
          <w:szCs w:val="30"/>
        </w:rPr>
      </w:pPr>
      <w:r>
        <w:rPr>
          <w:rFonts w:eastAsia="仿宋_GB2312"/>
          <w:color w:val="000000"/>
          <w:sz w:val="30"/>
          <w:szCs w:val="30"/>
        </w:rPr>
        <w:t>传  真：</w:t>
      </w:r>
      <w:r>
        <w:rPr>
          <w:rFonts w:eastAsia="仿宋_GB2312"/>
          <w:color w:val="000000"/>
          <w:sz w:val="30"/>
          <w:szCs w:val="30"/>
          <w:highlight w:val="yellow"/>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传  真：</w:t>
      </w:r>
      <w:r>
        <w:rPr>
          <w:rFonts w:eastAsia="仿宋_GB2312"/>
          <w:color w:val="000000"/>
          <w:sz w:val="30"/>
          <w:szCs w:val="30"/>
          <w:highlight w:val="yellow"/>
          <w:u w:val="single"/>
        </w:rPr>
        <w:t xml:space="preserve">                 </w:t>
      </w:r>
    </w:p>
    <w:p w14:paraId="74C8A0F2">
      <w:pPr>
        <w:spacing w:line="360" w:lineRule="auto"/>
        <w:rPr>
          <w:rFonts w:eastAsia="仿宋_GB2312"/>
          <w:color w:val="000000"/>
          <w:sz w:val="30"/>
          <w:szCs w:val="30"/>
        </w:rPr>
      </w:pPr>
      <w:r>
        <w:rPr>
          <w:rFonts w:eastAsia="仿宋_GB2312"/>
          <w:color w:val="000000"/>
          <w:sz w:val="30"/>
          <w:szCs w:val="30"/>
        </w:rPr>
        <w:t>电子信箱：</w:t>
      </w:r>
      <w:r>
        <w:rPr>
          <w:rFonts w:eastAsia="仿宋_GB2312"/>
          <w:color w:val="000000"/>
          <w:sz w:val="30"/>
          <w:szCs w:val="30"/>
          <w:highlight w:val="yellow"/>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电子信箱：</w:t>
      </w:r>
      <w:r>
        <w:rPr>
          <w:rFonts w:eastAsia="仿宋_GB2312"/>
          <w:color w:val="000000"/>
          <w:sz w:val="30"/>
          <w:szCs w:val="30"/>
          <w:highlight w:val="yellow"/>
          <w:u w:val="single"/>
        </w:rPr>
        <w:t xml:space="preserve">               </w:t>
      </w:r>
    </w:p>
    <w:p w14:paraId="2A1CD1AE">
      <w:pPr>
        <w:spacing w:line="360" w:lineRule="auto"/>
        <w:rPr>
          <w:rFonts w:eastAsia="仿宋_GB2312"/>
          <w:color w:val="000000"/>
          <w:sz w:val="30"/>
          <w:szCs w:val="30"/>
        </w:rPr>
      </w:pPr>
      <w:r>
        <w:rPr>
          <w:rFonts w:eastAsia="仿宋_GB2312"/>
          <w:color w:val="000000"/>
          <w:sz w:val="30"/>
          <w:szCs w:val="30"/>
        </w:rPr>
        <w:t>开户银行：</w:t>
      </w:r>
      <w:r>
        <w:rPr>
          <w:rFonts w:eastAsia="仿宋_GB2312"/>
          <w:color w:val="000000"/>
          <w:sz w:val="30"/>
          <w:szCs w:val="30"/>
          <w:highlight w:val="yellow"/>
          <w:u w:val="single"/>
        </w:rPr>
        <w:t xml:space="preserve">                </w:t>
      </w:r>
      <w:r>
        <w:rPr>
          <w:rFonts w:hint="eastAsia" w:eastAsia="仿宋_GB2312"/>
          <w:color w:val="000000"/>
          <w:sz w:val="30"/>
          <w:szCs w:val="30"/>
        </w:rPr>
        <w:t xml:space="preserve"> </w:t>
      </w:r>
      <w:r>
        <w:rPr>
          <w:rFonts w:eastAsia="仿宋_GB2312"/>
          <w:color w:val="000000"/>
          <w:sz w:val="30"/>
          <w:szCs w:val="30"/>
        </w:rPr>
        <w:t xml:space="preserve"> 开户银行：</w:t>
      </w:r>
      <w:r>
        <w:rPr>
          <w:rFonts w:eastAsia="仿宋_GB2312"/>
          <w:color w:val="000000"/>
          <w:sz w:val="30"/>
          <w:szCs w:val="30"/>
          <w:highlight w:val="yellow"/>
          <w:u w:val="single"/>
        </w:rPr>
        <w:t xml:space="preserve">               </w:t>
      </w:r>
    </w:p>
    <w:p w14:paraId="3032A084">
      <w:pPr>
        <w:spacing w:line="360" w:lineRule="auto"/>
        <w:rPr>
          <w:rFonts w:eastAsia="仿宋_GB2312"/>
          <w:color w:val="000000"/>
          <w:sz w:val="30"/>
          <w:szCs w:val="30"/>
        </w:rPr>
      </w:pPr>
      <w:r>
        <w:rPr>
          <w:rFonts w:eastAsia="仿宋_GB2312"/>
          <w:color w:val="000000"/>
          <w:sz w:val="30"/>
          <w:szCs w:val="30"/>
        </w:rPr>
        <w:t>账  号：</w:t>
      </w:r>
      <w:r>
        <w:rPr>
          <w:rFonts w:eastAsia="仿宋_GB2312"/>
          <w:color w:val="000000"/>
          <w:sz w:val="30"/>
          <w:szCs w:val="30"/>
          <w:highlight w:val="yellow"/>
          <w:u w:val="single"/>
        </w:rPr>
        <w:t xml:space="preserve">                  </w:t>
      </w:r>
      <w:r>
        <w:rPr>
          <w:rFonts w:hint="eastAsia" w:eastAsia="仿宋_GB2312"/>
          <w:color w:val="000000"/>
          <w:sz w:val="30"/>
          <w:szCs w:val="30"/>
        </w:rPr>
        <w:t xml:space="preserve">  </w:t>
      </w:r>
      <w:r>
        <w:rPr>
          <w:rFonts w:eastAsia="仿宋_GB2312"/>
          <w:color w:val="000000"/>
          <w:sz w:val="30"/>
          <w:szCs w:val="30"/>
        </w:rPr>
        <w:t>账</w:t>
      </w:r>
      <w:r>
        <w:rPr>
          <w:rFonts w:hint="eastAsia" w:eastAsia="仿宋_GB2312"/>
          <w:color w:val="000000"/>
          <w:sz w:val="30"/>
          <w:szCs w:val="30"/>
        </w:rPr>
        <w:t xml:space="preserve"> </w:t>
      </w:r>
      <w:r>
        <w:rPr>
          <w:rFonts w:eastAsia="仿宋_GB2312"/>
          <w:color w:val="000000"/>
          <w:sz w:val="30"/>
          <w:szCs w:val="30"/>
        </w:rPr>
        <w:t xml:space="preserve"> 号：</w:t>
      </w:r>
      <w:r>
        <w:rPr>
          <w:rFonts w:eastAsia="仿宋_GB2312"/>
          <w:color w:val="000000"/>
          <w:sz w:val="30"/>
          <w:szCs w:val="30"/>
          <w:highlight w:val="yellow"/>
          <w:u w:val="single"/>
        </w:rPr>
        <w:t xml:space="preserve">                 </w:t>
      </w:r>
    </w:p>
    <w:p w14:paraId="10FB66C1">
      <w:pPr>
        <w:pStyle w:val="4"/>
        <w:jc w:val="center"/>
        <w:rPr>
          <w:rFonts w:ascii="华文中宋" w:hAnsi="华文中宋" w:eastAsia="华文中宋"/>
          <w:sz w:val="44"/>
          <w:szCs w:val="44"/>
        </w:rPr>
      </w:pPr>
      <w:r>
        <w:rPr>
          <w:rFonts w:eastAsia="仿宋_GB2312"/>
        </w:rPr>
        <w:br w:type="page"/>
      </w:r>
      <w:bookmarkStart w:id="98" w:name="_Toc351203494"/>
      <w:r>
        <w:rPr>
          <w:rFonts w:ascii="华文中宋" w:hAnsi="华文中宋" w:eastAsia="华文中宋"/>
          <w:sz w:val="44"/>
          <w:szCs w:val="44"/>
        </w:rPr>
        <w:t>第二部分 通用合同条款</w:t>
      </w:r>
      <w:bookmarkEnd w:id="98"/>
      <w:bookmarkStart w:id="99" w:name="_Toc337558727"/>
    </w:p>
    <w:p w14:paraId="7E4BCB3B">
      <w:pPr>
        <w:widowControl/>
        <w:spacing w:line="360" w:lineRule="auto"/>
        <w:ind w:firstLine="602" w:firstLineChars="200"/>
        <w:jc w:val="left"/>
        <w:rPr>
          <w:rFonts w:ascii="宋体" w:hAnsi="宋体" w:cs="黑体"/>
          <w:b/>
          <w:color w:val="000000"/>
          <w:sz w:val="24"/>
        </w:rPr>
      </w:pPr>
      <w:r>
        <w:rPr>
          <w:rFonts w:hint="eastAsia" w:ascii="仿宋_GB2312" w:eastAsia="仿宋_GB2312"/>
          <w:b/>
          <w:sz w:val="30"/>
          <w:szCs w:val="30"/>
        </w:rPr>
        <w:t>住房城乡建设部、国家工商行政管理总局制定的《建设工程施工合同（示范文本）》（GF-20</w:t>
      </w:r>
      <w:r>
        <w:rPr>
          <w:rFonts w:ascii="仿宋_GB2312" w:eastAsia="仿宋_GB2312"/>
          <w:b/>
          <w:sz w:val="30"/>
          <w:szCs w:val="30"/>
        </w:rPr>
        <w:tab/>
      </w:r>
      <w:r>
        <w:rPr>
          <w:rFonts w:hint="eastAsia" w:ascii="仿宋_GB2312" w:eastAsia="仿宋_GB2312"/>
          <w:b/>
          <w:sz w:val="30"/>
          <w:szCs w:val="30"/>
        </w:rPr>
        <w:t>17-0201）</w:t>
      </w:r>
      <w:r>
        <w:rPr>
          <w:rFonts w:hint="eastAsia" w:ascii="宋体" w:hAnsi="宋体" w:cs="黑体"/>
          <w:b/>
          <w:color w:val="000000"/>
          <w:sz w:val="24"/>
        </w:rPr>
        <w:t>。</w:t>
      </w:r>
    </w:p>
    <w:p w14:paraId="68375295">
      <w:pPr>
        <w:pStyle w:val="4"/>
        <w:rPr>
          <w:rFonts w:ascii="华文中宋" w:hAnsi="华文中宋" w:eastAsia="华文中宋"/>
          <w:sz w:val="44"/>
          <w:szCs w:val="44"/>
        </w:rPr>
      </w:pPr>
    </w:p>
    <w:p w14:paraId="156587E0">
      <w:pPr>
        <w:pStyle w:val="4"/>
        <w:jc w:val="center"/>
        <w:rPr>
          <w:rFonts w:ascii="华文中宋" w:hAnsi="华文中宋" w:eastAsia="华文中宋"/>
          <w:sz w:val="44"/>
          <w:szCs w:val="44"/>
        </w:rPr>
      </w:pPr>
      <w:r>
        <w:br w:type="page"/>
      </w:r>
      <w:bookmarkEnd w:id="99"/>
      <w:bookmarkStart w:id="100" w:name="_Toc351203632"/>
      <w:r>
        <w:rPr>
          <w:rFonts w:ascii="华文中宋" w:hAnsi="华文中宋" w:eastAsia="华文中宋"/>
          <w:sz w:val="44"/>
          <w:szCs w:val="44"/>
        </w:rPr>
        <w:t xml:space="preserve">第三部分 </w:t>
      </w:r>
      <w:r>
        <w:rPr>
          <w:rFonts w:hint="eastAsia" w:ascii="华文中宋" w:hAnsi="华文中宋" w:eastAsia="华文中宋"/>
          <w:sz w:val="44"/>
          <w:szCs w:val="44"/>
        </w:rPr>
        <w:t>专用合同条款</w:t>
      </w:r>
      <w:bookmarkEnd w:id="100"/>
    </w:p>
    <w:p w14:paraId="1338BA92">
      <w:pPr>
        <w:pStyle w:val="5"/>
        <w:spacing w:before="120" w:after="120" w:line="360" w:lineRule="auto"/>
        <w:rPr>
          <w:rFonts w:ascii="Times New Roman" w:hAnsi="Times New Roman" w:eastAsia="黑体"/>
          <w:b w:val="0"/>
          <w:color w:val="000000"/>
          <w:sz w:val="32"/>
          <w:szCs w:val="32"/>
        </w:rPr>
      </w:pPr>
      <w:bookmarkStart w:id="101" w:name="_Toc351203633"/>
      <w:r>
        <w:rPr>
          <w:rFonts w:ascii="Times New Roman" w:hAnsi="Times New Roman" w:eastAsia="黑体"/>
          <w:b w:val="0"/>
          <w:color w:val="000000"/>
          <w:sz w:val="32"/>
          <w:szCs w:val="32"/>
        </w:rPr>
        <w:t>1</w:t>
      </w:r>
      <w:bookmarkStart w:id="102" w:name="_Toc292559866"/>
      <w:bookmarkStart w:id="103" w:name="_Toc296891196"/>
      <w:bookmarkStart w:id="104" w:name="_Toc296890984"/>
      <w:bookmarkStart w:id="105" w:name="_Toc297048342"/>
      <w:bookmarkStart w:id="106" w:name="_Toc297120456"/>
      <w:bookmarkStart w:id="107" w:name="_Toc292559361"/>
      <w:bookmarkStart w:id="108" w:name="_Toc296503156"/>
      <w:bookmarkStart w:id="109" w:name="_Toc296347155"/>
      <w:bookmarkStart w:id="110" w:name="_Toc296944495"/>
      <w:bookmarkStart w:id="111" w:name="_Toc296346657"/>
      <w:r>
        <w:rPr>
          <w:rFonts w:ascii="Times New Roman" w:hAnsi="Times New Roman" w:eastAsia="黑体"/>
          <w:b w:val="0"/>
          <w:color w:val="000000"/>
          <w:sz w:val="32"/>
          <w:szCs w:val="32"/>
        </w:rPr>
        <w:t>. 一般约定</w:t>
      </w:r>
      <w:bookmarkEnd w:id="101"/>
    </w:p>
    <w:bookmarkEnd w:id="102"/>
    <w:bookmarkEnd w:id="103"/>
    <w:bookmarkEnd w:id="104"/>
    <w:bookmarkEnd w:id="105"/>
    <w:bookmarkEnd w:id="106"/>
    <w:bookmarkEnd w:id="107"/>
    <w:bookmarkEnd w:id="108"/>
    <w:bookmarkEnd w:id="109"/>
    <w:bookmarkEnd w:id="110"/>
    <w:bookmarkEnd w:id="111"/>
    <w:p w14:paraId="7F453C47">
      <w:pPr>
        <w:spacing w:after="120" w:line="360" w:lineRule="auto"/>
        <w:ind w:firstLine="600" w:firstLineChars="200"/>
        <w:outlineLvl w:val="0"/>
        <w:rPr>
          <w:rFonts w:eastAsia="黑体"/>
          <w:color w:val="000000"/>
          <w:sz w:val="30"/>
          <w:szCs w:val="32"/>
        </w:rPr>
      </w:pPr>
      <w:r>
        <w:rPr>
          <w:rFonts w:eastAsia="黑体"/>
          <w:color w:val="000000"/>
          <w:sz w:val="30"/>
          <w:szCs w:val="32"/>
        </w:rPr>
        <w:t>1.1 词语定义</w:t>
      </w:r>
    </w:p>
    <w:p w14:paraId="2C5276BF">
      <w:pPr>
        <w:spacing w:line="360" w:lineRule="auto"/>
        <w:ind w:firstLine="600" w:firstLineChars="200"/>
        <w:rPr>
          <w:rFonts w:eastAsia="仿宋_GB2312"/>
          <w:color w:val="000000"/>
          <w:kern w:val="0"/>
          <w:sz w:val="30"/>
          <w:szCs w:val="32"/>
        </w:rPr>
      </w:pPr>
      <w:r>
        <w:rPr>
          <w:rFonts w:eastAsia="仿宋_GB2312"/>
          <w:color w:val="000000"/>
          <w:kern w:val="0"/>
          <w:sz w:val="30"/>
          <w:szCs w:val="32"/>
        </w:rPr>
        <w:t>1.1.1合同</w:t>
      </w:r>
    </w:p>
    <w:p w14:paraId="0747B0E2">
      <w:pPr>
        <w:spacing w:line="360" w:lineRule="auto"/>
        <w:ind w:firstLine="600" w:firstLineChars="200"/>
        <w:rPr>
          <w:rFonts w:eastAsia="仿宋_GB2312"/>
          <w:color w:val="000000"/>
          <w:kern w:val="0"/>
          <w:sz w:val="30"/>
          <w:szCs w:val="32"/>
        </w:rPr>
      </w:pPr>
      <w:r>
        <w:rPr>
          <w:rFonts w:eastAsia="仿宋_GB2312"/>
          <w:color w:val="000000"/>
          <w:kern w:val="0"/>
          <w:sz w:val="30"/>
          <w:szCs w:val="32"/>
        </w:rPr>
        <w:t>1.1.1.10其他合同文件包括：</w:t>
      </w:r>
      <w:r>
        <w:rPr>
          <w:rFonts w:hint="eastAsia" w:eastAsia="仿宋_GB2312"/>
          <w:color w:val="000000"/>
          <w:sz w:val="30"/>
          <w:szCs w:val="32"/>
          <w:u w:val="single"/>
        </w:rPr>
        <w:t xml:space="preserve">(1)双方有关工程的洽商、变更等书面记录和文件；（2）发包人或监理工程师有关通知及工程会议纪要   </w:t>
      </w:r>
      <w:r>
        <w:rPr>
          <w:rFonts w:eastAsia="仿宋_GB2312"/>
          <w:color w:val="000000"/>
          <w:sz w:val="30"/>
          <w:szCs w:val="32"/>
        </w:rPr>
        <w:t>。</w:t>
      </w:r>
    </w:p>
    <w:p w14:paraId="72AF6CC3">
      <w:pPr>
        <w:spacing w:line="360" w:lineRule="auto"/>
        <w:ind w:firstLine="600" w:firstLineChars="200"/>
        <w:rPr>
          <w:rFonts w:eastAsia="仿宋_GB2312"/>
          <w:color w:val="000000"/>
          <w:sz w:val="30"/>
          <w:szCs w:val="32"/>
        </w:rPr>
      </w:pPr>
      <w:r>
        <w:rPr>
          <w:rFonts w:eastAsia="仿宋_GB2312"/>
          <w:color w:val="000000"/>
          <w:sz w:val="30"/>
          <w:szCs w:val="32"/>
        </w:rPr>
        <w:t>1.1.2 合同当事人及其他相关方</w:t>
      </w:r>
    </w:p>
    <w:p w14:paraId="45DF1F68">
      <w:pPr>
        <w:spacing w:line="360" w:lineRule="auto"/>
        <w:ind w:firstLine="600" w:firstLineChars="200"/>
        <w:rPr>
          <w:rFonts w:eastAsia="仿宋_GB2312"/>
          <w:color w:val="000000"/>
          <w:sz w:val="30"/>
          <w:szCs w:val="32"/>
        </w:rPr>
      </w:pPr>
      <w:r>
        <w:rPr>
          <w:rFonts w:eastAsia="仿宋_GB2312"/>
          <w:color w:val="000000"/>
          <w:sz w:val="30"/>
          <w:szCs w:val="32"/>
        </w:rPr>
        <w:t>1.1.2.4监理人：</w:t>
      </w:r>
    </w:p>
    <w:p w14:paraId="1880924C">
      <w:pPr>
        <w:spacing w:line="360" w:lineRule="auto"/>
        <w:ind w:firstLine="600" w:firstLineChars="200"/>
        <w:rPr>
          <w:rFonts w:eastAsia="仿宋_GB2312"/>
          <w:color w:val="000000"/>
          <w:sz w:val="30"/>
          <w:szCs w:val="32"/>
        </w:rPr>
      </w:pPr>
      <w:r>
        <w:rPr>
          <w:rFonts w:eastAsia="仿宋_GB2312"/>
          <w:color w:val="000000"/>
          <w:sz w:val="30"/>
          <w:szCs w:val="32"/>
        </w:rPr>
        <w:t>名    称：</w:t>
      </w:r>
      <w:r>
        <w:rPr>
          <w:rFonts w:eastAsia="仿宋_GB2312"/>
          <w:color w:val="000000"/>
          <w:sz w:val="30"/>
          <w:szCs w:val="30"/>
          <w:highlight w:val="yellow"/>
          <w:u w:val="single"/>
        </w:rPr>
        <w:t xml:space="preserve">                                   </w:t>
      </w:r>
      <w:r>
        <w:rPr>
          <w:rFonts w:eastAsia="仿宋_GB2312"/>
          <w:color w:val="000000"/>
          <w:sz w:val="30"/>
          <w:szCs w:val="32"/>
        </w:rPr>
        <w:t>；</w:t>
      </w:r>
    </w:p>
    <w:p w14:paraId="7D0FBB0C">
      <w:pPr>
        <w:spacing w:line="360" w:lineRule="auto"/>
        <w:ind w:firstLine="600" w:firstLineChars="200"/>
        <w:rPr>
          <w:rFonts w:eastAsia="仿宋_GB2312"/>
          <w:color w:val="000000"/>
          <w:sz w:val="30"/>
          <w:szCs w:val="32"/>
        </w:rPr>
      </w:pPr>
      <w:r>
        <w:rPr>
          <w:rFonts w:eastAsia="仿宋_GB2312"/>
          <w:color w:val="000000"/>
          <w:sz w:val="30"/>
          <w:szCs w:val="32"/>
        </w:rPr>
        <w:t>资质类别和等级：</w:t>
      </w:r>
      <w:r>
        <w:rPr>
          <w:rFonts w:eastAsia="仿宋_GB2312"/>
          <w:color w:val="000000"/>
          <w:sz w:val="30"/>
          <w:szCs w:val="30"/>
          <w:highlight w:val="yellow"/>
          <w:u w:val="single"/>
        </w:rPr>
        <w:t xml:space="preserve">                             </w:t>
      </w:r>
      <w:r>
        <w:rPr>
          <w:rFonts w:eastAsia="仿宋_GB2312"/>
          <w:color w:val="000000"/>
          <w:sz w:val="30"/>
          <w:szCs w:val="32"/>
        </w:rPr>
        <w:t>；</w:t>
      </w:r>
    </w:p>
    <w:p w14:paraId="09D988F0">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0"/>
          <w:highlight w:val="yellow"/>
          <w:u w:val="single"/>
        </w:rPr>
        <w:t xml:space="preserve">                                   </w:t>
      </w:r>
      <w:r>
        <w:rPr>
          <w:rFonts w:eastAsia="仿宋_GB2312"/>
          <w:color w:val="000000"/>
          <w:sz w:val="30"/>
          <w:szCs w:val="32"/>
        </w:rPr>
        <w:t>；</w:t>
      </w:r>
    </w:p>
    <w:p w14:paraId="4D4119F9">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0"/>
          <w:highlight w:val="yellow"/>
          <w:u w:val="single"/>
        </w:rPr>
        <w:t xml:space="preserve">                                   </w:t>
      </w:r>
      <w:r>
        <w:rPr>
          <w:rFonts w:eastAsia="仿宋_GB2312"/>
          <w:color w:val="000000"/>
          <w:sz w:val="30"/>
          <w:szCs w:val="32"/>
        </w:rPr>
        <w:t>；</w:t>
      </w:r>
    </w:p>
    <w:p w14:paraId="0635FD25">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0"/>
          <w:highlight w:val="yellow"/>
          <w:u w:val="single"/>
        </w:rPr>
        <w:t xml:space="preserve">                                   </w:t>
      </w:r>
      <w:r>
        <w:rPr>
          <w:rFonts w:eastAsia="仿宋_GB2312"/>
          <w:color w:val="000000"/>
          <w:sz w:val="30"/>
          <w:szCs w:val="32"/>
        </w:rPr>
        <w:t>。</w:t>
      </w:r>
    </w:p>
    <w:p w14:paraId="63635AB5">
      <w:pPr>
        <w:spacing w:line="360" w:lineRule="auto"/>
        <w:ind w:firstLine="600" w:firstLineChars="200"/>
        <w:rPr>
          <w:rFonts w:eastAsia="仿宋_GB2312"/>
          <w:color w:val="000000"/>
          <w:sz w:val="30"/>
          <w:szCs w:val="32"/>
        </w:rPr>
      </w:pPr>
      <w:r>
        <w:rPr>
          <w:rFonts w:eastAsia="仿宋_GB2312"/>
          <w:color w:val="000000"/>
          <w:sz w:val="30"/>
          <w:szCs w:val="32"/>
        </w:rPr>
        <w:t>1.1.2.5 设计人：</w:t>
      </w:r>
    </w:p>
    <w:p w14:paraId="4C1CFB87">
      <w:pPr>
        <w:spacing w:line="360" w:lineRule="auto"/>
        <w:ind w:firstLine="600" w:firstLineChars="200"/>
        <w:rPr>
          <w:rFonts w:eastAsia="仿宋_GB2312"/>
          <w:color w:val="000000"/>
          <w:sz w:val="30"/>
          <w:szCs w:val="32"/>
        </w:rPr>
      </w:pPr>
      <w:r>
        <w:rPr>
          <w:rFonts w:eastAsia="仿宋_GB2312"/>
          <w:color w:val="000000"/>
          <w:sz w:val="30"/>
          <w:szCs w:val="32"/>
        </w:rPr>
        <w:t>名    称：</w:t>
      </w:r>
      <w:r>
        <w:rPr>
          <w:rFonts w:eastAsia="仿宋_GB2312"/>
          <w:color w:val="000000"/>
          <w:sz w:val="30"/>
          <w:szCs w:val="30"/>
          <w:highlight w:val="yellow"/>
          <w:u w:val="single"/>
        </w:rPr>
        <w:t xml:space="preserve">                                   </w:t>
      </w:r>
      <w:r>
        <w:rPr>
          <w:rFonts w:eastAsia="仿宋_GB2312"/>
          <w:color w:val="000000"/>
          <w:sz w:val="30"/>
          <w:szCs w:val="32"/>
        </w:rPr>
        <w:t>；</w:t>
      </w:r>
    </w:p>
    <w:p w14:paraId="527760F5">
      <w:pPr>
        <w:spacing w:line="360" w:lineRule="auto"/>
        <w:ind w:firstLine="600" w:firstLineChars="200"/>
        <w:rPr>
          <w:rFonts w:eastAsia="仿宋_GB2312"/>
          <w:color w:val="000000"/>
          <w:sz w:val="30"/>
          <w:szCs w:val="32"/>
        </w:rPr>
      </w:pPr>
      <w:r>
        <w:rPr>
          <w:rFonts w:eastAsia="仿宋_GB2312"/>
          <w:color w:val="000000"/>
          <w:sz w:val="30"/>
          <w:szCs w:val="32"/>
        </w:rPr>
        <w:t>资质类别和等级：</w:t>
      </w:r>
      <w:r>
        <w:rPr>
          <w:rFonts w:eastAsia="仿宋_GB2312"/>
          <w:color w:val="000000"/>
          <w:sz w:val="30"/>
          <w:szCs w:val="30"/>
          <w:highlight w:val="yellow"/>
          <w:u w:val="single"/>
        </w:rPr>
        <w:t xml:space="preserve">                             </w:t>
      </w:r>
      <w:r>
        <w:rPr>
          <w:rFonts w:eastAsia="仿宋_GB2312"/>
          <w:color w:val="000000"/>
          <w:sz w:val="30"/>
          <w:szCs w:val="32"/>
        </w:rPr>
        <w:t>；</w:t>
      </w:r>
    </w:p>
    <w:p w14:paraId="70C1718F">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0"/>
          <w:highlight w:val="yellow"/>
          <w:u w:val="single"/>
        </w:rPr>
        <w:t xml:space="preserve">                                   </w:t>
      </w:r>
      <w:r>
        <w:rPr>
          <w:rFonts w:eastAsia="仿宋_GB2312"/>
          <w:color w:val="000000"/>
          <w:sz w:val="30"/>
          <w:szCs w:val="32"/>
        </w:rPr>
        <w:t>；</w:t>
      </w:r>
    </w:p>
    <w:p w14:paraId="72163D46">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0"/>
          <w:highlight w:val="yellow"/>
          <w:u w:val="single"/>
        </w:rPr>
        <w:t xml:space="preserve">                                   </w:t>
      </w:r>
      <w:r>
        <w:rPr>
          <w:rFonts w:eastAsia="仿宋_GB2312"/>
          <w:color w:val="000000"/>
          <w:sz w:val="30"/>
          <w:szCs w:val="32"/>
        </w:rPr>
        <w:t>；</w:t>
      </w:r>
    </w:p>
    <w:p w14:paraId="1D07280A">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0"/>
          <w:highlight w:val="yellow"/>
          <w:u w:val="single"/>
        </w:rPr>
        <w:t xml:space="preserve">                                   </w:t>
      </w:r>
      <w:r>
        <w:rPr>
          <w:rFonts w:eastAsia="仿宋_GB2312"/>
          <w:color w:val="000000"/>
          <w:sz w:val="30"/>
          <w:szCs w:val="32"/>
        </w:rPr>
        <w:t>。</w:t>
      </w:r>
    </w:p>
    <w:p w14:paraId="010DD936">
      <w:pPr>
        <w:spacing w:line="360" w:lineRule="auto"/>
        <w:ind w:firstLine="600" w:firstLineChars="200"/>
        <w:rPr>
          <w:rFonts w:eastAsia="仿宋_GB2312"/>
          <w:color w:val="000000"/>
          <w:sz w:val="30"/>
          <w:szCs w:val="32"/>
        </w:rPr>
      </w:pPr>
      <w:r>
        <w:rPr>
          <w:rFonts w:eastAsia="仿宋_GB2312"/>
          <w:color w:val="000000"/>
          <w:sz w:val="30"/>
          <w:szCs w:val="32"/>
        </w:rPr>
        <w:t>1.1.3 工程和设备</w:t>
      </w:r>
    </w:p>
    <w:p w14:paraId="2719ED3E">
      <w:pPr>
        <w:spacing w:line="360" w:lineRule="auto"/>
        <w:ind w:firstLine="600" w:firstLineChars="200"/>
        <w:jc w:val="left"/>
        <w:rPr>
          <w:rFonts w:eastAsia="仿宋_GB2312"/>
          <w:color w:val="000000"/>
          <w:sz w:val="30"/>
          <w:szCs w:val="32"/>
        </w:rPr>
      </w:pPr>
      <w:r>
        <w:rPr>
          <w:rFonts w:eastAsia="仿宋_GB2312"/>
          <w:color w:val="000000"/>
          <w:kern w:val="0"/>
          <w:sz w:val="30"/>
          <w:szCs w:val="32"/>
        </w:rPr>
        <w:t>1.1.3.10 临时占地包括：</w:t>
      </w:r>
      <w:r>
        <w:rPr>
          <w:rFonts w:eastAsia="仿宋_GB2312"/>
          <w:color w:val="000000"/>
          <w:sz w:val="30"/>
          <w:szCs w:val="32"/>
          <w:u w:val="single"/>
        </w:rPr>
        <w:t xml:space="preserve">  </w:t>
      </w:r>
      <w:r>
        <w:rPr>
          <w:rFonts w:hint="eastAsia" w:eastAsia="仿宋_GB2312"/>
          <w:color w:val="000000"/>
          <w:sz w:val="30"/>
          <w:szCs w:val="32"/>
          <w:u w:val="single"/>
        </w:rPr>
        <w:t xml:space="preserve">临时施工用地、临时便道用地 </w:t>
      </w:r>
      <w:r>
        <w:rPr>
          <w:rFonts w:eastAsia="仿宋_GB2312"/>
          <w:color w:val="000000"/>
          <w:kern w:val="0"/>
          <w:sz w:val="30"/>
          <w:szCs w:val="32"/>
        </w:rPr>
        <w:t>。</w:t>
      </w:r>
    </w:p>
    <w:p w14:paraId="7669B31D">
      <w:pPr>
        <w:spacing w:after="120" w:line="360" w:lineRule="auto"/>
        <w:ind w:firstLine="600" w:firstLineChars="200"/>
        <w:rPr>
          <w:rFonts w:eastAsia="黑体"/>
          <w:color w:val="000000"/>
          <w:sz w:val="30"/>
          <w:szCs w:val="32"/>
        </w:rPr>
      </w:pPr>
      <w:r>
        <w:rPr>
          <w:rFonts w:eastAsia="黑体"/>
          <w:color w:val="000000"/>
          <w:sz w:val="30"/>
          <w:szCs w:val="32"/>
        </w:rPr>
        <w:t xml:space="preserve">1.3法律 </w:t>
      </w:r>
    </w:p>
    <w:p w14:paraId="016C82C0">
      <w:pPr>
        <w:autoSpaceDE w:val="0"/>
        <w:autoSpaceDN w:val="0"/>
        <w:adjustRightInd w:val="0"/>
        <w:spacing w:line="360" w:lineRule="auto"/>
        <w:ind w:firstLine="600" w:firstLineChars="200"/>
        <w:jc w:val="left"/>
        <w:rPr>
          <w:rFonts w:eastAsia="仿宋_GB2312"/>
          <w:color w:val="000000"/>
          <w:sz w:val="30"/>
          <w:szCs w:val="32"/>
        </w:rPr>
      </w:pPr>
      <w:r>
        <w:rPr>
          <w:rFonts w:eastAsia="仿宋_GB2312"/>
          <w:color w:val="000000"/>
          <w:sz w:val="30"/>
          <w:szCs w:val="32"/>
        </w:rPr>
        <w:t>适用于合同的其他规范性文件：</w:t>
      </w:r>
      <w:r>
        <w:rPr>
          <w:rFonts w:hint="eastAsia" w:eastAsia="仿宋_GB2312"/>
          <w:color w:val="000000"/>
          <w:sz w:val="30"/>
          <w:szCs w:val="32"/>
          <w:u w:val="single"/>
        </w:rPr>
        <w:t>国家及地方现行相关规范性文件</w:t>
      </w:r>
      <w:r>
        <w:rPr>
          <w:rFonts w:eastAsia="仿宋_GB2312"/>
          <w:color w:val="000000"/>
          <w:sz w:val="30"/>
          <w:szCs w:val="32"/>
          <w:u w:val="single"/>
        </w:rPr>
        <w:t xml:space="preserve"> </w:t>
      </w:r>
      <w:r>
        <w:rPr>
          <w:rFonts w:eastAsia="仿宋_GB2312"/>
          <w:color w:val="000000"/>
          <w:sz w:val="30"/>
          <w:szCs w:val="32"/>
        </w:rPr>
        <w:t>。</w:t>
      </w:r>
    </w:p>
    <w:p w14:paraId="0E909598">
      <w:pPr>
        <w:spacing w:after="120" w:line="360" w:lineRule="auto"/>
        <w:ind w:firstLine="600" w:firstLineChars="200"/>
        <w:outlineLvl w:val="0"/>
        <w:rPr>
          <w:rFonts w:eastAsia="黑体"/>
          <w:color w:val="000000"/>
          <w:sz w:val="30"/>
          <w:szCs w:val="32"/>
        </w:rPr>
      </w:pPr>
      <w:r>
        <w:rPr>
          <w:rFonts w:eastAsia="黑体"/>
          <w:color w:val="000000"/>
          <w:sz w:val="30"/>
          <w:szCs w:val="32"/>
        </w:rPr>
        <w:t>1.5 合同文件的优先顺序</w:t>
      </w:r>
    </w:p>
    <w:p w14:paraId="59887F85">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合同文件组成及优先顺序为：</w:t>
      </w:r>
    </w:p>
    <w:p w14:paraId="756DA9A5">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1</w:t>
      </w:r>
      <w:r>
        <w:rPr>
          <w:rFonts w:eastAsia="仿宋_GB2312"/>
          <w:color w:val="000000"/>
          <w:sz w:val="30"/>
          <w:szCs w:val="32"/>
        </w:rPr>
        <w:t>）</w:t>
      </w:r>
      <w:r>
        <w:rPr>
          <w:rFonts w:hint="eastAsia" w:eastAsia="仿宋_GB2312"/>
          <w:color w:val="000000"/>
          <w:sz w:val="30"/>
          <w:szCs w:val="32"/>
        </w:rPr>
        <w:t>合同协议书</w:t>
      </w:r>
      <w:r>
        <w:rPr>
          <w:rFonts w:eastAsia="仿宋_GB2312"/>
          <w:color w:val="000000"/>
          <w:sz w:val="30"/>
          <w:szCs w:val="32"/>
        </w:rPr>
        <w:t>；</w:t>
      </w:r>
    </w:p>
    <w:p w14:paraId="49C919D0">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2</w:t>
      </w:r>
      <w:r>
        <w:rPr>
          <w:rFonts w:eastAsia="仿宋_GB2312"/>
          <w:color w:val="000000"/>
          <w:sz w:val="30"/>
          <w:szCs w:val="32"/>
        </w:rPr>
        <w:t>）</w:t>
      </w:r>
      <w:r>
        <w:rPr>
          <w:rFonts w:hint="eastAsia" w:eastAsia="仿宋_GB2312"/>
          <w:color w:val="000000"/>
          <w:sz w:val="30"/>
          <w:szCs w:val="32"/>
        </w:rPr>
        <w:t>中选通知书</w:t>
      </w:r>
      <w:r>
        <w:rPr>
          <w:rFonts w:eastAsia="仿宋_GB2312"/>
          <w:color w:val="000000"/>
          <w:sz w:val="30"/>
          <w:szCs w:val="32"/>
        </w:rPr>
        <w:t>；</w:t>
      </w:r>
    </w:p>
    <w:p w14:paraId="228C5BCE">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3</w:t>
      </w:r>
      <w:r>
        <w:rPr>
          <w:rFonts w:eastAsia="仿宋_GB2312"/>
          <w:color w:val="000000"/>
          <w:sz w:val="30"/>
          <w:szCs w:val="32"/>
        </w:rPr>
        <w:t>）</w:t>
      </w:r>
      <w:r>
        <w:rPr>
          <w:rFonts w:hint="eastAsia" w:eastAsia="仿宋_GB2312"/>
          <w:color w:val="000000"/>
          <w:sz w:val="30"/>
          <w:szCs w:val="32"/>
        </w:rPr>
        <w:t>报价函及其附录</w:t>
      </w:r>
      <w:r>
        <w:rPr>
          <w:rFonts w:eastAsia="仿宋_GB2312"/>
          <w:color w:val="000000"/>
          <w:sz w:val="30"/>
          <w:szCs w:val="32"/>
        </w:rPr>
        <w:t>；</w:t>
      </w:r>
    </w:p>
    <w:p w14:paraId="3ECEC939">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4</w:t>
      </w:r>
      <w:r>
        <w:rPr>
          <w:rFonts w:eastAsia="仿宋_GB2312"/>
          <w:color w:val="000000"/>
          <w:sz w:val="30"/>
          <w:szCs w:val="32"/>
        </w:rPr>
        <w:t>）专用合同条款</w:t>
      </w:r>
      <w:r>
        <w:rPr>
          <w:rFonts w:hint="eastAsia" w:eastAsia="仿宋_GB2312"/>
          <w:color w:val="000000"/>
          <w:sz w:val="30"/>
          <w:szCs w:val="32"/>
        </w:rPr>
        <w:t>及其附件</w:t>
      </w:r>
      <w:r>
        <w:rPr>
          <w:rFonts w:eastAsia="仿宋_GB2312"/>
          <w:color w:val="000000"/>
          <w:sz w:val="30"/>
          <w:szCs w:val="32"/>
        </w:rPr>
        <w:t>；</w:t>
      </w:r>
    </w:p>
    <w:p w14:paraId="2EB276FE">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5</w:t>
      </w:r>
      <w:r>
        <w:rPr>
          <w:rFonts w:eastAsia="仿宋_GB2312"/>
          <w:color w:val="000000"/>
          <w:sz w:val="30"/>
          <w:szCs w:val="32"/>
        </w:rPr>
        <w:t xml:space="preserve">）通用合同条款； </w:t>
      </w:r>
    </w:p>
    <w:p w14:paraId="3F4D787C">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6</w:t>
      </w:r>
      <w:r>
        <w:rPr>
          <w:rFonts w:eastAsia="仿宋_GB2312"/>
          <w:color w:val="000000"/>
          <w:sz w:val="30"/>
          <w:szCs w:val="32"/>
        </w:rPr>
        <w:t>）技术标准和要求；</w:t>
      </w:r>
    </w:p>
    <w:p w14:paraId="5A3FAB1A">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7</w:t>
      </w:r>
      <w:r>
        <w:rPr>
          <w:rFonts w:eastAsia="仿宋_GB2312"/>
          <w:color w:val="000000"/>
          <w:sz w:val="30"/>
          <w:szCs w:val="32"/>
        </w:rPr>
        <w:t>）图纸；</w:t>
      </w:r>
    </w:p>
    <w:p w14:paraId="66D93543">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8</w:t>
      </w:r>
      <w:r>
        <w:rPr>
          <w:rFonts w:eastAsia="仿宋_GB2312"/>
          <w:color w:val="000000"/>
          <w:sz w:val="30"/>
          <w:szCs w:val="32"/>
        </w:rPr>
        <w:t>）</w:t>
      </w:r>
      <w:r>
        <w:rPr>
          <w:rFonts w:hint="eastAsia" w:eastAsia="仿宋_GB2312"/>
          <w:color w:val="000000"/>
          <w:sz w:val="30"/>
          <w:szCs w:val="32"/>
        </w:rPr>
        <w:t>竞争性谈判文件</w:t>
      </w:r>
      <w:r>
        <w:rPr>
          <w:rFonts w:eastAsia="仿宋_GB2312"/>
          <w:color w:val="000000"/>
          <w:sz w:val="30"/>
          <w:szCs w:val="32"/>
        </w:rPr>
        <w:t>；</w:t>
      </w:r>
    </w:p>
    <w:p w14:paraId="2660F21B">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9</w:t>
      </w:r>
      <w:r>
        <w:rPr>
          <w:rFonts w:eastAsia="仿宋_GB2312"/>
          <w:color w:val="000000"/>
          <w:sz w:val="30"/>
          <w:szCs w:val="32"/>
        </w:rPr>
        <w:t>）其他合同文件</w:t>
      </w:r>
      <w:r>
        <w:rPr>
          <w:rFonts w:eastAsia="仿宋_GB2312"/>
          <w:color w:val="000000"/>
          <w:sz w:val="30"/>
          <w:szCs w:val="32"/>
        </w:rPr>
        <w:tab/>
      </w:r>
    </w:p>
    <w:p w14:paraId="0E1B1A44">
      <w:pPr>
        <w:spacing w:after="120" w:line="360" w:lineRule="auto"/>
        <w:ind w:firstLine="600" w:firstLineChars="200"/>
        <w:outlineLvl w:val="0"/>
        <w:rPr>
          <w:rFonts w:eastAsia="黑体"/>
          <w:color w:val="000000"/>
          <w:sz w:val="30"/>
          <w:szCs w:val="32"/>
        </w:rPr>
      </w:pPr>
      <w:r>
        <w:rPr>
          <w:rFonts w:eastAsia="黑体"/>
          <w:color w:val="000000"/>
          <w:sz w:val="30"/>
          <w:szCs w:val="32"/>
        </w:rPr>
        <w:t>1.6 图纸和承包人文件</w:t>
      </w:r>
      <w:r>
        <w:rPr>
          <w:rFonts w:eastAsia="黑体"/>
          <w:color w:val="000000"/>
          <w:sz w:val="30"/>
          <w:szCs w:val="32"/>
        </w:rPr>
        <w:tab/>
      </w:r>
    </w:p>
    <w:p w14:paraId="24BB3111">
      <w:pPr>
        <w:spacing w:line="360" w:lineRule="auto"/>
        <w:ind w:firstLine="600" w:firstLineChars="200"/>
        <w:rPr>
          <w:rFonts w:eastAsia="仿宋_GB2312"/>
          <w:color w:val="000000"/>
          <w:sz w:val="30"/>
          <w:szCs w:val="32"/>
        </w:rPr>
      </w:pPr>
      <w:r>
        <w:rPr>
          <w:rFonts w:eastAsia="仿宋_GB2312"/>
          <w:color w:val="000000"/>
          <w:sz w:val="30"/>
          <w:szCs w:val="32"/>
        </w:rPr>
        <w:t>1.6.1 图纸的提供</w:t>
      </w:r>
    </w:p>
    <w:p w14:paraId="2ABBF028">
      <w:pPr>
        <w:spacing w:line="360" w:lineRule="auto"/>
        <w:ind w:firstLine="600" w:firstLineChars="200"/>
        <w:rPr>
          <w:rFonts w:eastAsia="仿宋_GB2312"/>
          <w:color w:val="000000"/>
          <w:sz w:val="30"/>
          <w:szCs w:val="32"/>
        </w:rPr>
      </w:pPr>
      <w:r>
        <w:rPr>
          <w:rFonts w:eastAsia="仿宋_GB2312"/>
          <w:color w:val="000000"/>
          <w:sz w:val="30"/>
          <w:szCs w:val="32"/>
        </w:rPr>
        <w:t>发包人向承包人提供图纸的期限：</w:t>
      </w:r>
      <w:r>
        <w:rPr>
          <w:rFonts w:hint="eastAsia" w:eastAsia="仿宋_GB2312"/>
          <w:color w:val="000000"/>
          <w:sz w:val="30"/>
          <w:szCs w:val="32"/>
          <w:u w:val="single"/>
        </w:rPr>
        <w:t xml:space="preserve"> 开工前七日内</w:t>
      </w:r>
      <w:r>
        <w:rPr>
          <w:rFonts w:eastAsia="仿宋_GB2312"/>
          <w:color w:val="000000"/>
          <w:sz w:val="30"/>
          <w:szCs w:val="32"/>
          <w:u w:val="single"/>
        </w:rPr>
        <w:t xml:space="preserve">  </w:t>
      </w:r>
      <w:r>
        <w:rPr>
          <w:rFonts w:eastAsia="仿宋_GB2312"/>
          <w:color w:val="000000"/>
          <w:sz w:val="30"/>
          <w:szCs w:val="32"/>
        </w:rPr>
        <w:t>；</w:t>
      </w:r>
    </w:p>
    <w:p w14:paraId="03262DD1">
      <w:pPr>
        <w:spacing w:line="360" w:lineRule="auto"/>
        <w:ind w:firstLine="600" w:firstLineChars="200"/>
        <w:rPr>
          <w:rFonts w:eastAsia="仿宋_GB2312"/>
          <w:color w:val="000000"/>
          <w:sz w:val="30"/>
          <w:szCs w:val="32"/>
        </w:rPr>
      </w:pPr>
      <w:r>
        <w:rPr>
          <w:rFonts w:eastAsia="仿宋_GB2312"/>
          <w:color w:val="000000"/>
          <w:sz w:val="30"/>
          <w:szCs w:val="32"/>
        </w:rPr>
        <w:t>发包人向承包人提供图纸的数量：</w:t>
      </w:r>
      <w:r>
        <w:rPr>
          <w:rFonts w:hint="eastAsia" w:eastAsia="仿宋_GB2312"/>
          <w:color w:val="000000"/>
          <w:sz w:val="30"/>
          <w:szCs w:val="32"/>
          <w:u w:val="single"/>
        </w:rPr>
        <w:t>叁套，承包人确需增加图纸套数的，需经发包人同意，所需费用由承包人自行承担</w:t>
      </w:r>
      <w:r>
        <w:rPr>
          <w:rFonts w:eastAsia="仿宋_GB2312"/>
          <w:color w:val="000000"/>
          <w:sz w:val="30"/>
          <w:szCs w:val="32"/>
          <w:u w:val="single"/>
        </w:rPr>
        <w:t xml:space="preserve"> </w:t>
      </w:r>
      <w:r>
        <w:rPr>
          <w:rFonts w:eastAsia="仿宋_GB2312"/>
          <w:color w:val="000000"/>
          <w:sz w:val="30"/>
          <w:szCs w:val="32"/>
        </w:rPr>
        <w:t>；</w:t>
      </w:r>
    </w:p>
    <w:p w14:paraId="677C3F65">
      <w:pPr>
        <w:spacing w:line="360" w:lineRule="auto"/>
        <w:ind w:firstLine="600" w:firstLineChars="200"/>
        <w:rPr>
          <w:rFonts w:eastAsia="仿宋_GB2312"/>
          <w:color w:val="000000"/>
          <w:sz w:val="30"/>
          <w:szCs w:val="32"/>
        </w:rPr>
      </w:pPr>
      <w:r>
        <w:rPr>
          <w:rFonts w:hint="eastAsia" w:eastAsia="仿宋_GB2312"/>
          <w:color w:val="000000"/>
          <w:sz w:val="30"/>
          <w:szCs w:val="32"/>
        </w:rPr>
        <w:t>发包人对图纸的保密要求：</w:t>
      </w:r>
      <w:r>
        <w:rPr>
          <w:rFonts w:hint="eastAsia" w:eastAsia="仿宋_GB2312"/>
          <w:color w:val="000000"/>
          <w:sz w:val="30"/>
          <w:szCs w:val="32"/>
          <w:u w:val="single"/>
        </w:rPr>
        <w:t>未经发包人书面同意，施工图纸及资料不得拷贝、复印、转让给第三方。若承包人违反此保密义务，承包人应在发包人追究承包人此违约责任之日起5日内，向发包人支付违约金</w:t>
      </w:r>
      <w:r>
        <w:rPr>
          <w:rFonts w:hint="eastAsia" w:eastAsia="仿宋_GB2312"/>
          <w:color w:val="0000FF"/>
          <w:sz w:val="30"/>
          <w:szCs w:val="32"/>
          <w:highlight w:val="green"/>
          <w:u w:val="single"/>
        </w:rPr>
        <w:t>贰拾</w:t>
      </w:r>
      <w:r>
        <w:rPr>
          <w:rFonts w:hint="eastAsia" w:eastAsia="仿宋_GB2312"/>
          <w:color w:val="000000"/>
          <w:sz w:val="30"/>
          <w:szCs w:val="32"/>
          <w:u w:val="single"/>
        </w:rPr>
        <w:t>万元。逾期支付，承包人应额外向发包人支付未付违约金额0.5‰/天的逾期违约金直至完全支付为止。发包人有权单方解除合同且不承担违约责任。</w:t>
      </w:r>
    </w:p>
    <w:p w14:paraId="66483E31">
      <w:pPr>
        <w:spacing w:line="360" w:lineRule="auto"/>
        <w:ind w:firstLine="600" w:firstLineChars="200"/>
        <w:rPr>
          <w:rFonts w:eastAsia="仿宋_GB2312"/>
          <w:color w:val="000000"/>
          <w:sz w:val="30"/>
          <w:szCs w:val="32"/>
        </w:rPr>
      </w:pPr>
      <w:r>
        <w:rPr>
          <w:rFonts w:eastAsia="仿宋_GB2312"/>
          <w:color w:val="000000"/>
          <w:sz w:val="30"/>
          <w:szCs w:val="32"/>
        </w:rPr>
        <w:t>1.6.4 承包人文件</w:t>
      </w:r>
    </w:p>
    <w:p w14:paraId="2548BE97">
      <w:pPr>
        <w:spacing w:line="360" w:lineRule="auto"/>
        <w:ind w:left="596" w:leftChars="284"/>
        <w:jc w:val="left"/>
        <w:rPr>
          <w:rFonts w:eastAsia="仿宋_GB2312"/>
          <w:color w:val="000000"/>
          <w:sz w:val="30"/>
          <w:szCs w:val="32"/>
        </w:rPr>
      </w:pPr>
      <w:r>
        <w:rPr>
          <w:rFonts w:eastAsia="仿宋_GB2312"/>
          <w:color w:val="000000"/>
          <w:sz w:val="30"/>
          <w:szCs w:val="32"/>
        </w:rPr>
        <w:t>需要由承包人提供的文件，包括：</w:t>
      </w:r>
      <w:r>
        <w:rPr>
          <w:rFonts w:hint="eastAsia" w:eastAsia="仿宋_GB2312"/>
          <w:color w:val="000000"/>
          <w:sz w:val="30"/>
          <w:szCs w:val="32"/>
          <w:u w:val="single"/>
        </w:rPr>
        <w:t xml:space="preserve">施工组织设计、专项施工方案、进度计划等 </w:t>
      </w:r>
      <w:r>
        <w:rPr>
          <w:rFonts w:eastAsia="仿宋_GB2312"/>
          <w:color w:val="000000"/>
          <w:sz w:val="30"/>
          <w:szCs w:val="32"/>
        </w:rPr>
        <w:t>；</w:t>
      </w:r>
    </w:p>
    <w:p w14:paraId="1D37EE24">
      <w:pPr>
        <w:spacing w:line="360" w:lineRule="auto"/>
        <w:ind w:firstLine="600" w:firstLineChars="200"/>
        <w:rPr>
          <w:rFonts w:eastAsia="仿宋_GB2312"/>
          <w:color w:val="000000"/>
          <w:sz w:val="30"/>
          <w:szCs w:val="32"/>
        </w:rPr>
      </w:pPr>
      <w:r>
        <w:rPr>
          <w:rFonts w:eastAsia="仿宋_GB2312"/>
          <w:color w:val="000000"/>
          <w:sz w:val="30"/>
          <w:szCs w:val="32"/>
        </w:rPr>
        <w:t>承包人提供的文件的期限为：</w:t>
      </w:r>
      <w:r>
        <w:rPr>
          <w:rFonts w:hint="eastAsia" w:eastAsia="仿宋_GB2312"/>
          <w:color w:val="000000"/>
          <w:sz w:val="30"/>
          <w:szCs w:val="32"/>
          <w:u w:val="single"/>
        </w:rPr>
        <w:t>施工组织设计、进度计划在开工前7天，专项施工方案在专项工程实施前7天</w:t>
      </w:r>
      <w:r>
        <w:rPr>
          <w:rFonts w:eastAsia="仿宋_GB2312"/>
          <w:color w:val="000000"/>
          <w:sz w:val="30"/>
          <w:szCs w:val="32"/>
        </w:rPr>
        <w:t>；</w:t>
      </w:r>
    </w:p>
    <w:p w14:paraId="08718A7D">
      <w:pPr>
        <w:spacing w:line="360" w:lineRule="auto"/>
        <w:ind w:firstLine="600" w:firstLineChars="200"/>
        <w:rPr>
          <w:rFonts w:eastAsia="仿宋_GB2312"/>
          <w:color w:val="000000"/>
          <w:sz w:val="30"/>
          <w:szCs w:val="32"/>
        </w:rPr>
      </w:pPr>
      <w:r>
        <w:rPr>
          <w:rFonts w:eastAsia="仿宋_GB2312"/>
          <w:color w:val="000000"/>
          <w:sz w:val="30"/>
          <w:szCs w:val="32"/>
        </w:rPr>
        <w:t>承包人提供的文件的数量为：</w:t>
      </w:r>
      <w:r>
        <w:rPr>
          <w:rFonts w:hint="eastAsia" w:eastAsia="仿宋_GB2312"/>
          <w:color w:val="000000"/>
          <w:sz w:val="30"/>
          <w:szCs w:val="32"/>
          <w:u w:val="single"/>
        </w:rPr>
        <w:t xml:space="preserve">三份 </w:t>
      </w:r>
      <w:r>
        <w:rPr>
          <w:rFonts w:eastAsia="仿宋_GB2312"/>
          <w:color w:val="000000"/>
          <w:sz w:val="30"/>
          <w:szCs w:val="32"/>
        </w:rPr>
        <w:t>；</w:t>
      </w:r>
    </w:p>
    <w:p w14:paraId="1B491BA5">
      <w:pPr>
        <w:spacing w:line="360" w:lineRule="auto"/>
        <w:ind w:firstLine="600" w:firstLineChars="200"/>
        <w:rPr>
          <w:rFonts w:eastAsia="仿宋_GB2312"/>
          <w:color w:val="000000"/>
          <w:sz w:val="30"/>
          <w:szCs w:val="32"/>
        </w:rPr>
      </w:pPr>
      <w:r>
        <w:rPr>
          <w:rFonts w:eastAsia="仿宋_GB2312"/>
          <w:color w:val="000000"/>
          <w:sz w:val="30"/>
          <w:szCs w:val="32"/>
        </w:rPr>
        <w:t>承包人提供的文件的形式为：</w:t>
      </w:r>
      <w:r>
        <w:rPr>
          <w:rFonts w:hint="eastAsia" w:eastAsia="仿宋_GB2312"/>
          <w:color w:val="000000"/>
          <w:sz w:val="30"/>
          <w:szCs w:val="32"/>
          <w:u w:val="single"/>
        </w:rPr>
        <w:t>正式纸质文件（承包人已完善签字盖章）</w:t>
      </w:r>
      <w:r>
        <w:rPr>
          <w:rFonts w:eastAsia="仿宋_GB2312"/>
          <w:color w:val="000000"/>
          <w:sz w:val="30"/>
          <w:szCs w:val="32"/>
        </w:rPr>
        <w:t>；</w:t>
      </w:r>
    </w:p>
    <w:p w14:paraId="41E8E729">
      <w:pPr>
        <w:spacing w:line="360" w:lineRule="auto"/>
        <w:ind w:firstLine="600" w:firstLineChars="200"/>
        <w:rPr>
          <w:rFonts w:eastAsia="仿宋_GB2312"/>
          <w:color w:val="000000"/>
          <w:sz w:val="30"/>
          <w:szCs w:val="32"/>
        </w:rPr>
      </w:pPr>
      <w:r>
        <w:rPr>
          <w:rFonts w:eastAsia="仿宋_GB2312"/>
          <w:color w:val="000000"/>
          <w:sz w:val="30"/>
          <w:szCs w:val="32"/>
        </w:rPr>
        <w:t>发包人</w:t>
      </w:r>
      <w:r>
        <w:rPr>
          <w:rFonts w:hint="eastAsia" w:eastAsia="仿宋_GB2312"/>
          <w:color w:val="000000"/>
          <w:sz w:val="30"/>
          <w:szCs w:val="32"/>
        </w:rPr>
        <w:t>审批</w:t>
      </w:r>
      <w:r>
        <w:rPr>
          <w:rFonts w:eastAsia="仿宋_GB2312"/>
          <w:color w:val="000000"/>
          <w:sz w:val="30"/>
          <w:szCs w:val="32"/>
        </w:rPr>
        <w:t>承包人文件的期限：</w:t>
      </w:r>
      <w:r>
        <w:rPr>
          <w:rFonts w:hint="eastAsia" w:eastAsia="仿宋_GB2312"/>
          <w:color w:val="000000"/>
          <w:sz w:val="30"/>
          <w:szCs w:val="32"/>
          <w:u w:val="single"/>
        </w:rPr>
        <w:t>收到文件后7天内审核完毕</w:t>
      </w:r>
      <w:r>
        <w:rPr>
          <w:rFonts w:eastAsia="仿宋_GB2312"/>
          <w:color w:val="000000"/>
          <w:sz w:val="30"/>
          <w:szCs w:val="32"/>
        </w:rPr>
        <w:t>。</w:t>
      </w:r>
    </w:p>
    <w:p w14:paraId="081AB3EB">
      <w:pPr>
        <w:spacing w:after="120" w:line="360" w:lineRule="auto"/>
        <w:ind w:firstLine="600" w:firstLineChars="200"/>
        <w:outlineLvl w:val="0"/>
        <w:rPr>
          <w:rFonts w:eastAsia="黑体"/>
          <w:color w:val="000000"/>
          <w:sz w:val="30"/>
          <w:szCs w:val="32"/>
        </w:rPr>
      </w:pPr>
      <w:r>
        <w:rPr>
          <w:rFonts w:eastAsia="黑体"/>
          <w:color w:val="000000"/>
          <w:sz w:val="30"/>
          <w:szCs w:val="32"/>
        </w:rPr>
        <w:t>1.7 联络</w:t>
      </w:r>
    </w:p>
    <w:p w14:paraId="54B98FC5">
      <w:pPr>
        <w:spacing w:line="360" w:lineRule="auto"/>
        <w:ind w:firstLine="600" w:firstLineChars="200"/>
        <w:rPr>
          <w:rFonts w:eastAsia="仿宋_GB2312"/>
          <w:color w:val="000000"/>
          <w:kern w:val="0"/>
          <w:sz w:val="30"/>
          <w:szCs w:val="32"/>
        </w:rPr>
      </w:pPr>
      <w:r>
        <w:rPr>
          <w:rFonts w:eastAsia="仿宋_GB2312"/>
          <w:color w:val="000000"/>
          <w:kern w:val="0"/>
          <w:sz w:val="30"/>
          <w:szCs w:val="32"/>
        </w:rPr>
        <w:t>1.7.1发包人和承包人应当在</w:t>
      </w:r>
      <w:r>
        <w:rPr>
          <w:rFonts w:hint="eastAsia" w:eastAsia="仿宋_GB2312"/>
          <w:color w:val="000000"/>
          <w:kern w:val="0"/>
          <w:sz w:val="30"/>
          <w:szCs w:val="32"/>
        </w:rPr>
        <w:t>事件发生后</w:t>
      </w:r>
      <w:r>
        <w:rPr>
          <w:rFonts w:hint="eastAsia" w:eastAsia="仿宋_GB2312"/>
          <w:color w:val="000000"/>
          <w:kern w:val="0"/>
          <w:sz w:val="30"/>
          <w:szCs w:val="32"/>
          <w:u w:val="single"/>
        </w:rPr>
        <w:t xml:space="preserve"> </w:t>
      </w:r>
      <w:r>
        <w:rPr>
          <w:rFonts w:eastAsia="仿宋_GB2312"/>
          <w:color w:val="000000"/>
          <w:sz w:val="30"/>
          <w:szCs w:val="32"/>
          <w:u w:val="single"/>
        </w:rPr>
        <w:t xml:space="preserve">3 </w:t>
      </w:r>
      <w:r>
        <w:rPr>
          <w:rFonts w:eastAsia="仿宋_GB2312"/>
          <w:color w:val="000000"/>
          <w:kern w:val="0"/>
          <w:sz w:val="30"/>
          <w:szCs w:val="32"/>
        </w:rPr>
        <w:t>天内将与合同有关的通知、批准、证明、证书、指示、指令、要求、请求、同意、意见、确定和决定等书面函件送达对方当事人</w:t>
      </w:r>
      <w:r>
        <w:rPr>
          <w:rFonts w:hint="eastAsia" w:eastAsia="仿宋_GB2312"/>
          <w:color w:val="000000"/>
          <w:kern w:val="0"/>
          <w:sz w:val="30"/>
          <w:szCs w:val="32"/>
        </w:rPr>
        <w:t>。</w:t>
      </w:r>
    </w:p>
    <w:p w14:paraId="58FF216C">
      <w:pPr>
        <w:spacing w:line="360" w:lineRule="auto"/>
        <w:ind w:firstLine="600" w:firstLineChars="200"/>
        <w:rPr>
          <w:rFonts w:eastAsia="仿宋_GB2312"/>
          <w:color w:val="000000"/>
          <w:kern w:val="0"/>
          <w:sz w:val="30"/>
          <w:szCs w:val="32"/>
        </w:rPr>
      </w:pPr>
      <w:r>
        <w:rPr>
          <w:rFonts w:eastAsia="仿宋_GB2312"/>
          <w:color w:val="000000"/>
          <w:kern w:val="0"/>
          <w:sz w:val="30"/>
          <w:szCs w:val="32"/>
        </w:rPr>
        <w:t>1.7.2 发包人接收文件的地点：</w:t>
      </w:r>
      <w:r>
        <w:rPr>
          <w:rFonts w:eastAsia="仿宋_GB2312"/>
          <w:color w:val="000000"/>
          <w:sz w:val="30"/>
          <w:szCs w:val="30"/>
          <w:highlight w:val="yellow"/>
          <w:u w:val="single"/>
        </w:rPr>
        <w:t xml:space="preserve">                              </w:t>
      </w:r>
      <w:r>
        <w:rPr>
          <w:rFonts w:eastAsia="仿宋_GB2312"/>
          <w:color w:val="000000"/>
          <w:kern w:val="0"/>
          <w:sz w:val="30"/>
          <w:szCs w:val="32"/>
        </w:rPr>
        <w:t>；</w:t>
      </w:r>
    </w:p>
    <w:p w14:paraId="0AAEB69F">
      <w:pPr>
        <w:spacing w:line="360" w:lineRule="auto"/>
        <w:ind w:firstLine="600" w:firstLineChars="200"/>
        <w:rPr>
          <w:rFonts w:eastAsia="仿宋_GB2312"/>
          <w:color w:val="000000"/>
          <w:kern w:val="0"/>
          <w:sz w:val="30"/>
          <w:szCs w:val="32"/>
        </w:rPr>
      </w:pPr>
      <w:r>
        <w:rPr>
          <w:rFonts w:eastAsia="仿宋_GB2312"/>
          <w:color w:val="000000"/>
          <w:kern w:val="0"/>
          <w:sz w:val="30"/>
          <w:szCs w:val="32"/>
        </w:rPr>
        <w:t>发包人指定的接收人为：</w:t>
      </w:r>
      <w:r>
        <w:rPr>
          <w:rFonts w:eastAsia="仿宋_GB2312"/>
          <w:color w:val="000000"/>
          <w:sz w:val="30"/>
          <w:szCs w:val="30"/>
          <w:highlight w:val="yellow"/>
          <w:u w:val="single"/>
        </w:rPr>
        <w:t xml:space="preserve">                                   </w:t>
      </w:r>
      <w:r>
        <w:rPr>
          <w:rFonts w:eastAsia="仿宋_GB2312"/>
          <w:color w:val="000000"/>
          <w:kern w:val="0"/>
          <w:sz w:val="30"/>
          <w:szCs w:val="32"/>
        </w:rPr>
        <w:t>。</w:t>
      </w:r>
    </w:p>
    <w:p w14:paraId="3DB09602">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承包人接收文件的地点：</w:t>
      </w:r>
      <w:r>
        <w:rPr>
          <w:rFonts w:eastAsia="仿宋_GB2312"/>
          <w:color w:val="000000"/>
          <w:sz w:val="30"/>
          <w:szCs w:val="30"/>
          <w:highlight w:val="yellow"/>
          <w:u w:val="single"/>
        </w:rPr>
        <w:t xml:space="preserve">                                   </w:t>
      </w:r>
      <w:r>
        <w:rPr>
          <w:rFonts w:eastAsia="仿宋_GB2312"/>
          <w:color w:val="000000"/>
          <w:kern w:val="0"/>
          <w:sz w:val="30"/>
          <w:szCs w:val="32"/>
        </w:rPr>
        <w:t>；</w:t>
      </w:r>
    </w:p>
    <w:p w14:paraId="33759B9B">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承包人指定的接收人为：</w:t>
      </w:r>
      <w:r>
        <w:rPr>
          <w:rFonts w:eastAsia="仿宋_GB2312"/>
          <w:color w:val="000000"/>
          <w:sz w:val="30"/>
          <w:szCs w:val="30"/>
          <w:highlight w:val="yellow"/>
          <w:u w:val="single"/>
        </w:rPr>
        <w:t xml:space="preserve">                                   </w:t>
      </w:r>
      <w:r>
        <w:rPr>
          <w:rFonts w:eastAsia="仿宋_GB2312"/>
          <w:color w:val="000000"/>
          <w:kern w:val="0"/>
          <w:sz w:val="30"/>
          <w:szCs w:val="32"/>
        </w:rPr>
        <w:t>。</w:t>
      </w:r>
    </w:p>
    <w:p w14:paraId="48121DB6">
      <w:pPr>
        <w:spacing w:line="360" w:lineRule="auto"/>
        <w:ind w:firstLine="600" w:firstLineChars="200"/>
        <w:rPr>
          <w:rFonts w:eastAsia="仿宋_GB2312"/>
          <w:color w:val="000000"/>
          <w:kern w:val="0"/>
          <w:sz w:val="30"/>
          <w:szCs w:val="32"/>
        </w:rPr>
      </w:pPr>
      <w:r>
        <w:rPr>
          <w:rFonts w:eastAsia="仿宋_GB2312"/>
          <w:color w:val="000000"/>
          <w:kern w:val="0"/>
          <w:sz w:val="30"/>
          <w:szCs w:val="32"/>
        </w:rPr>
        <w:t>监理人接收文件的地点：</w:t>
      </w:r>
      <w:r>
        <w:rPr>
          <w:rFonts w:eastAsia="仿宋_GB2312"/>
          <w:color w:val="000000"/>
          <w:sz w:val="30"/>
          <w:szCs w:val="30"/>
          <w:highlight w:val="yellow"/>
          <w:u w:val="single"/>
        </w:rPr>
        <w:t xml:space="preserve">                                   </w:t>
      </w:r>
      <w:r>
        <w:rPr>
          <w:rFonts w:eastAsia="仿宋_GB2312"/>
          <w:color w:val="000000"/>
          <w:kern w:val="0"/>
          <w:sz w:val="30"/>
          <w:szCs w:val="32"/>
        </w:rPr>
        <w:t>；</w:t>
      </w:r>
    </w:p>
    <w:p w14:paraId="378E380C">
      <w:pPr>
        <w:spacing w:line="360" w:lineRule="auto"/>
        <w:ind w:firstLine="600" w:firstLineChars="200"/>
        <w:rPr>
          <w:rFonts w:eastAsia="仿宋_GB2312"/>
          <w:color w:val="000000"/>
          <w:kern w:val="0"/>
          <w:sz w:val="30"/>
          <w:szCs w:val="32"/>
        </w:rPr>
      </w:pPr>
      <w:r>
        <w:rPr>
          <w:rFonts w:eastAsia="仿宋_GB2312"/>
          <w:color w:val="000000"/>
          <w:kern w:val="0"/>
          <w:sz w:val="30"/>
          <w:szCs w:val="32"/>
        </w:rPr>
        <w:t>监理人指定的接收人为：</w:t>
      </w:r>
      <w:r>
        <w:rPr>
          <w:rFonts w:eastAsia="仿宋_GB2312"/>
          <w:color w:val="000000"/>
          <w:sz w:val="30"/>
          <w:szCs w:val="30"/>
          <w:highlight w:val="yellow"/>
          <w:u w:val="single"/>
        </w:rPr>
        <w:t xml:space="preserve">                                   </w:t>
      </w:r>
      <w:r>
        <w:rPr>
          <w:rFonts w:eastAsia="仿宋_GB2312"/>
          <w:color w:val="000000"/>
          <w:kern w:val="0"/>
          <w:sz w:val="30"/>
          <w:szCs w:val="32"/>
        </w:rPr>
        <w:t>。</w:t>
      </w:r>
    </w:p>
    <w:p w14:paraId="469084DE">
      <w:pPr>
        <w:spacing w:after="120" w:line="360" w:lineRule="auto"/>
        <w:ind w:firstLine="600" w:firstLineChars="200"/>
        <w:outlineLvl w:val="0"/>
        <w:rPr>
          <w:rFonts w:eastAsia="黑体"/>
          <w:color w:val="000000"/>
          <w:sz w:val="30"/>
          <w:szCs w:val="32"/>
        </w:rPr>
      </w:pPr>
      <w:r>
        <w:rPr>
          <w:rFonts w:eastAsia="黑体"/>
          <w:color w:val="000000"/>
          <w:sz w:val="30"/>
          <w:szCs w:val="32"/>
        </w:rPr>
        <w:t>1.10 交通运输</w:t>
      </w:r>
    </w:p>
    <w:p w14:paraId="45773D29">
      <w:pPr>
        <w:spacing w:line="360" w:lineRule="auto"/>
        <w:ind w:firstLine="600" w:firstLineChars="200"/>
        <w:jc w:val="left"/>
        <w:outlineLvl w:val="0"/>
        <w:rPr>
          <w:rFonts w:eastAsia="仿宋_GB2312"/>
          <w:sz w:val="30"/>
          <w:szCs w:val="32"/>
        </w:rPr>
      </w:pPr>
      <w:r>
        <w:rPr>
          <w:rFonts w:eastAsia="仿宋_GB2312"/>
          <w:sz w:val="30"/>
          <w:szCs w:val="32"/>
        </w:rPr>
        <w:t>1</w:t>
      </w:r>
      <w:bookmarkStart w:id="112" w:name="_Toc304295522"/>
      <w:bookmarkStart w:id="113" w:name="_Toc303539101"/>
      <w:bookmarkStart w:id="114" w:name="_Toc312677987"/>
      <w:bookmarkStart w:id="115" w:name="_Toc300934944"/>
      <w:bookmarkStart w:id="116" w:name="_Toc318581156"/>
      <w:r>
        <w:rPr>
          <w:rFonts w:eastAsia="仿宋_GB2312"/>
          <w:sz w:val="30"/>
          <w:szCs w:val="32"/>
        </w:rPr>
        <w:t>.10.3 场内交通</w:t>
      </w:r>
    </w:p>
    <w:p w14:paraId="3074B6F9">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关于场外交通和场内交通的边界的约定：</w:t>
      </w:r>
      <w:r>
        <w:rPr>
          <w:rFonts w:hint="eastAsia" w:eastAsia="仿宋_GB2312"/>
          <w:color w:val="000000"/>
          <w:sz w:val="30"/>
          <w:szCs w:val="32"/>
          <w:u w:val="single"/>
        </w:rPr>
        <w:t xml:space="preserve">以发包人厂区外围围墙为边界 </w:t>
      </w:r>
      <w:r>
        <w:rPr>
          <w:rFonts w:eastAsia="仿宋_GB2312"/>
          <w:sz w:val="30"/>
          <w:szCs w:val="32"/>
        </w:rPr>
        <w:t>。</w:t>
      </w:r>
    </w:p>
    <w:p w14:paraId="71DFB658">
      <w:pPr>
        <w:spacing w:line="360" w:lineRule="auto"/>
        <w:ind w:firstLine="600" w:firstLineChars="200"/>
        <w:jc w:val="left"/>
        <w:rPr>
          <w:rFonts w:eastAsia="仿宋_GB2312"/>
          <w:sz w:val="30"/>
          <w:szCs w:val="32"/>
        </w:rPr>
      </w:pPr>
      <w:r>
        <w:rPr>
          <w:rFonts w:eastAsia="仿宋_GB2312"/>
          <w:sz w:val="30"/>
          <w:szCs w:val="32"/>
        </w:rPr>
        <w:t>关于发包人向承包人免费提供满足工程施工需要的场内道路和交通设施的约定：</w:t>
      </w:r>
      <w:r>
        <w:rPr>
          <w:rFonts w:hint="eastAsia" w:eastAsia="仿宋_GB2312"/>
          <w:color w:val="000000"/>
          <w:sz w:val="30"/>
          <w:szCs w:val="32"/>
          <w:u w:val="single"/>
        </w:rPr>
        <w:t xml:space="preserve">施工场地与城市公共道路已开通，施工场地内的临时道路由承包人负责，费用由承包人自行承担  </w:t>
      </w:r>
      <w:r>
        <w:rPr>
          <w:rFonts w:eastAsia="仿宋_GB2312"/>
          <w:sz w:val="30"/>
          <w:szCs w:val="32"/>
        </w:rPr>
        <w:t>。</w:t>
      </w:r>
      <w:bookmarkEnd w:id="112"/>
      <w:bookmarkEnd w:id="113"/>
      <w:bookmarkEnd w:id="114"/>
      <w:bookmarkEnd w:id="115"/>
      <w:bookmarkEnd w:id="116"/>
      <w:r>
        <w:rPr>
          <w:rFonts w:eastAsia="仿宋_GB2312"/>
          <w:sz w:val="30"/>
          <w:szCs w:val="32"/>
        </w:rPr>
        <w:t xml:space="preserve">  </w:t>
      </w:r>
      <w:bookmarkStart w:id="117" w:name="_Toc318581157"/>
    </w:p>
    <w:bookmarkEnd w:id="117"/>
    <w:p w14:paraId="2E78F7B1">
      <w:pPr>
        <w:spacing w:after="120" w:line="360" w:lineRule="auto"/>
        <w:ind w:firstLine="600" w:firstLineChars="200"/>
        <w:outlineLvl w:val="0"/>
        <w:rPr>
          <w:rFonts w:eastAsia="黑体"/>
          <w:color w:val="000000"/>
          <w:sz w:val="30"/>
          <w:szCs w:val="32"/>
        </w:rPr>
      </w:pPr>
      <w:r>
        <w:rPr>
          <w:rFonts w:eastAsia="黑体"/>
          <w:color w:val="000000"/>
          <w:sz w:val="30"/>
          <w:szCs w:val="32"/>
        </w:rPr>
        <w:t>1.11 知识产权</w:t>
      </w:r>
    </w:p>
    <w:p w14:paraId="009ADD13">
      <w:pPr>
        <w:spacing w:line="360" w:lineRule="auto"/>
        <w:ind w:firstLine="600" w:firstLineChars="200"/>
        <w:outlineLvl w:val="0"/>
        <w:rPr>
          <w:rFonts w:eastAsia="仿宋_GB2312"/>
          <w:color w:val="000000"/>
          <w:kern w:val="0"/>
          <w:sz w:val="30"/>
          <w:szCs w:val="32"/>
        </w:rPr>
      </w:pPr>
      <w:r>
        <w:rPr>
          <w:rFonts w:eastAsia="仿宋_GB2312"/>
          <w:color w:val="000000"/>
          <w:sz w:val="30"/>
          <w:szCs w:val="32"/>
        </w:rPr>
        <w:t>1.11.4 承包人在施工过程中所采用的专利、专有技术、技术秘密的使用费的承担方式：</w:t>
      </w:r>
      <w:r>
        <w:rPr>
          <w:rFonts w:hint="eastAsia" w:eastAsia="仿宋_GB2312"/>
          <w:color w:val="000000"/>
          <w:sz w:val="30"/>
          <w:szCs w:val="32"/>
          <w:u w:val="single"/>
        </w:rPr>
        <w:t xml:space="preserve">由承包人承担 </w:t>
      </w:r>
      <w:r>
        <w:rPr>
          <w:rFonts w:eastAsia="仿宋_GB2312"/>
          <w:color w:val="000000"/>
          <w:sz w:val="30"/>
          <w:szCs w:val="32"/>
          <w:u w:val="single"/>
        </w:rPr>
        <w:t xml:space="preserve">  </w:t>
      </w:r>
      <w:r>
        <w:rPr>
          <w:rFonts w:eastAsia="仿宋_GB2312"/>
          <w:color w:val="000000"/>
          <w:kern w:val="0"/>
          <w:sz w:val="30"/>
          <w:szCs w:val="32"/>
        </w:rPr>
        <w:t>。</w:t>
      </w:r>
    </w:p>
    <w:p w14:paraId="7CD64489">
      <w:pPr>
        <w:spacing w:after="120" w:line="360" w:lineRule="auto"/>
        <w:ind w:firstLine="600" w:firstLineChars="200"/>
        <w:rPr>
          <w:rFonts w:eastAsia="黑体"/>
          <w:color w:val="000000"/>
          <w:sz w:val="30"/>
          <w:szCs w:val="32"/>
        </w:rPr>
      </w:pPr>
      <w:r>
        <w:rPr>
          <w:rFonts w:eastAsia="黑体"/>
          <w:color w:val="000000"/>
          <w:sz w:val="30"/>
          <w:szCs w:val="32"/>
        </w:rPr>
        <w:t>1.13工程量清单错误的修正</w:t>
      </w:r>
    </w:p>
    <w:p w14:paraId="72FC03B7">
      <w:pPr>
        <w:spacing w:line="360" w:lineRule="auto"/>
        <w:ind w:firstLine="600" w:firstLineChars="200"/>
        <w:rPr>
          <w:rFonts w:eastAsia="仿宋_GB2312"/>
          <w:color w:val="000000"/>
          <w:sz w:val="30"/>
          <w:szCs w:val="32"/>
        </w:rPr>
      </w:pPr>
      <w:r>
        <w:rPr>
          <w:rFonts w:hint="eastAsia" w:eastAsia="仿宋_GB2312"/>
          <w:color w:val="000000"/>
          <w:sz w:val="30"/>
          <w:szCs w:val="32"/>
        </w:rPr>
        <w:t>出现工程量清单错误时，是否调整合同价格：</w:t>
      </w:r>
      <w:r>
        <w:rPr>
          <w:rFonts w:eastAsia="仿宋_GB2312"/>
          <w:color w:val="000000"/>
          <w:sz w:val="30"/>
          <w:szCs w:val="32"/>
          <w:u w:val="single"/>
        </w:rPr>
        <w:t xml:space="preserve"> </w:t>
      </w:r>
      <w:r>
        <w:rPr>
          <w:rFonts w:hint="eastAsia" w:eastAsia="仿宋_GB2312"/>
          <w:color w:val="000000"/>
          <w:sz w:val="30"/>
          <w:szCs w:val="32"/>
          <w:u w:val="single"/>
        </w:rPr>
        <w:t xml:space="preserve"> 是</w:t>
      </w:r>
      <w:r>
        <w:rPr>
          <w:rFonts w:eastAsia="仿宋_GB2312"/>
          <w:color w:val="000000"/>
          <w:sz w:val="30"/>
          <w:szCs w:val="32"/>
          <w:u w:val="single"/>
        </w:rPr>
        <w:t xml:space="preserve"> </w:t>
      </w:r>
      <w:r>
        <w:rPr>
          <w:rFonts w:eastAsia="仿宋_GB2312"/>
          <w:color w:val="000000"/>
          <w:kern w:val="0"/>
          <w:sz w:val="30"/>
          <w:szCs w:val="32"/>
        </w:rPr>
        <w:t>。</w:t>
      </w:r>
    </w:p>
    <w:p w14:paraId="57FF93EF">
      <w:pPr>
        <w:spacing w:line="360" w:lineRule="auto"/>
        <w:ind w:firstLine="600" w:firstLineChars="200"/>
        <w:rPr>
          <w:rFonts w:eastAsia="仿宋_GB2312"/>
          <w:color w:val="000000"/>
          <w:sz w:val="30"/>
          <w:szCs w:val="32"/>
        </w:rPr>
      </w:pPr>
      <w:r>
        <w:rPr>
          <w:rFonts w:eastAsia="仿宋_GB2312"/>
          <w:color w:val="000000"/>
          <w:sz w:val="30"/>
          <w:szCs w:val="32"/>
        </w:rPr>
        <w:t>允许调整合同价格的工程量偏差范围：</w:t>
      </w:r>
      <w:r>
        <w:rPr>
          <w:rFonts w:eastAsia="仿宋_GB2312"/>
          <w:color w:val="000000"/>
          <w:sz w:val="30"/>
          <w:szCs w:val="32"/>
          <w:u w:val="single"/>
        </w:rPr>
        <w:t xml:space="preserve"> </w:t>
      </w:r>
      <w:r>
        <w:rPr>
          <w:rFonts w:hint="eastAsia" w:eastAsia="仿宋_GB2312"/>
          <w:color w:val="000000"/>
          <w:sz w:val="30"/>
          <w:szCs w:val="32"/>
          <w:u w:val="single"/>
        </w:rPr>
        <w:t>工程量出现偏差不允许调整清单单价</w:t>
      </w:r>
      <w:r>
        <w:rPr>
          <w:rFonts w:eastAsia="仿宋_GB2312"/>
          <w:color w:val="000000"/>
          <w:sz w:val="30"/>
          <w:szCs w:val="32"/>
          <w:u w:val="single"/>
        </w:rPr>
        <w:t xml:space="preserve">  </w:t>
      </w:r>
      <w:r>
        <w:rPr>
          <w:rFonts w:eastAsia="仿宋_GB2312"/>
          <w:color w:val="000000"/>
          <w:kern w:val="0"/>
          <w:sz w:val="30"/>
          <w:szCs w:val="32"/>
        </w:rPr>
        <w:t>。</w:t>
      </w:r>
    </w:p>
    <w:p w14:paraId="7B24BFCB">
      <w:pPr>
        <w:pStyle w:val="5"/>
        <w:spacing w:before="120" w:after="120" w:line="360" w:lineRule="auto"/>
        <w:rPr>
          <w:rFonts w:ascii="Times New Roman" w:hAnsi="Times New Roman" w:eastAsia="黑体"/>
          <w:b w:val="0"/>
          <w:color w:val="000000"/>
          <w:sz w:val="32"/>
          <w:szCs w:val="32"/>
        </w:rPr>
      </w:pPr>
      <w:bookmarkStart w:id="118" w:name="_Toc351203634"/>
      <w:r>
        <w:rPr>
          <w:rFonts w:ascii="Times New Roman" w:hAnsi="Times New Roman" w:eastAsia="黑体"/>
          <w:b w:val="0"/>
          <w:color w:val="000000"/>
          <w:sz w:val="32"/>
          <w:szCs w:val="32"/>
        </w:rPr>
        <w:t>2</w:t>
      </w:r>
      <w:bookmarkStart w:id="119" w:name="_Toc297048343"/>
      <w:bookmarkStart w:id="120" w:name="_Toc296347156"/>
      <w:bookmarkStart w:id="121" w:name="_Toc292559867"/>
      <w:bookmarkStart w:id="122" w:name="_Toc296346658"/>
      <w:bookmarkStart w:id="123" w:name="_Toc296503157"/>
      <w:bookmarkStart w:id="124" w:name="_Toc297120457"/>
      <w:bookmarkStart w:id="125" w:name="_Toc296944496"/>
      <w:bookmarkStart w:id="126" w:name="_Toc296890985"/>
      <w:bookmarkStart w:id="127" w:name="_Toc296891197"/>
      <w:bookmarkStart w:id="128" w:name="_Toc292559362"/>
      <w:r>
        <w:rPr>
          <w:rFonts w:ascii="Times New Roman" w:hAnsi="Times New Roman" w:eastAsia="黑体"/>
          <w:b w:val="0"/>
          <w:color w:val="000000"/>
          <w:sz w:val="32"/>
          <w:szCs w:val="32"/>
        </w:rPr>
        <w:t>. 发包人</w:t>
      </w:r>
      <w:bookmarkEnd w:id="118"/>
    </w:p>
    <w:bookmarkEnd w:id="119"/>
    <w:bookmarkEnd w:id="120"/>
    <w:bookmarkEnd w:id="121"/>
    <w:bookmarkEnd w:id="122"/>
    <w:bookmarkEnd w:id="123"/>
    <w:bookmarkEnd w:id="124"/>
    <w:bookmarkEnd w:id="125"/>
    <w:bookmarkEnd w:id="126"/>
    <w:bookmarkEnd w:id="127"/>
    <w:bookmarkEnd w:id="128"/>
    <w:p w14:paraId="1A3BC92F">
      <w:pPr>
        <w:spacing w:after="120" w:line="360" w:lineRule="auto"/>
        <w:ind w:firstLine="600" w:firstLineChars="200"/>
        <w:outlineLvl w:val="0"/>
        <w:rPr>
          <w:rFonts w:eastAsia="黑体"/>
          <w:color w:val="000000"/>
          <w:sz w:val="30"/>
          <w:szCs w:val="32"/>
        </w:rPr>
      </w:pPr>
      <w:r>
        <w:rPr>
          <w:rFonts w:eastAsia="黑体"/>
          <w:color w:val="000000"/>
          <w:sz w:val="30"/>
          <w:szCs w:val="32"/>
        </w:rPr>
        <w:t>2.2 发包人代表</w:t>
      </w:r>
    </w:p>
    <w:p w14:paraId="35311F0B">
      <w:pPr>
        <w:spacing w:line="360" w:lineRule="auto"/>
        <w:ind w:firstLine="600" w:firstLineChars="200"/>
        <w:rPr>
          <w:rFonts w:eastAsia="仿宋_GB2312"/>
          <w:color w:val="000000"/>
          <w:sz w:val="30"/>
          <w:szCs w:val="32"/>
        </w:rPr>
      </w:pPr>
      <w:r>
        <w:rPr>
          <w:rFonts w:eastAsia="仿宋_GB2312"/>
          <w:color w:val="000000"/>
          <w:sz w:val="30"/>
          <w:szCs w:val="32"/>
        </w:rPr>
        <w:t>发包人代表：</w:t>
      </w:r>
    </w:p>
    <w:p w14:paraId="6D9E7442">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0"/>
          <w:highlight w:val="yellow"/>
          <w:u w:val="single"/>
        </w:rPr>
        <w:t xml:space="preserve">                                   </w:t>
      </w:r>
      <w:r>
        <w:rPr>
          <w:rFonts w:eastAsia="仿宋_GB2312"/>
          <w:color w:val="000000"/>
          <w:sz w:val="30"/>
          <w:szCs w:val="32"/>
        </w:rPr>
        <w:t>；</w:t>
      </w:r>
    </w:p>
    <w:p w14:paraId="1E6C7A02">
      <w:pPr>
        <w:spacing w:line="360" w:lineRule="auto"/>
        <w:ind w:firstLine="600" w:firstLineChars="200"/>
        <w:rPr>
          <w:rFonts w:eastAsia="仿宋_GB2312"/>
          <w:color w:val="000000"/>
          <w:sz w:val="30"/>
          <w:szCs w:val="32"/>
        </w:rPr>
      </w:pPr>
      <w:r>
        <w:rPr>
          <w:rFonts w:eastAsia="仿宋_GB2312"/>
          <w:color w:val="000000"/>
          <w:sz w:val="30"/>
          <w:szCs w:val="32"/>
        </w:rPr>
        <w:t>身份证号：</w:t>
      </w:r>
      <w:r>
        <w:rPr>
          <w:rFonts w:eastAsia="仿宋_GB2312"/>
          <w:color w:val="000000"/>
          <w:sz w:val="30"/>
          <w:szCs w:val="30"/>
          <w:highlight w:val="yellow"/>
          <w:u w:val="single"/>
        </w:rPr>
        <w:t xml:space="preserve">                                   </w:t>
      </w:r>
      <w:r>
        <w:rPr>
          <w:rFonts w:eastAsia="仿宋_GB2312"/>
          <w:color w:val="000000"/>
          <w:sz w:val="30"/>
          <w:szCs w:val="32"/>
        </w:rPr>
        <w:t>；</w:t>
      </w:r>
    </w:p>
    <w:p w14:paraId="12162BBA">
      <w:pPr>
        <w:spacing w:line="360" w:lineRule="auto"/>
        <w:ind w:firstLine="600" w:firstLineChars="200"/>
        <w:rPr>
          <w:rFonts w:eastAsia="仿宋_GB2312"/>
          <w:color w:val="000000"/>
          <w:sz w:val="30"/>
          <w:szCs w:val="32"/>
        </w:rPr>
      </w:pPr>
      <w:r>
        <w:rPr>
          <w:rFonts w:eastAsia="仿宋_GB2312"/>
          <w:color w:val="000000"/>
          <w:sz w:val="30"/>
          <w:szCs w:val="32"/>
        </w:rPr>
        <w:t>职    务：</w:t>
      </w:r>
      <w:r>
        <w:rPr>
          <w:rFonts w:eastAsia="仿宋_GB2312"/>
          <w:color w:val="000000"/>
          <w:sz w:val="30"/>
          <w:szCs w:val="30"/>
          <w:highlight w:val="yellow"/>
          <w:u w:val="single"/>
        </w:rPr>
        <w:t xml:space="preserve">                                   </w:t>
      </w:r>
      <w:r>
        <w:rPr>
          <w:rFonts w:eastAsia="仿宋_GB2312"/>
          <w:color w:val="000000"/>
          <w:sz w:val="30"/>
          <w:szCs w:val="32"/>
        </w:rPr>
        <w:t>；</w:t>
      </w:r>
    </w:p>
    <w:p w14:paraId="563A42D6">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0"/>
          <w:highlight w:val="yellow"/>
          <w:u w:val="single"/>
        </w:rPr>
        <w:t xml:space="preserve">                                   </w:t>
      </w:r>
      <w:r>
        <w:rPr>
          <w:rFonts w:eastAsia="仿宋_GB2312"/>
          <w:color w:val="000000"/>
          <w:sz w:val="30"/>
          <w:szCs w:val="32"/>
        </w:rPr>
        <w:t>；</w:t>
      </w:r>
    </w:p>
    <w:p w14:paraId="54224033">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0"/>
          <w:highlight w:val="yellow"/>
          <w:u w:val="single"/>
        </w:rPr>
        <w:t xml:space="preserve">                                   </w:t>
      </w:r>
      <w:r>
        <w:rPr>
          <w:rFonts w:eastAsia="仿宋_GB2312"/>
          <w:color w:val="000000"/>
          <w:sz w:val="30"/>
          <w:szCs w:val="32"/>
        </w:rPr>
        <w:t>；</w:t>
      </w:r>
    </w:p>
    <w:p w14:paraId="14C42E40">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0"/>
          <w:highlight w:val="yellow"/>
          <w:u w:val="single"/>
        </w:rPr>
        <w:t xml:space="preserve">                                   </w:t>
      </w:r>
      <w:r>
        <w:rPr>
          <w:rFonts w:eastAsia="仿宋_GB2312"/>
          <w:color w:val="000000"/>
          <w:sz w:val="30"/>
          <w:szCs w:val="32"/>
        </w:rPr>
        <w:t>。</w:t>
      </w:r>
    </w:p>
    <w:p w14:paraId="2CDED69C">
      <w:pPr>
        <w:spacing w:line="360" w:lineRule="auto"/>
        <w:ind w:firstLine="600" w:firstLineChars="200"/>
        <w:rPr>
          <w:rFonts w:eastAsia="仿宋_GB2312"/>
          <w:b/>
          <w:color w:val="000000"/>
          <w:sz w:val="30"/>
          <w:szCs w:val="32"/>
        </w:rPr>
      </w:pPr>
      <w:r>
        <w:rPr>
          <w:rFonts w:eastAsia="仿宋_GB2312"/>
          <w:color w:val="000000"/>
          <w:sz w:val="30"/>
          <w:szCs w:val="32"/>
        </w:rPr>
        <w:t>发包人对发包人代表的授权范围如下：</w:t>
      </w:r>
      <w:r>
        <w:rPr>
          <w:rFonts w:hint="eastAsia" w:eastAsia="仿宋_GB2312"/>
          <w:color w:val="000000"/>
          <w:sz w:val="30"/>
          <w:szCs w:val="32"/>
          <w:u w:val="single"/>
        </w:rPr>
        <w:t>1、检查和监督承包人执行合同；2、参与工程质量、安全、投资、进度的管理及各有关协作单位的协调；3、参与审核工程进度款的支付；4、发包人代表的指令、通知由其本人及发包人项目办主管/分管领导签字并加盖发包人公章后，以书面形式交给项目经理后生效；5、对工程设计变更的审批权（工程设计变更还须完成发包人内部审批）；6、组织竣工验收</w:t>
      </w:r>
      <w:r>
        <w:rPr>
          <w:rFonts w:eastAsia="仿宋_GB2312"/>
          <w:color w:val="000000"/>
          <w:sz w:val="30"/>
          <w:szCs w:val="32"/>
        </w:rPr>
        <w:t>。</w:t>
      </w:r>
    </w:p>
    <w:p w14:paraId="77C221BE">
      <w:pPr>
        <w:spacing w:after="120" w:line="360" w:lineRule="auto"/>
        <w:ind w:firstLine="600" w:firstLineChars="200"/>
        <w:outlineLvl w:val="0"/>
        <w:rPr>
          <w:rFonts w:eastAsia="黑体"/>
          <w:color w:val="000000"/>
          <w:sz w:val="30"/>
          <w:szCs w:val="32"/>
        </w:rPr>
      </w:pPr>
      <w:r>
        <w:rPr>
          <w:rFonts w:eastAsia="黑体"/>
          <w:color w:val="000000"/>
          <w:sz w:val="30"/>
          <w:szCs w:val="32"/>
        </w:rPr>
        <w:t>2.4 施工现场、施工条件和基础资料的提供</w:t>
      </w:r>
    </w:p>
    <w:p w14:paraId="2168D3FF">
      <w:pPr>
        <w:spacing w:line="360" w:lineRule="auto"/>
        <w:ind w:firstLine="600" w:firstLineChars="200"/>
        <w:rPr>
          <w:rFonts w:eastAsia="仿宋_GB2312"/>
          <w:color w:val="000000"/>
          <w:sz w:val="30"/>
          <w:szCs w:val="32"/>
        </w:rPr>
      </w:pPr>
      <w:r>
        <w:rPr>
          <w:rFonts w:eastAsia="仿宋_GB2312"/>
          <w:color w:val="000000"/>
          <w:sz w:val="30"/>
          <w:szCs w:val="32"/>
        </w:rPr>
        <w:t>2.4.1 提供施工现场</w:t>
      </w:r>
    </w:p>
    <w:p w14:paraId="34CCAD4E">
      <w:pPr>
        <w:spacing w:line="360" w:lineRule="auto"/>
        <w:ind w:firstLine="600" w:firstLineChars="200"/>
        <w:jc w:val="left"/>
        <w:rPr>
          <w:rFonts w:eastAsia="仿宋_GB2312"/>
          <w:color w:val="000000"/>
          <w:sz w:val="30"/>
          <w:szCs w:val="32"/>
        </w:rPr>
      </w:pPr>
      <w:r>
        <w:rPr>
          <w:rFonts w:eastAsia="仿宋_GB2312"/>
          <w:color w:val="000000"/>
          <w:sz w:val="30"/>
          <w:szCs w:val="32"/>
        </w:rPr>
        <w:t>关于发包人移交施工现场的期限要求：</w:t>
      </w:r>
      <w:r>
        <w:rPr>
          <w:rFonts w:hint="eastAsia" w:eastAsia="仿宋_GB2312"/>
          <w:color w:val="000000"/>
          <w:sz w:val="30"/>
          <w:szCs w:val="32"/>
          <w:u w:val="single"/>
        </w:rPr>
        <w:t>合同签订后至开工报告发出前</w:t>
      </w:r>
      <w:r>
        <w:rPr>
          <w:rFonts w:eastAsia="仿宋_GB2312"/>
          <w:color w:val="000000"/>
          <w:sz w:val="30"/>
          <w:szCs w:val="32"/>
          <w:u w:val="single"/>
        </w:rPr>
        <w:t xml:space="preserve">   </w:t>
      </w:r>
      <w:r>
        <w:rPr>
          <w:rFonts w:eastAsia="仿宋_GB2312"/>
          <w:color w:val="000000"/>
          <w:sz w:val="30"/>
          <w:szCs w:val="32"/>
        </w:rPr>
        <w:t>。</w:t>
      </w:r>
    </w:p>
    <w:p w14:paraId="707441D6">
      <w:pPr>
        <w:spacing w:line="360" w:lineRule="auto"/>
        <w:ind w:firstLine="600" w:firstLineChars="200"/>
        <w:rPr>
          <w:rFonts w:eastAsia="仿宋_GB2312"/>
          <w:color w:val="000000"/>
          <w:sz w:val="30"/>
          <w:szCs w:val="32"/>
        </w:rPr>
      </w:pPr>
      <w:r>
        <w:rPr>
          <w:rFonts w:eastAsia="仿宋_GB2312"/>
          <w:color w:val="000000"/>
          <w:sz w:val="30"/>
          <w:szCs w:val="32"/>
        </w:rPr>
        <w:t>2.4.2 提供施工条件</w:t>
      </w:r>
    </w:p>
    <w:p w14:paraId="66A81703">
      <w:pPr>
        <w:spacing w:line="360" w:lineRule="auto"/>
        <w:ind w:firstLine="600" w:firstLineChars="200"/>
        <w:rPr>
          <w:rFonts w:eastAsia="仿宋_GB2312"/>
          <w:color w:val="000000"/>
          <w:sz w:val="30"/>
          <w:szCs w:val="32"/>
          <w:u w:val="single"/>
        </w:rPr>
      </w:pPr>
      <w:r>
        <w:rPr>
          <w:rFonts w:eastAsia="仿宋_GB2312"/>
          <w:color w:val="000000"/>
          <w:sz w:val="30"/>
          <w:szCs w:val="32"/>
        </w:rPr>
        <w:t>关于发包人应负责提供施工</w:t>
      </w:r>
      <w:r>
        <w:rPr>
          <w:rFonts w:hint="eastAsia" w:eastAsia="仿宋_GB2312"/>
          <w:color w:val="000000"/>
          <w:sz w:val="30"/>
          <w:szCs w:val="32"/>
        </w:rPr>
        <w:t>所需要的条件，</w:t>
      </w:r>
      <w:r>
        <w:rPr>
          <w:rFonts w:eastAsia="仿宋_GB2312"/>
          <w:color w:val="000000"/>
          <w:sz w:val="30"/>
          <w:szCs w:val="32"/>
        </w:rPr>
        <w:t>包括：</w:t>
      </w:r>
      <w:r>
        <w:rPr>
          <w:rFonts w:hint="eastAsia" w:eastAsia="仿宋_GB2312"/>
          <w:color w:val="000000"/>
          <w:sz w:val="30"/>
          <w:szCs w:val="32"/>
          <w:u w:val="single"/>
        </w:rPr>
        <w:t xml:space="preserve">于开工前将施工所需的水、电、电讯线路接至施工场地      </w:t>
      </w:r>
      <w:r>
        <w:rPr>
          <w:rFonts w:eastAsia="仿宋_GB2312"/>
          <w:color w:val="000000"/>
          <w:sz w:val="30"/>
          <w:szCs w:val="32"/>
          <w:u w:val="single"/>
        </w:rPr>
        <w:t xml:space="preserve">   </w:t>
      </w:r>
      <w:r>
        <w:rPr>
          <w:rFonts w:eastAsia="仿宋_GB2312"/>
          <w:color w:val="000000"/>
          <w:sz w:val="30"/>
          <w:szCs w:val="32"/>
        </w:rPr>
        <w:t>。</w:t>
      </w:r>
    </w:p>
    <w:p w14:paraId="224699C1">
      <w:pPr>
        <w:spacing w:after="120" w:line="360" w:lineRule="auto"/>
        <w:ind w:firstLine="600" w:firstLineChars="200"/>
        <w:outlineLvl w:val="0"/>
        <w:rPr>
          <w:rFonts w:eastAsia="黑体"/>
          <w:color w:val="000000"/>
          <w:sz w:val="30"/>
          <w:szCs w:val="32"/>
        </w:rPr>
      </w:pPr>
      <w:r>
        <w:rPr>
          <w:rFonts w:eastAsia="黑体"/>
          <w:color w:val="000000"/>
          <w:sz w:val="30"/>
          <w:szCs w:val="32"/>
        </w:rPr>
        <w:t>2.5 资金来源证明及支付担保</w:t>
      </w:r>
    </w:p>
    <w:p w14:paraId="12A002C7">
      <w:pPr>
        <w:spacing w:line="360" w:lineRule="auto"/>
        <w:ind w:firstLine="600" w:firstLineChars="200"/>
        <w:rPr>
          <w:rFonts w:eastAsia="仿宋_GB2312"/>
          <w:color w:val="000000"/>
          <w:sz w:val="30"/>
          <w:szCs w:val="32"/>
        </w:rPr>
      </w:pPr>
      <w:r>
        <w:rPr>
          <w:rFonts w:eastAsia="仿宋_GB2312"/>
          <w:color w:val="000000"/>
          <w:sz w:val="30"/>
          <w:szCs w:val="32"/>
        </w:rPr>
        <w:t>发包人提供资金来源证明的期限要求：</w:t>
      </w:r>
      <w:r>
        <w:rPr>
          <w:rFonts w:hint="eastAsia" w:eastAsia="仿宋_GB2312"/>
          <w:color w:val="000000"/>
          <w:sz w:val="30"/>
          <w:szCs w:val="32"/>
          <w:u w:val="single"/>
        </w:rPr>
        <w:t xml:space="preserve">不提供 </w:t>
      </w:r>
      <w:r>
        <w:rPr>
          <w:rFonts w:eastAsia="仿宋_GB2312"/>
          <w:color w:val="000000"/>
          <w:sz w:val="30"/>
          <w:szCs w:val="32"/>
          <w:u w:val="single"/>
        </w:rPr>
        <w:t xml:space="preserve">  </w:t>
      </w:r>
      <w:r>
        <w:rPr>
          <w:rFonts w:eastAsia="仿宋_GB2312"/>
          <w:color w:val="000000"/>
          <w:sz w:val="30"/>
          <w:szCs w:val="32"/>
        </w:rPr>
        <w:t>。</w:t>
      </w:r>
    </w:p>
    <w:p w14:paraId="6B55FFAE">
      <w:pPr>
        <w:spacing w:line="360" w:lineRule="auto"/>
        <w:ind w:firstLine="600" w:firstLineChars="200"/>
        <w:rPr>
          <w:rFonts w:eastAsia="仿宋_GB2312"/>
          <w:color w:val="000000"/>
          <w:sz w:val="30"/>
          <w:szCs w:val="32"/>
        </w:rPr>
      </w:pPr>
      <w:r>
        <w:rPr>
          <w:rFonts w:eastAsia="仿宋_GB2312"/>
          <w:color w:val="000000"/>
          <w:sz w:val="30"/>
          <w:szCs w:val="32"/>
        </w:rPr>
        <w:t>发包人是否提供支付担保：</w:t>
      </w:r>
      <w:r>
        <w:rPr>
          <w:rFonts w:hint="eastAsia" w:eastAsia="仿宋_GB2312"/>
          <w:color w:val="000000"/>
          <w:sz w:val="30"/>
          <w:szCs w:val="32"/>
          <w:u w:val="single"/>
        </w:rPr>
        <w:t>不提供</w:t>
      </w:r>
      <w:r>
        <w:rPr>
          <w:rFonts w:eastAsia="仿宋_GB2312"/>
          <w:color w:val="000000"/>
          <w:sz w:val="30"/>
          <w:szCs w:val="32"/>
          <w:u w:val="single"/>
        </w:rPr>
        <w:t xml:space="preserve">   </w:t>
      </w:r>
      <w:r>
        <w:rPr>
          <w:rFonts w:eastAsia="仿宋_GB2312"/>
          <w:color w:val="000000"/>
          <w:sz w:val="30"/>
          <w:szCs w:val="32"/>
        </w:rPr>
        <w:t>。</w:t>
      </w:r>
    </w:p>
    <w:p w14:paraId="03FE8DD3">
      <w:pPr>
        <w:pStyle w:val="5"/>
        <w:spacing w:before="120" w:after="120" w:line="360" w:lineRule="auto"/>
        <w:rPr>
          <w:rFonts w:ascii="Times New Roman" w:hAnsi="Times New Roman" w:eastAsia="黑体"/>
          <w:b w:val="0"/>
          <w:color w:val="000000"/>
          <w:sz w:val="32"/>
          <w:szCs w:val="32"/>
        </w:rPr>
      </w:pPr>
      <w:bookmarkStart w:id="129" w:name="_Toc351203635"/>
      <w:r>
        <w:rPr>
          <w:rFonts w:ascii="Times New Roman" w:hAnsi="Times New Roman" w:eastAsia="黑体"/>
          <w:b w:val="0"/>
          <w:color w:val="000000"/>
          <w:sz w:val="32"/>
          <w:szCs w:val="32"/>
        </w:rPr>
        <w:t>3</w:t>
      </w:r>
      <w:bookmarkStart w:id="130" w:name="_Toc292559868"/>
      <w:bookmarkStart w:id="131" w:name="_Toc296890986"/>
      <w:bookmarkStart w:id="132" w:name="_Toc297048344"/>
      <w:bookmarkStart w:id="133" w:name="_Toc296891198"/>
      <w:bookmarkStart w:id="134" w:name="_Toc296944497"/>
      <w:bookmarkStart w:id="135" w:name="_Toc296503158"/>
      <w:bookmarkStart w:id="136" w:name="_Toc292559363"/>
      <w:bookmarkStart w:id="137" w:name="_Toc296347157"/>
      <w:bookmarkStart w:id="138" w:name="_Toc297120458"/>
      <w:bookmarkStart w:id="139" w:name="_Toc296346659"/>
      <w:r>
        <w:rPr>
          <w:rFonts w:ascii="Times New Roman" w:hAnsi="Times New Roman" w:eastAsia="黑体"/>
          <w:b w:val="0"/>
          <w:color w:val="000000"/>
          <w:sz w:val="32"/>
          <w:szCs w:val="32"/>
        </w:rPr>
        <w:t>. 承包人</w:t>
      </w:r>
      <w:bookmarkEnd w:id="129"/>
    </w:p>
    <w:bookmarkEnd w:id="130"/>
    <w:bookmarkEnd w:id="131"/>
    <w:bookmarkEnd w:id="132"/>
    <w:bookmarkEnd w:id="133"/>
    <w:bookmarkEnd w:id="134"/>
    <w:bookmarkEnd w:id="135"/>
    <w:bookmarkEnd w:id="136"/>
    <w:bookmarkEnd w:id="137"/>
    <w:bookmarkEnd w:id="138"/>
    <w:bookmarkEnd w:id="139"/>
    <w:p w14:paraId="22BEBC29">
      <w:pPr>
        <w:spacing w:after="120" w:line="360" w:lineRule="auto"/>
        <w:ind w:firstLine="600" w:firstLineChars="200"/>
        <w:rPr>
          <w:rFonts w:eastAsia="黑体"/>
          <w:color w:val="000000"/>
          <w:sz w:val="30"/>
          <w:szCs w:val="32"/>
        </w:rPr>
      </w:pPr>
      <w:r>
        <w:rPr>
          <w:rFonts w:eastAsia="黑体"/>
          <w:color w:val="000000"/>
          <w:sz w:val="30"/>
          <w:szCs w:val="32"/>
        </w:rPr>
        <w:t>3.1 承包人的一般义务</w:t>
      </w:r>
    </w:p>
    <w:p w14:paraId="419D1EF9">
      <w:pPr>
        <w:spacing w:line="360" w:lineRule="auto"/>
        <w:ind w:firstLine="600" w:firstLineChars="200"/>
        <w:jc w:val="left"/>
        <w:rPr>
          <w:rFonts w:eastAsia="仿宋_GB2312"/>
          <w:color w:val="000000"/>
          <w:sz w:val="30"/>
          <w:szCs w:val="32"/>
        </w:rPr>
      </w:pPr>
      <w:r>
        <w:rPr>
          <w:rFonts w:eastAsia="仿宋_GB2312"/>
          <w:color w:val="000000"/>
          <w:kern w:val="0"/>
          <w:sz w:val="30"/>
          <w:szCs w:val="32"/>
        </w:rPr>
        <w:t>（</w:t>
      </w:r>
      <w:r>
        <w:rPr>
          <w:rFonts w:hint="eastAsia" w:eastAsia="仿宋_GB2312"/>
          <w:color w:val="000000"/>
          <w:kern w:val="0"/>
          <w:sz w:val="30"/>
          <w:szCs w:val="32"/>
        </w:rPr>
        <w:t>9</w:t>
      </w:r>
      <w:r>
        <w:rPr>
          <w:rFonts w:eastAsia="仿宋_GB2312"/>
          <w:color w:val="000000"/>
          <w:kern w:val="0"/>
          <w:sz w:val="30"/>
          <w:szCs w:val="32"/>
        </w:rPr>
        <w:t>）</w:t>
      </w:r>
      <w:r>
        <w:rPr>
          <w:rFonts w:eastAsia="仿宋_GB2312"/>
          <w:color w:val="000000"/>
          <w:sz w:val="30"/>
          <w:szCs w:val="32"/>
        </w:rPr>
        <w:t>承包人提交的竣工资料的内容：</w:t>
      </w:r>
      <w:r>
        <w:rPr>
          <w:rFonts w:hint="eastAsia" w:eastAsia="仿宋_GB2312"/>
          <w:color w:val="000000"/>
          <w:sz w:val="30"/>
          <w:szCs w:val="32"/>
          <w:u w:val="single"/>
        </w:rPr>
        <w:t>经验收合格的完整的竣工图和工程竣工技术档案资料并满足建设工程档案验收所需的所有资料的要求（包括但不限于开工报告、技术交底、施工试验记录、测量记录、隐蔽工程验收记录、材料设备进场报验、施工验收记录、质量检查记录、工程联系单、设计变更单、竣工报告、影像资料等）</w:t>
      </w:r>
      <w:r>
        <w:rPr>
          <w:rFonts w:eastAsia="仿宋_GB2312"/>
          <w:color w:val="000000"/>
          <w:sz w:val="30"/>
          <w:szCs w:val="32"/>
          <w:u w:val="single"/>
        </w:rPr>
        <w:t xml:space="preserve">    </w:t>
      </w:r>
      <w:r>
        <w:rPr>
          <w:rFonts w:eastAsia="仿宋_GB2312"/>
          <w:color w:val="000000"/>
          <w:sz w:val="30"/>
          <w:szCs w:val="32"/>
        </w:rPr>
        <w:t>。</w:t>
      </w:r>
    </w:p>
    <w:p w14:paraId="74A6761A">
      <w:pPr>
        <w:spacing w:line="360" w:lineRule="auto"/>
        <w:ind w:firstLine="600" w:firstLineChars="200"/>
        <w:jc w:val="left"/>
        <w:rPr>
          <w:rFonts w:eastAsia="仿宋_GB2312"/>
          <w:color w:val="000000"/>
          <w:sz w:val="30"/>
          <w:szCs w:val="32"/>
        </w:rPr>
      </w:pPr>
      <w:r>
        <w:rPr>
          <w:rFonts w:eastAsia="仿宋_GB2312"/>
          <w:color w:val="000000"/>
          <w:sz w:val="30"/>
          <w:szCs w:val="32"/>
        </w:rPr>
        <w:t>承包人需要提交的竣工资料套数：</w:t>
      </w:r>
      <w:r>
        <w:rPr>
          <w:rFonts w:eastAsia="仿宋_GB2312"/>
          <w:color w:val="000000"/>
          <w:sz w:val="30"/>
          <w:szCs w:val="32"/>
          <w:u w:val="single"/>
        </w:rPr>
        <w:t xml:space="preserve">   </w:t>
      </w:r>
      <w:r>
        <w:rPr>
          <w:rFonts w:hint="eastAsia" w:eastAsia="仿宋_GB2312"/>
          <w:color w:val="000000"/>
          <w:sz w:val="30"/>
          <w:szCs w:val="32"/>
          <w:u w:val="single"/>
        </w:rPr>
        <w:t xml:space="preserve">叁套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0114091A">
      <w:pPr>
        <w:spacing w:line="360" w:lineRule="auto"/>
        <w:ind w:left="638" w:leftChars="304"/>
        <w:jc w:val="left"/>
        <w:rPr>
          <w:rFonts w:eastAsia="仿宋_GB2312"/>
          <w:color w:val="000000"/>
          <w:sz w:val="30"/>
          <w:szCs w:val="32"/>
        </w:rPr>
      </w:pPr>
      <w:r>
        <w:rPr>
          <w:rFonts w:eastAsia="仿宋_GB2312"/>
          <w:color w:val="000000"/>
          <w:sz w:val="30"/>
          <w:szCs w:val="32"/>
        </w:rPr>
        <w:t>承包人提交的竣工资料的费用承担：</w:t>
      </w:r>
      <w:r>
        <w:rPr>
          <w:rFonts w:eastAsia="仿宋_GB2312"/>
          <w:color w:val="000000"/>
          <w:sz w:val="30"/>
          <w:szCs w:val="32"/>
          <w:u w:val="single"/>
        </w:rPr>
        <w:t xml:space="preserve">   </w:t>
      </w:r>
      <w:r>
        <w:rPr>
          <w:rFonts w:hint="eastAsia" w:eastAsia="仿宋_GB2312"/>
          <w:color w:val="000000"/>
          <w:sz w:val="30"/>
          <w:szCs w:val="32"/>
          <w:u w:val="single"/>
        </w:rPr>
        <w:t>由承包人承担</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7BA71119">
      <w:pPr>
        <w:spacing w:line="360" w:lineRule="auto"/>
        <w:ind w:left="638" w:leftChars="304"/>
        <w:jc w:val="left"/>
        <w:rPr>
          <w:rFonts w:eastAsia="仿宋_GB2312"/>
          <w:color w:val="000000"/>
          <w:sz w:val="30"/>
          <w:szCs w:val="32"/>
        </w:rPr>
      </w:pPr>
      <w:r>
        <w:rPr>
          <w:rFonts w:eastAsia="仿宋_GB2312"/>
          <w:color w:val="000000"/>
          <w:sz w:val="30"/>
          <w:szCs w:val="32"/>
        </w:rPr>
        <w:t>承包人提交的竣工资料移交时间：</w:t>
      </w:r>
      <w:r>
        <w:rPr>
          <w:rFonts w:eastAsia="仿宋_GB2312"/>
          <w:color w:val="000000"/>
          <w:sz w:val="30"/>
          <w:szCs w:val="32"/>
          <w:u w:val="single"/>
        </w:rPr>
        <w:t xml:space="preserve">  </w:t>
      </w:r>
      <w:r>
        <w:rPr>
          <w:rFonts w:hint="eastAsia" w:eastAsia="仿宋_GB2312"/>
          <w:color w:val="000000"/>
          <w:sz w:val="30"/>
          <w:szCs w:val="32"/>
          <w:u w:val="single"/>
        </w:rPr>
        <w:t xml:space="preserve">工程竣工验收合格后1个月内移交给发包人  </w:t>
      </w:r>
      <w:r>
        <w:rPr>
          <w:rFonts w:eastAsia="仿宋_GB2312"/>
          <w:color w:val="000000"/>
          <w:sz w:val="30"/>
          <w:szCs w:val="32"/>
          <w:u w:val="single"/>
        </w:rPr>
        <w:t xml:space="preserve"> </w:t>
      </w:r>
      <w:r>
        <w:rPr>
          <w:rFonts w:eastAsia="仿宋_GB2312"/>
          <w:color w:val="000000"/>
          <w:sz w:val="30"/>
          <w:szCs w:val="32"/>
        </w:rPr>
        <w:t>。</w:t>
      </w:r>
    </w:p>
    <w:p w14:paraId="64B3322A">
      <w:pPr>
        <w:spacing w:line="360" w:lineRule="auto"/>
        <w:ind w:firstLine="600" w:firstLineChars="200"/>
        <w:rPr>
          <w:rFonts w:eastAsia="仿宋_GB2312"/>
          <w:color w:val="000000"/>
          <w:sz w:val="30"/>
          <w:szCs w:val="32"/>
        </w:rPr>
      </w:pPr>
      <w:r>
        <w:rPr>
          <w:rFonts w:eastAsia="仿宋_GB2312"/>
          <w:color w:val="000000"/>
          <w:kern w:val="0"/>
          <w:sz w:val="30"/>
          <w:szCs w:val="32"/>
        </w:rPr>
        <w:t>（</w:t>
      </w:r>
      <w:r>
        <w:rPr>
          <w:rFonts w:hint="eastAsia" w:eastAsia="仿宋_GB2312"/>
          <w:color w:val="000000"/>
          <w:kern w:val="0"/>
          <w:sz w:val="30"/>
          <w:szCs w:val="32"/>
        </w:rPr>
        <w:t>10</w:t>
      </w:r>
      <w:r>
        <w:rPr>
          <w:rFonts w:eastAsia="仿宋_GB2312"/>
          <w:color w:val="000000"/>
          <w:kern w:val="0"/>
          <w:sz w:val="30"/>
          <w:szCs w:val="32"/>
        </w:rPr>
        <w:t>）承包人应履行的其他义务</w:t>
      </w:r>
      <w:r>
        <w:rPr>
          <w:rFonts w:hint="eastAsia" w:eastAsia="仿宋_GB2312"/>
          <w:color w:val="000000"/>
          <w:kern w:val="0"/>
          <w:sz w:val="30"/>
          <w:szCs w:val="32"/>
        </w:rPr>
        <w:t>包含但不限于</w:t>
      </w:r>
      <w:r>
        <w:rPr>
          <w:rFonts w:eastAsia="仿宋_GB2312"/>
          <w:color w:val="000000"/>
          <w:sz w:val="30"/>
          <w:szCs w:val="32"/>
        </w:rPr>
        <w:t>：</w:t>
      </w:r>
    </w:p>
    <w:p w14:paraId="7857A55A">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 xml:space="preserve">1、承包人只能在发包人提供的施工场地范围内布置、安排和组织施工。承包人如需占用发包人提供的场地范围以外的场地，须自行办理有关手续及支付相关费用。便道措施费由承包人自行承担  </w:t>
      </w:r>
    </w:p>
    <w:p w14:paraId="34C90A32">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2、承包人的报价已充分考虑地下管线、交通条件、水电条件、施工场地障碍条件和现场各种不利条件发生可能带来的风险及增加费用，发包人不再对因以上原因引起费用增加支付任何费用；</w:t>
      </w:r>
    </w:p>
    <w:p w14:paraId="21FCB70A">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3、承包人应采取安全防护措施，避免施工活动对周边的建筑物和构筑物造成损害。施工期间，负责对施工范围内及附近的居民、商业用房、厂房等建筑物和构筑物应采取措施进行保护和受损后的修复；应保证施工现场及周边居民生活、工厂生产作业等出入交通不受影响。发生的费用由承包人承担。同时，由此导致的工期延误及相关责任由承包人承担；</w:t>
      </w:r>
    </w:p>
    <w:p w14:paraId="4E1C08FD">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4、在工程竣工验收前，承包人应对已完工的工程进行保护，其费用由承包人承担；</w:t>
      </w:r>
    </w:p>
    <w:p w14:paraId="4F020C16">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5、承包人应清楚地预计到施工期间对外界可能产生的不可避免的干扰，并为此保证主动努力减少这些干扰对外界的影响，且应当积极主动和外界进行协调，因此产生的费用和对发包人造成的损失由承包人承担；</w:t>
      </w:r>
    </w:p>
    <w:p w14:paraId="47DFB70F">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6、承包人应负责现场全部作业的安全，在工程施工、完工及修补缺陷的整个工程期限内，全面负责所有留在现场的人员的安全，保护其管辖范围的现场(包括尚未完工和发包人尚未接管得工程)处于有条不紊和良好的状态。</w:t>
      </w:r>
    </w:p>
    <w:p w14:paraId="1FFBFC95">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7、承包人在工程施工过程中，必须严格按照发包人审定的施工组织设计组织施工，严禁野蛮施工。承包人应承担的责任包括但不限于：因承包人施工造成的塌方、四周地面塌陷、房屋开裂、垮塌等质量、安全事故均由承包人承担责任，负责赔偿，并承担由此给发包人和第三方造成的全部损失，发包人概不负责；</w:t>
      </w:r>
    </w:p>
    <w:p w14:paraId="4466DEA5">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8、半成品、成品材料的进场和堆放应按进度计划进行，并须事先取得发包人的同意；</w:t>
      </w:r>
    </w:p>
    <w:p w14:paraId="0C66A3BC">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9、承包人应负责协调施工期间外界的各种干扰，协调不果，方可书面要求发包人出面协调；</w:t>
      </w:r>
    </w:p>
    <w:p w14:paraId="6E0DBD27">
      <w:pPr>
        <w:spacing w:line="360" w:lineRule="auto"/>
        <w:ind w:firstLine="600" w:firstLineChars="200"/>
        <w:rPr>
          <w:rFonts w:eastAsia="仿宋_GB2312"/>
          <w:color w:val="000000"/>
          <w:sz w:val="30"/>
          <w:szCs w:val="32"/>
        </w:rPr>
      </w:pPr>
      <w:r>
        <w:rPr>
          <w:rFonts w:hint="eastAsia" w:eastAsia="仿宋_GB2312"/>
          <w:color w:val="000000"/>
          <w:sz w:val="30"/>
          <w:szCs w:val="32"/>
          <w:u w:val="single"/>
        </w:rPr>
        <w:t>10、承包人在进场施工前，须将投标文件中的相关项目管理人员的从业资质证书交发包人保管至工程竣工。项目管理人员未经发包人书面同意不得擅自更换；</w:t>
      </w:r>
    </w:p>
    <w:p w14:paraId="04FB2F16">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11、</w:t>
      </w:r>
      <w:r>
        <w:rPr>
          <w:rFonts w:hint="eastAsia" w:eastAsia="仿宋_GB2312"/>
          <w:color w:val="000000"/>
          <w:sz w:val="30"/>
          <w:szCs w:val="32"/>
          <w:u w:val="single"/>
        </w:rPr>
        <w:t>在测绘仪器使用上为发包人、监理人员提供方便。</w:t>
      </w:r>
    </w:p>
    <w:p w14:paraId="3FAEFD16">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12、</w:t>
      </w:r>
      <w:r>
        <w:rPr>
          <w:rFonts w:hint="eastAsia" w:eastAsia="仿宋_GB2312"/>
          <w:color w:val="000000"/>
          <w:sz w:val="30"/>
          <w:szCs w:val="32"/>
          <w:u w:val="single"/>
        </w:rPr>
        <w:t>承包人不得以任何理由和借口拖工窝工停工、拖欠农民工工资、发生农民工聚众闹事。如有上述情况发生，发包人有权立即终止合同，承包人履约保证金将不予退还，对此给发包人造成的损失由承包人全额赔偿。</w:t>
      </w:r>
    </w:p>
    <w:p w14:paraId="71562AE3">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13、</w:t>
      </w:r>
      <w:r>
        <w:rPr>
          <w:rFonts w:hint="eastAsia" w:eastAsia="仿宋_GB2312"/>
          <w:color w:val="000000"/>
          <w:sz w:val="30"/>
          <w:szCs w:val="32"/>
          <w:u w:val="single"/>
        </w:rPr>
        <w:t>承包人应在合同签订后7日内将办理施工许可证所需施工单位提交的全套完善资料移交发包人，逾期移交则向发包人支付违约金三万元/日历天。</w:t>
      </w:r>
    </w:p>
    <w:p w14:paraId="6752BAF1">
      <w:pPr>
        <w:pStyle w:val="8"/>
        <w:ind w:left="63" w:right="63" w:firstLine="600" w:firstLineChars="200"/>
      </w:pPr>
      <w:r>
        <w:rPr>
          <w:rFonts w:eastAsia="仿宋_GB2312"/>
          <w:color w:val="000000"/>
          <w:sz w:val="30"/>
          <w:szCs w:val="32"/>
          <w:u w:val="single"/>
        </w:rPr>
        <w:t>14、</w:t>
      </w:r>
      <w:r>
        <w:rPr>
          <w:rFonts w:hint="eastAsia" w:eastAsia="仿宋_GB2312"/>
          <w:color w:val="000000"/>
          <w:sz w:val="30"/>
          <w:szCs w:val="32"/>
          <w:u w:val="single"/>
        </w:rPr>
        <w:t>承包人按月考核农民工完成工作量编制“农民工工资支付表”，经由农民工本人签字确认后在建筑工地醒目位置予以公示，公示期不得少于5日；银行代发工资结束后，承包人应在建筑工地醒目位置张贴农民工工资已发放公告，公告期不得少于5日。</w:t>
      </w:r>
    </w:p>
    <w:p w14:paraId="378BCE3A">
      <w:pPr>
        <w:spacing w:after="120" w:line="360" w:lineRule="auto"/>
        <w:ind w:firstLine="600" w:firstLineChars="200"/>
        <w:rPr>
          <w:rFonts w:eastAsia="黑体"/>
          <w:color w:val="000000"/>
          <w:sz w:val="30"/>
          <w:szCs w:val="32"/>
        </w:rPr>
      </w:pPr>
      <w:r>
        <w:rPr>
          <w:rFonts w:eastAsia="黑体"/>
          <w:color w:val="000000"/>
          <w:sz w:val="30"/>
          <w:szCs w:val="32"/>
        </w:rPr>
        <w:t>3.2 项目经理</w:t>
      </w:r>
    </w:p>
    <w:p w14:paraId="7CC68531">
      <w:pPr>
        <w:spacing w:line="360" w:lineRule="auto"/>
        <w:ind w:firstLine="600" w:firstLineChars="200"/>
        <w:rPr>
          <w:rFonts w:eastAsia="仿宋_GB2312"/>
          <w:color w:val="000000"/>
          <w:sz w:val="30"/>
          <w:szCs w:val="32"/>
        </w:rPr>
      </w:pPr>
      <w:r>
        <w:rPr>
          <w:rFonts w:eastAsia="仿宋_GB2312"/>
          <w:color w:val="000000"/>
          <w:kern w:val="0"/>
          <w:sz w:val="30"/>
          <w:szCs w:val="32"/>
        </w:rPr>
        <w:t xml:space="preserve">3.2.1 </w:t>
      </w:r>
      <w:r>
        <w:rPr>
          <w:rFonts w:eastAsia="仿宋_GB2312"/>
          <w:color w:val="000000"/>
          <w:sz w:val="30"/>
          <w:szCs w:val="32"/>
        </w:rPr>
        <w:t>项目经理：</w:t>
      </w:r>
    </w:p>
    <w:p w14:paraId="0DAC717F">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0"/>
          <w:highlight w:val="yellow"/>
          <w:u w:val="single"/>
        </w:rPr>
        <w:t xml:space="preserve">                                   </w:t>
      </w:r>
      <w:r>
        <w:rPr>
          <w:rFonts w:eastAsia="仿宋_GB2312"/>
          <w:color w:val="000000"/>
          <w:sz w:val="30"/>
          <w:szCs w:val="32"/>
        </w:rPr>
        <w:t>；</w:t>
      </w:r>
    </w:p>
    <w:p w14:paraId="4A80ECBD">
      <w:pPr>
        <w:spacing w:line="360" w:lineRule="auto"/>
        <w:ind w:firstLine="600" w:firstLineChars="200"/>
        <w:rPr>
          <w:rFonts w:eastAsia="仿宋_GB2312"/>
          <w:color w:val="000000"/>
          <w:sz w:val="30"/>
          <w:szCs w:val="32"/>
        </w:rPr>
      </w:pPr>
      <w:r>
        <w:rPr>
          <w:rFonts w:eastAsia="仿宋_GB2312"/>
          <w:color w:val="000000"/>
          <w:sz w:val="30"/>
          <w:szCs w:val="32"/>
        </w:rPr>
        <w:t>身份证号：</w:t>
      </w:r>
      <w:r>
        <w:rPr>
          <w:rFonts w:eastAsia="仿宋_GB2312"/>
          <w:color w:val="000000"/>
          <w:sz w:val="30"/>
          <w:szCs w:val="30"/>
          <w:highlight w:val="yellow"/>
          <w:u w:val="single"/>
        </w:rPr>
        <w:t xml:space="preserve">                                   </w:t>
      </w:r>
      <w:r>
        <w:rPr>
          <w:rFonts w:eastAsia="仿宋_GB2312"/>
          <w:color w:val="000000"/>
          <w:sz w:val="30"/>
          <w:szCs w:val="32"/>
        </w:rPr>
        <w:t>；</w:t>
      </w:r>
    </w:p>
    <w:p w14:paraId="39108B4D">
      <w:pPr>
        <w:spacing w:line="360" w:lineRule="auto"/>
        <w:ind w:firstLine="600" w:firstLineChars="200"/>
        <w:rPr>
          <w:rFonts w:eastAsia="仿宋_GB2312"/>
          <w:color w:val="000000"/>
          <w:sz w:val="30"/>
          <w:szCs w:val="32"/>
        </w:rPr>
      </w:pPr>
      <w:r>
        <w:rPr>
          <w:rFonts w:eastAsia="仿宋_GB2312"/>
          <w:color w:val="000000"/>
          <w:sz w:val="30"/>
          <w:szCs w:val="32"/>
        </w:rPr>
        <w:t>建造师执业资格等级：</w:t>
      </w:r>
      <w:r>
        <w:rPr>
          <w:rFonts w:eastAsia="仿宋_GB2312"/>
          <w:color w:val="000000"/>
          <w:sz w:val="30"/>
          <w:szCs w:val="30"/>
          <w:highlight w:val="yellow"/>
          <w:u w:val="single"/>
        </w:rPr>
        <w:t xml:space="preserve">                         </w:t>
      </w:r>
      <w:r>
        <w:rPr>
          <w:rFonts w:eastAsia="仿宋_GB2312"/>
          <w:color w:val="000000"/>
          <w:sz w:val="30"/>
          <w:szCs w:val="32"/>
        </w:rPr>
        <w:t>；</w:t>
      </w:r>
    </w:p>
    <w:p w14:paraId="532E6ECB">
      <w:pPr>
        <w:spacing w:line="360" w:lineRule="auto"/>
        <w:ind w:firstLine="600" w:firstLineChars="200"/>
        <w:rPr>
          <w:rFonts w:eastAsia="仿宋_GB2312"/>
          <w:color w:val="000000"/>
          <w:sz w:val="30"/>
          <w:szCs w:val="32"/>
        </w:rPr>
      </w:pPr>
      <w:r>
        <w:rPr>
          <w:rFonts w:eastAsia="仿宋_GB2312"/>
          <w:color w:val="000000"/>
          <w:sz w:val="30"/>
          <w:szCs w:val="32"/>
        </w:rPr>
        <w:t>建造师注册证书号：</w:t>
      </w:r>
      <w:r>
        <w:rPr>
          <w:rFonts w:eastAsia="仿宋_GB2312"/>
          <w:color w:val="000000"/>
          <w:sz w:val="30"/>
          <w:szCs w:val="30"/>
          <w:highlight w:val="yellow"/>
          <w:u w:val="single"/>
        </w:rPr>
        <w:t xml:space="preserve">                                   </w:t>
      </w:r>
      <w:r>
        <w:rPr>
          <w:rFonts w:eastAsia="仿宋_GB2312"/>
          <w:color w:val="000000"/>
          <w:sz w:val="30"/>
          <w:szCs w:val="32"/>
        </w:rPr>
        <w:t>；</w:t>
      </w:r>
    </w:p>
    <w:p w14:paraId="39542F59">
      <w:pPr>
        <w:spacing w:line="360" w:lineRule="auto"/>
        <w:ind w:firstLine="600" w:firstLineChars="200"/>
        <w:rPr>
          <w:rFonts w:eastAsia="仿宋_GB2312"/>
          <w:color w:val="000000"/>
          <w:sz w:val="30"/>
          <w:szCs w:val="32"/>
        </w:rPr>
      </w:pPr>
      <w:r>
        <w:rPr>
          <w:rFonts w:eastAsia="仿宋_GB2312"/>
          <w:color w:val="000000"/>
          <w:sz w:val="30"/>
          <w:szCs w:val="32"/>
        </w:rPr>
        <w:t>建造师执业印章号：</w:t>
      </w:r>
      <w:r>
        <w:rPr>
          <w:rFonts w:eastAsia="仿宋_GB2312"/>
          <w:color w:val="000000"/>
          <w:sz w:val="30"/>
          <w:szCs w:val="30"/>
          <w:highlight w:val="yellow"/>
          <w:u w:val="single"/>
        </w:rPr>
        <w:t xml:space="preserve">                                   </w:t>
      </w:r>
      <w:r>
        <w:rPr>
          <w:rFonts w:eastAsia="仿宋_GB2312"/>
          <w:color w:val="000000"/>
          <w:sz w:val="30"/>
          <w:szCs w:val="32"/>
        </w:rPr>
        <w:t>；</w:t>
      </w:r>
    </w:p>
    <w:p w14:paraId="06DF0996">
      <w:pPr>
        <w:spacing w:line="360" w:lineRule="auto"/>
        <w:ind w:firstLine="600" w:firstLineChars="200"/>
        <w:rPr>
          <w:rFonts w:eastAsia="仿宋_GB2312"/>
          <w:color w:val="000000"/>
          <w:sz w:val="30"/>
          <w:szCs w:val="32"/>
        </w:rPr>
      </w:pPr>
      <w:r>
        <w:rPr>
          <w:rFonts w:eastAsia="仿宋_GB2312"/>
          <w:color w:val="000000"/>
          <w:sz w:val="30"/>
          <w:szCs w:val="32"/>
        </w:rPr>
        <w:t>安全生产考核合格证书号：</w:t>
      </w:r>
      <w:r>
        <w:rPr>
          <w:rFonts w:eastAsia="仿宋_GB2312"/>
          <w:color w:val="000000"/>
          <w:sz w:val="30"/>
          <w:szCs w:val="30"/>
          <w:highlight w:val="yellow"/>
          <w:u w:val="single"/>
        </w:rPr>
        <w:t xml:space="preserve">                             </w:t>
      </w:r>
      <w:r>
        <w:rPr>
          <w:rFonts w:eastAsia="仿宋_GB2312"/>
          <w:color w:val="000000"/>
          <w:sz w:val="30"/>
          <w:szCs w:val="32"/>
        </w:rPr>
        <w:t>；</w:t>
      </w:r>
    </w:p>
    <w:p w14:paraId="78585040">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0"/>
          <w:highlight w:val="yellow"/>
          <w:u w:val="single"/>
        </w:rPr>
        <w:t xml:space="preserve">                                   </w:t>
      </w:r>
      <w:r>
        <w:rPr>
          <w:rFonts w:eastAsia="仿宋_GB2312"/>
          <w:color w:val="000000"/>
          <w:sz w:val="30"/>
          <w:szCs w:val="32"/>
        </w:rPr>
        <w:t>；</w:t>
      </w:r>
    </w:p>
    <w:p w14:paraId="35C41077">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0"/>
          <w:highlight w:val="yellow"/>
          <w:u w:val="single"/>
        </w:rPr>
        <w:t xml:space="preserve">                                   </w:t>
      </w:r>
      <w:r>
        <w:rPr>
          <w:rFonts w:eastAsia="仿宋_GB2312"/>
          <w:color w:val="000000"/>
          <w:sz w:val="30"/>
          <w:szCs w:val="32"/>
        </w:rPr>
        <w:t>；</w:t>
      </w:r>
    </w:p>
    <w:p w14:paraId="75910AEF">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0"/>
          <w:highlight w:val="yellow"/>
          <w:u w:val="single"/>
        </w:rPr>
        <w:t xml:space="preserve">                                   </w:t>
      </w:r>
      <w:r>
        <w:rPr>
          <w:rFonts w:eastAsia="仿宋_GB2312"/>
          <w:color w:val="000000"/>
          <w:sz w:val="30"/>
          <w:szCs w:val="32"/>
        </w:rPr>
        <w:t>；</w:t>
      </w:r>
    </w:p>
    <w:p w14:paraId="0E3D25DF">
      <w:pPr>
        <w:spacing w:line="360" w:lineRule="auto"/>
        <w:ind w:firstLine="600" w:firstLineChars="200"/>
        <w:rPr>
          <w:rFonts w:eastAsia="仿宋_GB2312"/>
          <w:color w:val="000000"/>
          <w:sz w:val="30"/>
          <w:szCs w:val="32"/>
        </w:rPr>
      </w:pPr>
      <w:r>
        <w:rPr>
          <w:rFonts w:eastAsia="仿宋_GB2312"/>
          <w:color w:val="000000"/>
          <w:sz w:val="30"/>
          <w:szCs w:val="32"/>
        </w:rPr>
        <w:t>承包人对项目经理的授权范围如下：</w:t>
      </w:r>
      <w:r>
        <w:rPr>
          <w:rFonts w:hint="eastAsia" w:eastAsia="仿宋_GB2312"/>
          <w:color w:val="000000"/>
          <w:sz w:val="30"/>
          <w:szCs w:val="32"/>
          <w:u w:val="single"/>
        </w:rPr>
        <w:t xml:space="preserve">授权项目经理处理与项目有关的业务，全权代表承包人行使合同约定的权利，履行合同约定的职责。项目经理签署的任何文件均视为承包人确认并生效的文件。承包人的相关请求、通知、计划、报表等和其它需报送发包人的资料，均以书面形式由项目经理签字并加盖承包人公章或项目章（承包人项目经理、项目章须经承包人授权并送发包人备案）后递交发包人    </w:t>
      </w:r>
      <w:r>
        <w:rPr>
          <w:rFonts w:eastAsia="仿宋_GB2312"/>
          <w:color w:val="000000"/>
          <w:sz w:val="30"/>
          <w:szCs w:val="32"/>
        </w:rPr>
        <w:t>。</w:t>
      </w:r>
    </w:p>
    <w:p w14:paraId="592F098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关于项目经理每</w:t>
      </w:r>
      <w:r>
        <w:rPr>
          <w:rFonts w:hint="eastAsia" w:eastAsia="仿宋_GB2312"/>
          <w:color w:val="000000"/>
          <w:kern w:val="0"/>
          <w:sz w:val="30"/>
          <w:szCs w:val="32"/>
        </w:rPr>
        <w:t>周</w:t>
      </w:r>
      <w:r>
        <w:rPr>
          <w:rFonts w:eastAsia="仿宋_GB2312"/>
          <w:color w:val="000000"/>
          <w:kern w:val="0"/>
          <w:sz w:val="30"/>
          <w:szCs w:val="32"/>
        </w:rPr>
        <w:t>在施工现场的时间要求：</w:t>
      </w:r>
      <w:r>
        <w:rPr>
          <w:rFonts w:hint="eastAsia" w:eastAsia="仿宋_GB2312"/>
          <w:color w:val="000000"/>
          <w:sz w:val="30"/>
          <w:szCs w:val="32"/>
          <w:u w:val="single"/>
        </w:rPr>
        <w:t xml:space="preserve">不得少于6天    </w:t>
      </w:r>
      <w:r>
        <w:rPr>
          <w:rFonts w:eastAsia="仿宋_GB2312"/>
          <w:color w:val="000000"/>
          <w:sz w:val="30"/>
          <w:szCs w:val="32"/>
        </w:rPr>
        <w:t>。</w:t>
      </w:r>
    </w:p>
    <w:p w14:paraId="2E2C2B33">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承包人未提交劳动合同，以及没有为项目经理缴纳社会保险证明的违约责任：</w:t>
      </w:r>
      <w:r>
        <w:rPr>
          <w:rFonts w:hint="eastAsia" w:eastAsia="仿宋_GB2312"/>
          <w:color w:val="000000"/>
          <w:sz w:val="30"/>
          <w:szCs w:val="32"/>
          <w:u w:val="single"/>
        </w:rPr>
        <w:t xml:space="preserve">先处以每人次五万元的违约金，并限期予以纠正；逾期不纠正，发包人有权单方解除合同，不承担违约责任。承包人应于发包人解除合同之日起5日内向发包人支付违约金二十万元。逾期支付，承包人应额外向发包人支付未付金额0.5‰/天的逾期违约金直至完全支付时     </w:t>
      </w:r>
      <w:r>
        <w:rPr>
          <w:rFonts w:eastAsia="仿宋_GB2312"/>
          <w:color w:val="000000"/>
          <w:sz w:val="30"/>
          <w:szCs w:val="32"/>
        </w:rPr>
        <w:t>。</w:t>
      </w:r>
    </w:p>
    <w:p w14:paraId="7AC1D308">
      <w:pPr>
        <w:spacing w:line="360" w:lineRule="auto"/>
        <w:outlineLvl w:val="0"/>
        <w:rPr>
          <w:rFonts w:eastAsia="仿宋_GB2312"/>
          <w:color w:val="000000"/>
          <w:sz w:val="30"/>
          <w:szCs w:val="32"/>
        </w:rPr>
      </w:pPr>
      <w:r>
        <w:rPr>
          <w:rFonts w:eastAsia="仿宋_GB2312"/>
          <w:color w:val="000000"/>
          <w:sz w:val="30"/>
          <w:szCs w:val="32"/>
        </w:rPr>
        <w:t xml:space="preserve">    3.2.4 承包人无正当理由拒绝更换项目经理的违约责任：</w:t>
      </w:r>
      <w:r>
        <w:rPr>
          <w:rFonts w:hint="eastAsia" w:eastAsia="仿宋_GB2312"/>
          <w:color w:val="000000"/>
          <w:sz w:val="30"/>
          <w:szCs w:val="32"/>
          <w:u w:val="single"/>
        </w:rPr>
        <w:t xml:space="preserve">先处以每人次五万元的违约金，并限期予以纠正；逾期不纠正，发包人有权单方解除合同，不承担违约责任。承包人应于发包人解除合同之日起5日内向发包人支付违约金二十万元。逾期支付，承包人应额外向发包人支付未付金额0.5‰/天的逾期违约金直至完全支付时  </w:t>
      </w:r>
      <w:r>
        <w:rPr>
          <w:rFonts w:eastAsia="仿宋_GB2312"/>
          <w:color w:val="000000"/>
          <w:sz w:val="30"/>
          <w:szCs w:val="32"/>
        </w:rPr>
        <w:t>。</w:t>
      </w:r>
    </w:p>
    <w:p w14:paraId="744F083D">
      <w:pPr>
        <w:spacing w:after="120" w:line="360" w:lineRule="auto"/>
        <w:ind w:firstLine="600" w:firstLineChars="200"/>
        <w:rPr>
          <w:rFonts w:eastAsia="黑体"/>
          <w:color w:val="000000"/>
          <w:sz w:val="30"/>
          <w:szCs w:val="32"/>
        </w:rPr>
      </w:pPr>
      <w:r>
        <w:rPr>
          <w:rFonts w:eastAsia="黑体"/>
          <w:color w:val="000000"/>
          <w:sz w:val="30"/>
          <w:szCs w:val="32"/>
        </w:rPr>
        <w:t>3.3 承包人人员</w:t>
      </w:r>
    </w:p>
    <w:p w14:paraId="58AFFC1C">
      <w:pPr>
        <w:spacing w:line="360" w:lineRule="auto"/>
        <w:ind w:firstLine="600" w:firstLineChars="200"/>
        <w:rPr>
          <w:rFonts w:eastAsia="仿宋_GB2312"/>
          <w:color w:val="000000"/>
          <w:sz w:val="30"/>
          <w:szCs w:val="32"/>
        </w:rPr>
      </w:pPr>
      <w:r>
        <w:rPr>
          <w:rFonts w:eastAsia="仿宋_GB2312"/>
          <w:color w:val="000000"/>
          <w:sz w:val="30"/>
          <w:szCs w:val="32"/>
        </w:rPr>
        <w:t>3.3.1 承包人提交项目管理机构及施工现场管理人员安排报告的期限：</w:t>
      </w:r>
      <w:r>
        <w:rPr>
          <w:rFonts w:eastAsia="仿宋_GB2312"/>
          <w:color w:val="000000"/>
          <w:sz w:val="30"/>
          <w:szCs w:val="32"/>
          <w:u w:val="single"/>
        </w:rPr>
        <w:t xml:space="preserve">   </w:t>
      </w:r>
      <w:r>
        <w:rPr>
          <w:rFonts w:hint="eastAsia" w:eastAsia="仿宋_GB2312"/>
          <w:color w:val="000000"/>
          <w:sz w:val="30"/>
          <w:szCs w:val="32"/>
          <w:u w:val="single"/>
        </w:rPr>
        <w:t>合同签订后3日内</w:t>
      </w:r>
      <w:r>
        <w:rPr>
          <w:rFonts w:eastAsia="仿宋_GB2312"/>
          <w:color w:val="000000"/>
          <w:sz w:val="30"/>
          <w:szCs w:val="32"/>
          <w:u w:val="single"/>
        </w:rPr>
        <w:t xml:space="preserve">   </w:t>
      </w:r>
      <w:r>
        <w:rPr>
          <w:rFonts w:eastAsia="仿宋_GB2312"/>
          <w:color w:val="000000"/>
          <w:sz w:val="30"/>
          <w:szCs w:val="32"/>
        </w:rPr>
        <w:t>。</w:t>
      </w:r>
    </w:p>
    <w:p w14:paraId="453F063A">
      <w:pPr>
        <w:spacing w:line="360" w:lineRule="auto"/>
        <w:ind w:firstLine="600" w:firstLineChars="200"/>
        <w:rPr>
          <w:rFonts w:eastAsia="仿宋_GB2312"/>
          <w:color w:val="000000"/>
          <w:sz w:val="30"/>
          <w:szCs w:val="32"/>
        </w:rPr>
      </w:pPr>
      <w:r>
        <w:rPr>
          <w:rFonts w:eastAsia="仿宋_GB2312"/>
          <w:color w:val="000000"/>
          <w:sz w:val="30"/>
          <w:szCs w:val="32"/>
        </w:rPr>
        <w:t>3.3.3 承包人无正当理由拒绝撤换主要施工管理人员的违约责任：</w:t>
      </w:r>
      <w:r>
        <w:rPr>
          <w:rFonts w:hint="eastAsia" w:eastAsia="仿宋_GB2312"/>
          <w:color w:val="000000"/>
          <w:sz w:val="30"/>
          <w:szCs w:val="32"/>
          <w:u w:val="single"/>
        </w:rPr>
        <w:t xml:space="preserve">先处以每人次一万元的违约金，并限期予以纠正；逾期不纠正，发包人有权单方解除合同，不承担违约责任。承包人应于发包人解除合同之日起5日内向发包人支付违约金五万元。逾期支付，承包人应额外向发包人支付未付金额0.5‰/天的逾期违约金直至完全支付时  </w:t>
      </w:r>
      <w:r>
        <w:rPr>
          <w:rFonts w:eastAsia="仿宋_GB2312"/>
          <w:color w:val="000000"/>
          <w:sz w:val="30"/>
          <w:szCs w:val="32"/>
        </w:rPr>
        <w:t>。</w:t>
      </w:r>
    </w:p>
    <w:p w14:paraId="5F44020D">
      <w:pPr>
        <w:spacing w:line="360" w:lineRule="auto"/>
        <w:ind w:firstLine="600" w:firstLineChars="200"/>
        <w:rPr>
          <w:rFonts w:eastAsia="仿宋_GB2312"/>
          <w:color w:val="000000"/>
          <w:sz w:val="30"/>
          <w:szCs w:val="32"/>
        </w:rPr>
      </w:pPr>
      <w:r>
        <w:rPr>
          <w:rFonts w:eastAsia="仿宋_GB2312"/>
          <w:color w:val="000000"/>
          <w:sz w:val="30"/>
          <w:szCs w:val="32"/>
        </w:rPr>
        <w:t>3.3.4 承包人主要施工管理人员离开施工现场的批准要求：</w:t>
      </w:r>
      <w:r>
        <w:rPr>
          <w:rFonts w:hint="eastAsia" w:eastAsia="仿宋_GB2312"/>
          <w:color w:val="000000"/>
          <w:sz w:val="30"/>
          <w:szCs w:val="32"/>
          <w:u w:val="single"/>
        </w:rPr>
        <w:t xml:space="preserve">需发包人现场代表书面批准后  </w:t>
      </w:r>
      <w:r>
        <w:rPr>
          <w:rFonts w:eastAsia="仿宋_GB2312"/>
          <w:color w:val="000000"/>
          <w:sz w:val="30"/>
          <w:szCs w:val="32"/>
          <w:u w:val="single"/>
        </w:rPr>
        <w:t xml:space="preserve">   </w:t>
      </w:r>
      <w:r>
        <w:rPr>
          <w:rFonts w:eastAsia="仿宋_GB2312"/>
          <w:color w:val="000000"/>
          <w:sz w:val="30"/>
          <w:szCs w:val="32"/>
        </w:rPr>
        <w:t>。</w:t>
      </w:r>
    </w:p>
    <w:p w14:paraId="5E7A84C3">
      <w:pPr>
        <w:spacing w:after="120" w:line="360" w:lineRule="auto"/>
        <w:ind w:firstLine="600" w:firstLineChars="200"/>
        <w:rPr>
          <w:rFonts w:eastAsia="黑体"/>
          <w:color w:val="000000"/>
          <w:sz w:val="30"/>
          <w:szCs w:val="32"/>
        </w:rPr>
      </w:pPr>
      <w:r>
        <w:rPr>
          <w:rFonts w:eastAsia="黑体"/>
          <w:color w:val="000000"/>
          <w:sz w:val="30"/>
          <w:szCs w:val="32"/>
        </w:rPr>
        <w:t>3</w:t>
      </w:r>
      <w:bookmarkStart w:id="140" w:name="_Toc304295523"/>
      <w:bookmarkStart w:id="141" w:name="_Toc297048345"/>
      <w:bookmarkStart w:id="142" w:name="_Toc297120459"/>
      <w:bookmarkStart w:id="143" w:name="_Toc296891199"/>
      <w:bookmarkStart w:id="144" w:name="_Toc297216151"/>
      <w:bookmarkStart w:id="145" w:name="_Toc297123492"/>
      <w:bookmarkStart w:id="146" w:name="_Toc292559869"/>
      <w:bookmarkStart w:id="147" w:name="_Toc296503159"/>
      <w:bookmarkStart w:id="148" w:name="_Toc312677988"/>
      <w:bookmarkStart w:id="149" w:name="_Toc303539102"/>
      <w:bookmarkStart w:id="150" w:name="_Toc296347158"/>
      <w:bookmarkStart w:id="151" w:name="_Toc296890987"/>
      <w:bookmarkStart w:id="152" w:name="_Toc292559364"/>
      <w:bookmarkStart w:id="153" w:name="_Toc296944498"/>
      <w:bookmarkStart w:id="154" w:name="_Toc296346660"/>
      <w:bookmarkStart w:id="155" w:name="_Toc300934945"/>
      <w:r>
        <w:rPr>
          <w:rFonts w:eastAsia="黑体"/>
          <w:color w:val="000000"/>
          <w:sz w:val="30"/>
          <w:szCs w:val="32"/>
        </w:rPr>
        <w:t>.5 分包</w:t>
      </w:r>
    </w:p>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14:paraId="52C36F90">
      <w:pPr>
        <w:spacing w:line="360" w:lineRule="auto"/>
        <w:ind w:firstLine="600" w:firstLineChars="200"/>
        <w:rPr>
          <w:rFonts w:eastAsia="仿宋_GB2312"/>
          <w:sz w:val="30"/>
          <w:szCs w:val="32"/>
        </w:rPr>
      </w:pPr>
      <w:r>
        <w:rPr>
          <w:rFonts w:eastAsia="仿宋_GB2312"/>
          <w:sz w:val="30"/>
          <w:szCs w:val="32"/>
        </w:rPr>
        <w:t>3</w:t>
      </w:r>
      <w:bookmarkStart w:id="156" w:name="_Toc304295524"/>
      <w:bookmarkStart w:id="157" w:name="_Toc296890988"/>
      <w:bookmarkStart w:id="158" w:name="_Toc296891200"/>
      <w:bookmarkStart w:id="159" w:name="_Toc297216152"/>
      <w:bookmarkStart w:id="160" w:name="_Toc300934946"/>
      <w:bookmarkStart w:id="161" w:name="_Toc297048346"/>
      <w:bookmarkStart w:id="162" w:name="_Toc296503160"/>
      <w:bookmarkStart w:id="163" w:name="_Toc296347159"/>
      <w:bookmarkStart w:id="164" w:name="_Toc303539103"/>
      <w:bookmarkStart w:id="165" w:name="_Toc318581158"/>
      <w:bookmarkStart w:id="166" w:name="_Toc292559365"/>
      <w:bookmarkStart w:id="167" w:name="_Toc297120460"/>
      <w:bookmarkStart w:id="168" w:name="_Toc296346661"/>
      <w:bookmarkStart w:id="169" w:name="_Toc292559870"/>
      <w:bookmarkStart w:id="170" w:name="_Toc296944499"/>
      <w:bookmarkStart w:id="171" w:name="_Toc297123493"/>
      <w:bookmarkStart w:id="172" w:name="_Toc312677989"/>
      <w:r>
        <w:rPr>
          <w:rFonts w:eastAsia="仿宋_GB2312"/>
          <w:sz w:val="30"/>
          <w:szCs w:val="32"/>
        </w:rPr>
        <w:t>.5.1 分包的一般约定</w:t>
      </w:r>
    </w:p>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14:paraId="6274D57A">
      <w:pPr>
        <w:spacing w:line="360" w:lineRule="auto"/>
        <w:ind w:firstLine="600" w:firstLineChars="200"/>
        <w:rPr>
          <w:rFonts w:eastAsia="仿宋_GB2312"/>
          <w:sz w:val="30"/>
          <w:szCs w:val="32"/>
        </w:rPr>
      </w:pPr>
      <w:bookmarkStart w:id="173" w:name="_Toc312677990"/>
      <w:bookmarkStart w:id="174" w:name="_Toc318581159"/>
      <w:r>
        <w:rPr>
          <w:rFonts w:hint="eastAsia" w:eastAsia="仿宋_GB2312"/>
          <w:color w:val="000000"/>
          <w:sz w:val="30"/>
          <w:szCs w:val="32"/>
          <w:u w:val="single"/>
        </w:rPr>
        <w:t>关于分包的约定：未经发包人书面同意，不允许分包</w:t>
      </w:r>
      <w:r>
        <w:rPr>
          <w:rFonts w:eastAsia="仿宋_GB2312"/>
          <w:color w:val="000000"/>
          <w:sz w:val="30"/>
          <w:szCs w:val="32"/>
          <w:u w:val="single"/>
        </w:rPr>
        <w:t xml:space="preserve">   </w:t>
      </w:r>
      <w:r>
        <w:rPr>
          <w:rFonts w:eastAsia="仿宋_GB2312"/>
          <w:color w:val="000000"/>
          <w:sz w:val="30"/>
          <w:szCs w:val="32"/>
        </w:rPr>
        <w:t>。</w:t>
      </w:r>
    </w:p>
    <w:bookmarkEnd w:id="173"/>
    <w:bookmarkEnd w:id="174"/>
    <w:p w14:paraId="0180C47F">
      <w:pPr>
        <w:spacing w:after="120" w:line="360" w:lineRule="auto"/>
        <w:ind w:firstLine="600" w:firstLineChars="200"/>
        <w:rPr>
          <w:rFonts w:eastAsia="黑体"/>
          <w:color w:val="000000"/>
          <w:sz w:val="30"/>
          <w:szCs w:val="32"/>
        </w:rPr>
      </w:pPr>
      <w:r>
        <w:rPr>
          <w:rFonts w:eastAsia="黑体"/>
          <w:color w:val="000000"/>
          <w:sz w:val="30"/>
          <w:szCs w:val="32"/>
        </w:rPr>
        <w:t>3.6 工程照管与成品、半成品保护</w:t>
      </w:r>
    </w:p>
    <w:p w14:paraId="4823842D">
      <w:pPr>
        <w:spacing w:before="120" w:after="120" w:line="360" w:lineRule="auto"/>
        <w:ind w:firstLine="600" w:firstLineChars="200"/>
        <w:rPr>
          <w:rFonts w:eastAsia="仿宋_GB2312"/>
          <w:color w:val="000000"/>
          <w:kern w:val="0"/>
          <w:sz w:val="30"/>
          <w:szCs w:val="32"/>
          <w:u w:val="single"/>
        </w:rPr>
      </w:pPr>
      <w:r>
        <w:rPr>
          <w:rFonts w:eastAsia="仿宋_GB2312"/>
          <w:color w:val="000000"/>
          <w:kern w:val="0"/>
          <w:sz w:val="30"/>
          <w:szCs w:val="32"/>
        </w:rPr>
        <w:t>承包人负责照管工程及工程相关的材料、工程设备的起始时间：</w:t>
      </w:r>
      <w:r>
        <w:rPr>
          <w:rFonts w:eastAsia="仿宋_GB2312"/>
          <w:color w:val="000000"/>
          <w:kern w:val="0"/>
          <w:sz w:val="30"/>
          <w:szCs w:val="32"/>
          <w:u w:val="single"/>
        </w:rPr>
        <w:t xml:space="preserve">  </w:t>
      </w:r>
      <w:r>
        <w:rPr>
          <w:rFonts w:hint="eastAsia" w:eastAsia="仿宋_GB2312"/>
          <w:sz w:val="30"/>
          <w:szCs w:val="32"/>
          <w:u w:val="single"/>
        </w:rPr>
        <w:t>按通用合同条款执行</w:t>
      </w:r>
      <w:r>
        <w:rPr>
          <w:rFonts w:eastAsia="仿宋_GB2312"/>
          <w:color w:val="000000"/>
          <w:kern w:val="0"/>
          <w:sz w:val="30"/>
          <w:szCs w:val="32"/>
          <w:u w:val="single"/>
        </w:rPr>
        <w:t xml:space="preserve">       </w:t>
      </w:r>
      <w:r>
        <w:rPr>
          <w:rFonts w:eastAsia="仿宋_GB2312"/>
          <w:color w:val="000000"/>
          <w:kern w:val="0"/>
          <w:sz w:val="30"/>
          <w:szCs w:val="32"/>
        </w:rPr>
        <w:t>。</w:t>
      </w:r>
    </w:p>
    <w:p w14:paraId="6AF55320">
      <w:pPr>
        <w:spacing w:after="120" w:line="360" w:lineRule="auto"/>
        <w:ind w:firstLine="600" w:firstLineChars="200"/>
        <w:rPr>
          <w:rFonts w:eastAsia="黑体"/>
          <w:color w:val="000000"/>
          <w:sz w:val="30"/>
          <w:szCs w:val="32"/>
        </w:rPr>
      </w:pPr>
      <w:r>
        <w:rPr>
          <w:rFonts w:eastAsia="黑体"/>
          <w:color w:val="000000"/>
          <w:sz w:val="30"/>
          <w:szCs w:val="32"/>
        </w:rPr>
        <w:t>3.7 履约担保</w:t>
      </w:r>
    </w:p>
    <w:p w14:paraId="77317E71">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承包人是否提供履约担保：</w:t>
      </w:r>
      <w:r>
        <w:rPr>
          <w:rFonts w:eastAsia="仿宋_GB2312"/>
          <w:color w:val="000000"/>
          <w:sz w:val="30"/>
          <w:szCs w:val="30"/>
          <w:highlight w:val="yellow"/>
          <w:u w:val="single"/>
        </w:rPr>
        <w:t xml:space="preserve">                      </w:t>
      </w:r>
      <w:r>
        <w:rPr>
          <w:rFonts w:eastAsia="仿宋_GB2312"/>
          <w:color w:val="000000"/>
          <w:sz w:val="30"/>
          <w:szCs w:val="32"/>
        </w:rPr>
        <w:t>。</w:t>
      </w:r>
    </w:p>
    <w:p w14:paraId="4B52BA78">
      <w:pPr>
        <w:adjustRightInd w:val="0"/>
        <w:snapToGrid w:val="0"/>
        <w:spacing w:line="360" w:lineRule="auto"/>
        <w:ind w:firstLine="600" w:firstLineChars="200"/>
        <w:rPr>
          <w:rFonts w:eastAsia="仿宋_GB2312"/>
          <w:color w:val="000000"/>
          <w:sz w:val="30"/>
          <w:szCs w:val="32"/>
        </w:rPr>
      </w:pPr>
      <w:r>
        <w:rPr>
          <w:rFonts w:eastAsia="仿宋_GB2312"/>
          <w:color w:val="000000"/>
          <w:sz w:val="30"/>
          <w:szCs w:val="32"/>
        </w:rPr>
        <w:t>承包人提供履约担保的形式</w:t>
      </w:r>
      <w:r>
        <w:rPr>
          <w:rFonts w:hint="eastAsia" w:eastAsia="仿宋_GB2312"/>
          <w:color w:val="000000"/>
          <w:sz w:val="30"/>
          <w:szCs w:val="32"/>
        </w:rPr>
        <w:t>、金额及期限的</w:t>
      </w:r>
      <w:r>
        <w:rPr>
          <w:rFonts w:eastAsia="仿宋_GB2312"/>
          <w:color w:val="000000"/>
          <w:sz w:val="30"/>
          <w:szCs w:val="32"/>
        </w:rPr>
        <w:t>：</w:t>
      </w:r>
    </w:p>
    <w:p w14:paraId="1D5422B2">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担保形式：</w:t>
      </w:r>
      <w:r>
        <w:rPr>
          <w:rFonts w:eastAsia="仿宋_GB2312"/>
          <w:color w:val="000000"/>
          <w:sz w:val="30"/>
          <w:szCs w:val="30"/>
          <w:highlight w:val="yellow"/>
          <w:u w:val="single"/>
        </w:rPr>
        <w:t xml:space="preserve">                                   </w:t>
      </w:r>
      <w:r>
        <w:rPr>
          <w:rFonts w:hint="eastAsia" w:eastAsia="仿宋_GB2312"/>
          <w:color w:val="000000"/>
          <w:sz w:val="30"/>
          <w:szCs w:val="32"/>
        </w:rPr>
        <w:t>；</w:t>
      </w:r>
    </w:p>
    <w:p w14:paraId="33554807">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担保金额</w:t>
      </w:r>
      <w:r>
        <w:rPr>
          <w:rFonts w:hint="eastAsia" w:ascii="宋体" w:hAnsi="宋体"/>
          <w:snapToGrid w:val="0"/>
          <w:color w:val="000000"/>
          <w:szCs w:val="21"/>
        </w:rPr>
        <w:t>：</w:t>
      </w:r>
      <w:r>
        <w:rPr>
          <w:rFonts w:eastAsia="仿宋_GB2312"/>
          <w:color w:val="000000"/>
          <w:sz w:val="30"/>
          <w:szCs w:val="30"/>
          <w:highlight w:val="yellow"/>
          <w:u w:val="single"/>
        </w:rPr>
        <w:t xml:space="preserve">                                   </w:t>
      </w:r>
      <w:r>
        <w:rPr>
          <w:rFonts w:hint="eastAsia" w:eastAsia="仿宋_GB2312"/>
          <w:color w:val="000000"/>
          <w:sz w:val="30"/>
          <w:szCs w:val="32"/>
        </w:rPr>
        <w:t>；</w:t>
      </w:r>
    </w:p>
    <w:p w14:paraId="0C4521DA">
      <w:pPr>
        <w:adjustRightInd w:val="0"/>
        <w:snapToGrid w:val="0"/>
        <w:spacing w:line="360" w:lineRule="auto"/>
        <w:ind w:firstLine="600" w:firstLineChars="200"/>
        <w:rPr>
          <w:rFonts w:eastAsia="仿宋_GB2312"/>
          <w:color w:val="000000"/>
          <w:sz w:val="30"/>
          <w:szCs w:val="32"/>
        </w:rPr>
      </w:pPr>
      <w:r>
        <w:rPr>
          <w:rFonts w:hint="eastAsia" w:eastAsia="仿宋_GB2312"/>
          <w:color w:val="000000"/>
          <w:sz w:val="30"/>
          <w:szCs w:val="32"/>
        </w:rPr>
        <w:t>履约担保期限</w:t>
      </w:r>
      <w:r>
        <w:rPr>
          <w:rFonts w:hint="eastAsia" w:ascii="宋体" w:hAnsi="宋体"/>
          <w:snapToGrid w:val="0"/>
          <w:color w:val="000000"/>
          <w:szCs w:val="21"/>
        </w:rPr>
        <w:t>：</w:t>
      </w:r>
      <w:r>
        <w:rPr>
          <w:rFonts w:hint="eastAsia" w:eastAsia="仿宋_GB2312"/>
          <w:color w:val="000000"/>
          <w:sz w:val="30"/>
          <w:szCs w:val="32"/>
          <w:u w:val="single"/>
        </w:rPr>
        <w:t>自提交履约担保至竣工验收合格之日止</w:t>
      </w:r>
      <w:r>
        <w:rPr>
          <w:rFonts w:hint="eastAsia" w:eastAsia="仿宋_GB2312"/>
          <w:color w:val="000000"/>
          <w:sz w:val="30"/>
          <w:szCs w:val="32"/>
        </w:rPr>
        <w:t>；</w:t>
      </w:r>
    </w:p>
    <w:p w14:paraId="5BDC8F5B">
      <w:pPr>
        <w:pStyle w:val="8"/>
        <w:ind w:left="63" w:right="63" w:firstLine="600" w:firstLineChars="200"/>
        <w:rPr>
          <w:rFonts w:eastAsia="仿宋_GB2312"/>
          <w:color w:val="000000"/>
          <w:sz w:val="30"/>
          <w:szCs w:val="32"/>
        </w:rPr>
      </w:pPr>
      <w:r>
        <w:rPr>
          <w:rFonts w:hint="eastAsia" w:eastAsia="仿宋_GB2312"/>
          <w:color w:val="000000"/>
          <w:sz w:val="30"/>
          <w:szCs w:val="32"/>
        </w:rPr>
        <w:t>履约担保提交时间：</w:t>
      </w:r>
      <w:r>
        <w:rPr>
          <w:rFonts w:eastAsia="仿宋_GB2312"/>
          <w:color w:val="000000"/>
          <w:sz w:val="30"/>
          <w:szCs w:val="30"/>
          <w:highlight w:val="yellow"/>
          <w:u w:val="single"/>
        </w:rPr>
        <w:t xml:space="preserve">                          </w:t>
      </w:r>
      <w:r>
        <w:rPr>
          <w:rFonts w:hint="eastAsia" w:eastAsia="仿宋_GB2312"/>
          <w:color w:val="000000"/>
          <w:sz w:val="30"/>
          <w:szCs w:val="32"/>
        </w:rPr>
        <w:t>逾期提交履约担保发包人有权单方解除合同，不承担违约责任。承包人应于发包人解除合同之日起5日内向发包人支付逾期提交履约担保违约金，违约金金额为：</w:t>
      </w:r>
      <w:r>
        <w:rPr>
          <w:rFonts w:hint="eastAsia" w:eastAsia="仿宋_GB2312"/>
          <w:color w:val="000000"/>
          <w:sz w:val="30"/>
          <w:szCs w:val="32"/>
          <w:u w:val="single"/>
        </w:rPr>
        <w:t>合同金额的2</w:t>
      </w:r>
      <w:r>
        <w:rPr>
          <w:rFonts w:eastAsia="仿宋_GB2312"/>
          <w:color w:val="000000"/>
          <w:sz w:val="30"/>
          <w:szCs w:val="32"/>
          <w:u w:val="single"/>
        </w:rPr>
        <w:t>%</w:t>
      </w:r>
      <w:r>
        <w:rPr>
          <w:rFonts w:hint="eastAsia" w:eastAsia="仿宋_GB2312"/>
          <w:color w:val="000000"/>
          <w:sz w:val="30"/>
          <w:szCs w:val="32"/>
        </w:rPr>
        <w:t>。逾期支付，承包人应额外向发包人支付未付违约金金额0.5‰/天的逾期违约金直至完全支付时。</w:t>
      </w:r>
    </w:p>
    <w:p w14:paraId="13C6F1D1">
      <w:pPr>
        <w:pStyle w:val="8"/>
        <w:ind w:left="63" w:right="63" w:firstLine="600" w:firstLineChars="200"/>
        <w:rPr>
          <w:rFonts w:eastAsia="仿宋_GB2312"/>
          <w:color w:val="000000"/>
          <w:sz w:val="30"/>
          <w:szCs w:val="32"/>
        </w:rPr>
      </w:pPr>
      <w:r>
        <w:rPr>
          <w:rFonts w:hint="eastAsia" w:eastAsia="仿宋_GB2312"/>
          <w:color w:val="000000"/>
          <w:sz w:val="30"/>
          <w:szCs w:val="32"/>
        </w:rPr>
        <w:t>履约担保退还时间</w:t>
      </w:r>
      <w:r>
        <w:rPr>
          <w:rFonts w:hint="eastAsia" w:ascii="宋体" w:hAnsi="宋体"/>
          <w:snapToGrid w:val="0"/>
          <w:color w:val="000000"/>
          <w:szCs w:val="21"/>
        </w:rPr>
        <w:t>：</w:t>
      </w:r>
      <w:r>
        <w:rPr>
          <w:rFonts w:hint="eastAsia" w:eastAsia="仿宋_GB2312"/>
          <w:color w:val="000000"/>
          <w:sz w:val="30"/>
          <w:szCs w:val="32"/>
          <w:u w:val="single"/>
        </w:rPr>
        <w:t xml:space="preserve">竣工验收合格15个工作日内，发包人向承包人无息退还   </w:t>
      </w:r>
      <w:r>
        <w:rPr>
          <w:rFonts w:hint="eastAsia" w:eastAsia="仿宋_GB2312"/>
          <w:color w:val="000000"/>
          <w:sz w:val="30"/>
          <w:szCs w:val="32"/>
        </w:rPr>
        <w:t>。</w:t>
      </w:r>
    </w:p>
    <w:p w14:paraId="1F68AE84">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同意发包人直接从承包人缴纳的履约保证金中扣除承包人违约金、承包人支付或承担的费用。发包人扣除后承包人应立即补足履约保证金至合同约定的担保金额。承包人逾期10天未补足，发包人有权单方解除合同，发包人不承担违约责任，且承包人应向发包人支付违约金十万元。</w:t>
      </w:r>
    </w:p>
    <w:p w14:paraId="65A81826">
      <w:pPr>
        <w:spacing w:line="360" w:lineRule="auto"/>
        <w:ind w:firstLine="600" w:firstLineChars="200"/>
        <w:jc w:val="left"/>
        <w:rPr>
          <w:rFonts w:eastAsia="仿宋_GB2312"/>
          <w:color w:val="000000"/>
          <w:sz w:val="30"/>
          <w:szCs w:val="32"/>
        </w:rPr>
      </w:pPr>
      <w:r>
        <w:rPr>
          <w:rFonts w:eastAsia="仿宋_GB2312"/>
          <w:color w:val="000000"/>
          <w:sz w:val="30"/>
          <w:szCs w:val="32"/>
        </w:rPr>
        <w:t>3.8</w:t>
      </w:r>
      <w:r>
        <w:rPr>
          <w:rFonts w:hint="eastAsia" w:eastAsia="仿宋_GB2312"/>
          <w:color w:val="000000"/>
          <w:sz w:val="30"/>
          <w:szCs w:val="32"/>
        </w:rPr>
        <w:t>农民工工资专用账户管理及银行代发制度</w:t>
      </w:r>
    </w:p>
    <w:p w14:paraId="29DE93C9">
      <w:pPr>
        <w:spacing w:line="360" w:lineRule="auto"/>
        <w:ind w:firstLine="600" w:firstLineChars="200"/>
        <w:jc w:val="left"/>
        <w:rPr>
          <w:rFonts w:eastAsia="仿宋_GB2312"/>
          <w:color w:val="000000"/>
          <w:sz w:val="30"/>
          <w:szCs w:val="32"/>
          <w:u w:val="single"/>
        </w:rPr>
      </w:pPr>
      <w:r>
        <w:rPr>
          <w:rFonts w:hint="eastAsia" w:eastAsia="仿宋_GB2312"/>
          <w:color w:val="000000"/>
          <w:sz w:val="30"/>
          <w:szCs w:val="32"/>
          <w:u w:val="single"/>
        </w:rPr>
        <w:t>承包人必须设立农民工工资专用账户并为农民工办理实名制工资支付银行卡，发包人将应付工程款中的人工费（工资款）每月拨付至工资专用账户，承包人委托农民工工资专用账户开户银行直接将农民工工资发放至农民工工资卡。</w:t>
      </w:r>
    </w:p>
    <w:p w14:paraId="44A16321">
      <w:pPr>
        <w:spacing w:line="360" w:lineRule="auto"/>
        <w:ind w:firstLine="600" w:firstLineChars="200"/>
        <w:jc w:val="left"/>
        <w:rPr>
          <w:rFonts w:eastAsia="仿宋_GB2312"/>
          <w:color w:val="000000"/>
          <w:sz w:val="30"/>
          <w:szCs w:val="32"/>
        </w:rPr>
      </w:pPr>
      <w:r>
        <w:rPr>
          <w:rFonts w:eastAsia="仿宋_GB2312"/>
          <w:color w:val="000000"/>
          <w:sz w:val="30"/>
          <w:szCs w:val="32"/>
        </w:rPr>
        <w:t>3.8.1</w:t>
      </w:r>
      <w:r>
        <w:rPr>
          <w:rFonts w:hint="eastAsia" w:eastAsia="仿宋_GB2312"/>
          <w:color w:val="000000"/>
          <w:sz w:val="30"/>
          <w:szCs w:val="32"/>
        </w:rPr>
        <w:t>设立工资专用账户</w:t>
      </w:r>
    </w:p>
    <w:p w14:paraId="7FF6B10F">
      <w:pPr>
        <w:spacing w:line="360" w:lineRule="auto"/>
        <w:ind w:firstLine="600" w:firstLineChars="200"/>
        <w:jc w:val="left"/>
        <w:rPr>
          <w:rFonts w:eastAsia="仿宋_GB2312"/>
          <w:color w:val="000000"/>
          <w:sz w:val="30"/>
          <w:szCs w:val="32"/>
        </w:rPr>
      </w:pPr>
      <w:r>
        <w:rPr>
          <w:rFonts w:hint="eastAsia" w:eastAsia="仿宋_GB2312"/>
          <w:color w:val="000000"/>
          <w:sz w:val="30"/>
          <w:szCs w:val="32"/>
        </w:rPr>
        <w:t>（1）承包人须设立农民工工资专用账户，工资专用账户由承包人自主选择银行，账户资金按项目管理，仅用于支付对应项目的农民工工资，不得挪作他用。工资专用账户的开设、使用和管理应按照人民银行相关规定执行。</w:t>
      </w:r>
    </w:p>
    <w:p w14:paraId="3955E1F6">
      <w:pPr>
        <w:spacing w:line="360" w:lineRule="auto"/>
        <w:ind w:firstLine="600" w:firstLineChars="200"/>
        <w:jc w:val="left"/>
        <w:rPr>
          <w:rFonts w:eastAsia="仿宋_GB2312"/>
          <w:color w:val="000000"/>
          <w:sz w:val="30"/>
          <w:szCs w:val="32"/>
        </w:rPr>
      </w:pPr>
      <w:r>
        <w:rPr>
          <w:rFonts w:hint="eastAsia" w:eastAsia="仿宋_GB2312"/>
          <w:color w:val="000000"/>
          <w:sz w:val="30"/>
          <w:szCs w:val="32"/>
        </w:rPr>
        <w:t>（2）承包人在本合同签订后五日内向发包人提供一个本工程的农民工工资专用账户（开户银行和账号），在本合同有效期的期间不得变动。</w:t>
      </w:r>
    </w:p>
    <w:p w14:paraId="7B6799F0">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（3）承包人在办理项目施工手续时，应将工资专用账户相关信息报送</w:t>
      </w:r>
      <w:r>
        <w:rPr>
          <w:rFonts w:eastAsia="仿宋_GB2312"/>
          <w:color w:val="000000"/>
          <w:sz w:val="30"/>
          <w:szCs w:val="30"/>
          <w:highlight w:val="yellow"/>
          <w:u w:val="single"/>
        </w:rPr>
        <w:t xml:space="preserve">                                   </w:t>
      </w:r>
      <w:r>
        <w:rPr>
          <w:rFonts w:eastAsia="仿宋_GB2312"/>
          <w:color w:val="000000"/>
          <w:sz w:val="30"/>
          <w:szCs w:val="32"/>
          <w:u w:val="single"/>
        </w:rPr>
        <w:t xml:space="preserve">    </w:t>
      </w:r>
      <w:r>
        <w:rPr>
          <w:rFonts w:hint="eastAsia" w:eastAsia="仿宋_GB2312"/>
          <w:color w:val="000000"/>
          <w:sz w:val="30"/>
          <w:szCs w:val="32"/>
        </w:rPr>
        <w:t>城乡建委，并填报“施工合同履约管理网络系统”。</w:t>
      </w:r>
    </w:p>
    <w:p w14:paraId="13ACE6A8">
      <w:pPr>
        <w:spacing w:line="360" w:lineRule="auto"/>
        <w:ind w:firstLine="600" w:firstLineChars="200"/>
        <w:jc w:val="left"/>
        <w:rPr>
          <w:rFonts w:eastAsia="仿宋_GB2312"/>
          <w:color w:val="000000"/>
          <w:sz w:val="30"/>
          <w:szCs w:val="32"/>
        </w:rPr>
      </w:pPr>
      <w:r>
        <w:rPr>
          <w:rFonts w:eastAsia="仿宋_GB2312"/>
          <w:color w:val="000000"/>
          <w:sz w:val="30"/>
          <w:szCs w:val="32"/>
        </w:rPr>
        <w:t>3.8.2</w:t>
      </w:r>
      <w:r>
        <w:rPr>
          <w:rFonts w:hint="eastAsia" w:eastAsia="仿宋_GB2312"/>
          <w:color w:val="000000"/>
          <w:sz w:val="30"/>
          <w:szCs w:val="32"/>
        </w:rPr>
        <w:t>办理农民工工资卡</w:t>
      </w:r>
    </w:p>
    <w:p w14:paraId="7D371C0A">
      <w:pPr>
        <w:spacing w:line="360" w:lineRule="auto"/>
        <w:ind w:firstLine="600" w:firstLineChars="200"/>
        <w:jc w:val="left"/>
        <w:rPr>
          <w:rFonts w:eastAsia="仿宋_GB2312"/>
          <w:color w:val="000000"/>
          <w:sz w:val="30"/>
          <w:szCs w:val="32"/>
        </w:rPr>
      </w:pPr>
      <w:r>
        <w:rPr>
          <w:rFonts w:hint="eastAsia" w:eastAsia="仿宋_GB2312"/>
          <w:color w:val="000000"/>
          <w:sz w:val="30"/>
          <w:szCs w:val="32"/>
        </w:rPr>
        <w:t>（1）工资卡实行一人一卡，一张平安卡对应一张工资卡。</w:t>
      </w:r>
    </w:p>
    <w:p w14:paraId="33796142">
      <w:pPr>
        <w:spacing w:line="360" w:lineRule="auto"/>
        <w:ind w:firstLine="600" w:firstLineChars="200"/>
        <w:jc w:val="left"/>
        <w:rPr>
          <w:rFonts w:eastAsia="仿宋_GB2312"/>
          <w:color w:val="000000"/>
          <w:sz w:val="30"/>
          <w:szCs w:val="32"/>
        </w:rPr>
      </w:pPr>
      <w:r>
        <w:rPr>
          <w:rFonts w:hint="eastAsia" w:eastAsia="仿宋_GB2312"/>
          <w:color w:val="000000"/>
          <w:sz w:val="30"/>
          <w:szCs w:val="32"/>
        </w:rPr>
        <w:t>（2）承包人负责为本工程所用农民工（含分包企业农民工，下同）免费办理工资卡，开通短信通知业务，交由农民工本人保管和使用；分包企业（包括承接承包人发包工程的专业企业、劳务企业）应及时将所用农民工花名册报承包人。在办理工资卡前，承包人应通过“施工合同履约管理网络系统”查询本工程所用农民工的工资卡信息，经确认无工资卡信息的农民工需要为其办理工资卡，已有工资卡信息的农民工则不再办理。</w:t>
      </w:r>
    </w:p>
    <w:p w14:paraId="3446669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（3）承包人应将本工程所用农民工的工资卡信息，及时填报“施工合同履约管理网络系统”，并负责工资卡的补办、变更等事宜。</w:t>
      </w:r>
    </w:p>
    <w:p w14:paraId="0E36081F">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3.8.3农民工工资支付</w:t>
      </w:r>
    </w:p>
    <w:p w14:paraId="6221E664">
      <w:pPr>
        <w:spacing w:line="360" w:lineRule="auto"/>
        <w:ind w:firstLine="600" w:firstLineChars="200"/>
        <w:jc w:val="left"/>
        <w:rPr>
          <w:rFonts w:eastAsia="仿宋_GB2312"/>
          <w:color w:val="000000"/>
          <w:sz w:val="30"/>
          <w:szCs w:val="32"/>
        </w:rPr>
      </w:pPr>
      <w:r>
        <w:rPr>
          <w:rFonts w:hint="eastAsia" w:eastAsia="仿宋_GB2312"/>
          <w:color w:val="000000"/>
          <w:sz w:val="30"/>
          <w:szCs w:val="32"/>
        </w:rPr>
        <w:t>（1）发包人按照合同约定及时确认承包人已完工产值，以不低于当月已完产值的 25%作为当月人工费（工资款），单独拨付至承包人的工资专用账户对应项目中（若农民工工资金额大于当月已完工产值的 25%时，按实际人工费数额拨付；若农民工工资金额小于当月已完工产值的 25%时，按当月已完工产值的 25%拨付）</w:t>
      </w:r>
    </w:p>
    <w:p w14:paraId="4987DB1F">
      <w:pPr>
        <w:spacing w:line="360" w:lineRule="auto"/>
        <w:ind w:firstLine="600" w:firstLineChars="200"/>
        <w:jc w:val="left"/>
        <w:rPr>
          <w:rFonts w:eastAsia="仿宋_GB2312"/>
          <w:color w:val="000000"/>
          <w:sz w:val="30"/>
          <w:szCs w:val="32"/>
        </w:rPr>
      </w:pPr>
      <w:r>
        <w:rPr>
          <w:rFonts w:hint="eastAsia" w:eastAsia="仿宋_GB2312"/>
          <w:color w:val="000000"/>
          <w:sz w:val="30"/>
          <w:szCs w:val="32"/>
        </w:rPr>
        <w:t>（2）承包人对农民工工资发放负总责，应将应付的当月人工费（工资款）汇入工资专用账户对应项目中。承包人应按照合同约定及时上报工程进度款、结算资料、完善请款相关手续并按月足额支付农民工工资，如因承包人原因造成农民工工资不能按时发放，发包人不承担未按期拨付人工费（工资款）而导致的工期延误、停工损失等责任。</w:t>
      </w:r>
    </w:p>
    <w:p w14:paraId="47A2530F">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（3）承包人收到当月工资款后应委托银行及时支付对农民工工资，如承包人未严格执行，城乡建设主管部门应责令其整改。对未按渝建发〔2017〕13 号文执行且发生拖欠的承包企业、分包企业及从业人员等责任主体，列入拖欠工资企业“黑名单”。对于承包企业在“黑名单”发布期内所有新开工项目加倍缴纳农民工工资保证金，并在诚信综合评价中予以扣分，从业人员在“平安卡管理系统”予以记录。</w:t>
      </w:r>
    </w:p>
    <w:p w14:paraId="38A6AA3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4）发包人应将承包人上月农民工工资银行支付凭证，作为拨付当月应付人工费或其他工资款的前置要件。承包人每月应按发包人提供《民工工资支付确认表》模板进行编制，作为本月资金申请表的附件。监理人和发包人现场代表结合发包人门禁系统所登记的承包人工人名单进行核对，未按合同要求提供以上相关资料或资料不齐全，无法证明不存在拖欠农民工工资的情况，则该月进度款不予支付。</w:t>
      </w:r>
    </w:p>
    <w:p w14:paraId="1C52526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3.8.4其余农民工工资专用账户管理及银行代发制度未尽事宜，按渝建发〔2017〕13 号执行。</w:t>
      </w:r>
    </w:p>
    <w:p w14:paraId="12E0CFC8">
      <w:pPr>
        <w:pStyle w:val="8"/>
        <w:ind w:left="63" w:right="63" w:firstLine="600" w:firstLineChars="200"/>
        <w:rPr>
          <w:rFonts w:eastAsia="仿宋_GB2312"/>
          <w:color w:val="000000"/>
          <w:sz w:val="30"/>
          <w:szCs w:val="32"/>
        </w:rPr>
      </w:pPr>
      <w:r>
        <w:rPr>
          <w:rFonts w:hint="eastAsia" w:eastAsia="仿宋_GB2312"/>
          <w:color w:val="000000"/>
          <w:sz w:val="30"/>
          <w:szCs w:val="32"/>
        </w:rPr>
        <w:t>3.9低价风险保证金</w:t>
      </w:r>
      <w:r>
        <w:rPr>
          <w:rFonts w:eastAsia="仿宋_GB2312"/>
          <w:color w:val="000000"/>
          <w:sz w:val="30"/>
          <w:szCs w:val="32"/>
        </w:rPr>
        <w:tab/>
      </w:r>
    </w:p>
    <w:p w14:paraId="1B3554EB">
      <w:pPr>
        <w:rPr>
          <w:rFonts w:eastAsia="仿宋_GB2312"/>
          <w:sz w:val="30"/>
          <w:szCs w:val="32"/>
        </w:rPr>
      </w:pPr>
      <w:r>
        <w:rPr>
          <w:rFonts w:hint="eastAsia"/>
        </w:rPr>
        <w:t xml:space="preserve"> </w:t>
      </w:r>
      <w:r>
        <w:t xml:space="preserve">     </w:t>
      </w:r>
      <w:r>
        <w:rPr>
          <w:rFonts w:hint="eastAsia" w:eastAsia="仿宋_GB2312"/>
          <w:sz w:val="30"/>
          <w:szCs w:val="32"/>
        </w:rPr>
        <w:t>本工程低价风险保证金为：</w:t>
      </w:r>
      <w:r>
        <w:rPr>
          <w:rFonts w:eastAsia="仿宋_GB2312"/>
          <w:sz w:val="30"/>
          <w:szCs w:val="32"/>
          <w:u w:val="single"/>
        </w:rPr>
        <w:t xml:space="preserve">    /       </w:t>
      </w:r>
      <w:r>
        <w:rPr>
          <w:rFonts w:hint="eastAsia" w:eastAsia="仿宋_GB2312"/>
          <w:sz w:val="30"/>
          <w:szCs w:val="32"/>
        </w:rPr>
        <w:t>元，担保形式为</w:t>
      </w:r>
      <w:r>
        <w:rPr>
          <w:rFonts w:eastAsia="仿宋_GB2312"/>
          <w:sz w:val="30"/>
          <w:szCs w:val="32"/>
          <w:u w:val="single"/>
        </w:rPr>
        <w:t xml:space="preserve">    /       </w:t>
      </w:r>
      <w:r>
        <w:rPr>
          <w:rFonts w:hint="eastAsia" w:eastAsia="仿宋_GB2312"/>
          <w:sz w:val="30"/>
          <w:szCs w:val="32"/>
        </w:rPr>
        <w:t>。竣工验收合格后15个工作日内无息退还。如在合同履行过程中因承包人或其分包施工单位违约导致合同解除，则发包人不再退还低价风险保证金，对发包人造成的损失如超过低价风险保证金部分由承包人赔偿。</w:t>
      </w:r>
    </w:p>
    <w:p w14:paraId="61523E2A">
      <w:pPr>
        <w:spacing w:line="360" w:lineRule="auto"/>
        <w:ind w:firstLine="600" w:firstLineChars="200"/>
        <w:jc w:val="left"/>
        <w:rPr>
          <w:rFonts w:eastAsia="仿宋_GB2312"/>
          <w:sz w:val="30"/>
          <w:szCs w:val="32"/>
        </w:rPr>
      </w:pPr>
      <w:r>
        <w:rPr>
          <w:rFonts w:eastAsia="仿宋_GB2312"/>
          <w:sz w:val="30"/>
          <w:szCs w:val="32"/>
        </w:rPr>
        <w:t>3.10</w:t>
      </w:r>
      <w:r>
        <w:rPr>
          <w:rFonts w:hint="eastAsia" w:eastAsia="仿宋_GB2312"/>
          <w:sz w:val="30"/>
          <w:szCs w:val="32"/>
        </w:rPr>
        <w:t>民工工资保证金</w:t>
      </w:r>
    </w:p>
    <w:p w14:paraId="4A532883">
      <w:pPr>
        <w:spacing w:line="360" w:lineRule="auto"/>
        <w:ind w:firstLine="600" w:firstLineChars="200"/>
        <w:jc w:val="left"/>
        <w:rPr>
          <w:rFonts w:eastAsia="仿宋_GB2312"/>
          <w:sz w:val="30"/>
          <w:szCs w:val="32"/>
        </w:rPr>
      </w:pPr>
      <w:r>
        <w:rPr>
          <w:rFonts w:hint="eastAsia" w:eastAsia="仿宋_GB2312"/>
          <w:sz w:val="30"/>
          <w:szCs w:val="32"/>
        </w:rPr>
        <w:t>按渝人社发〔2022〕5号通知执行</w:t>
      </w:r>
    </w:p>
    <w:p w14:paraId="3DE36EC2">
      <w:pPr>
        <w:spacing w:line="360" w:lineRule="auto"/>
        <w:ind w:firstLine="600" w:firstLineChars="200"/>
        <w:jc w:val="left"/>
        <w:rPr>
          <w:rFonts w:eastAsia="仿宋_GB2312"/>
          <w:sz w:val="30"/>
          <w:szCs w:val="32"/>
        </w:rPr>
      </w:pPr>
      <w:r>
        <w:rPr>
          <w:rFonts w:eastAsia="仿宋_GB2312"/>
          <w:sz w:val="30"/>
          <w:szCs w:val="32"/>
        </w:rPr>
        <w:t>3.11</w:t>
      </w:r>
      <w:r>
        <w:rPr>
          <w:rFonts w:hint="eastAsia" w:eastAsia="仿宋_GB2312"/>
          <w:sz w:val="30"/>
          <w:szCs w:val="32"/>
        </w:rPr>
        <w:t>安全</w:t>
      </w:r>
      <w:r>
        <w:rPr>
          <w:rFonts w:hint="eastAsia" w:eastAsia="仿宋_GB2312"/>
          <w:sz w:val="30"/>
          <w:szCs w:val="32"/>
          <w:highlight w:val="cyan"/>
        </w:rPr>
        <w:t>生产</w:t>
      </w:r>
      <w:r>
        <w:rPr>
          <w:rFonts w:hint="eastAsia" w:eastAsia="仿宋_GB2312"/>
          <w:sz w:val="30"/>
          <w:szCs w:val="32"/>
        </w:rPr>
        <w:t>履约保证金</w:t>
      </w:r>
    </w:p>
    <w:p w14:paraId="1FF2F961">
      <w:pPr>
        <w:adjustRightInd w:val="0"/>
        <w:snapToGrid w:val="0"/>
        <w:spacing w:line="360" w:lineRule="auto"/>
        <w:ind w:firstLine="600" w:firstLineChars="200"/>
        <w:rPr>
          <w:rFonts w:eastAsia="仿宋_GB2312"/>
          <w:color w:val="000000"/>
          <w:sz w:val="30"/>
          <w:szCs w:val="32"/>
        </w:rPr>
      </w:pPr>
      <w:bookmarkStart w:id="175" w:name="_Toc351203636"/>
      <w:r>
        <w:rPr>
          <w:rFonts w:eastAsia="仿宋_GB2312"/>
          <w:color w:val="000000"/>
          <w:sz w:val="30"/>
          <w:szCs w:val="32"/>
        </w:rPr>
        <w:t>承包人提供履约担保的形式</w:t>
      </w:r>
      <w:r>
        <w:rPr>
          <w:rFonts w:hint="eastAsia" w:eastAsia="仿宋_GB2312"/>
          <w:color w:val="000000"/>
          <w:sz w:val="30"/>
          <w:szCs w:val="32"/>
        </w:rPr>
        <w:t>、金额及期限的</w:t>
      </w:r>
      <w:r>
        <w:rPr>
          <w:rFonts w:eastAsia="仿宋_GB2312"/>
          <w:color w:val="000000"/>
          <w:sz w:val="30"/>
          <w:szCs w:val="32"/>
        </w:rPr>
        <w:t>：</w:t>
      </w:r>
    </w:p>
    <w:p w14:paraId="0744A0B4">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缴纳时间：</w:t>
      </w:r>
      <w:r>
        <w:rPr>
          <w:rFonts w:hint="eastAsia" w:eastAsia="仿宋_GB2312"/>
          <w:color w:val="000000"/>
          <w:sz w:val="30"/>
          <w:szCs w:val="32"/>
          <w:u w:val="single"/>
        </w:rPr>
        <w:t xml:space="preserve">承包商在签订合同后，入厂施工作业前足额交纳安全生产履约保证金。  </w:t>
      </w:r>
      <w:r>
        <w:rPr>
          <w:rFonts w:hint="eastAsia" w:eastAsia="仿宋_GB2312"/>
          <w:color w:val="000000"/>
          <w:sz w:val="30"/>
          <w:szCs w:val="32"/>
        </w:rPr>
        <w:t>；</w:t>
      </w:r>
    </w:p>
    <w:p w14:paraId="1756AACB">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担保形式：</w:t>
      </w:r>
      <w:r>
        <w:rPr>
          <w:rFonts w:hint="eastAsia" w:eastAsia="仿宋_GB2312"/>
          <w:color w:val="000000"/>
          <w:sz w:val="30"/>
          <w:szCs w:val="32"/>
          <w:u w:val="single"/>
        </w:rPr>
        <w:t xml:space="preserve"> 现金或银行保函或现金+银行保函的组合；采用银行保函形式的，保函必须为不可撤销且见索即付   </w:t>
      </w:r>
      <w:r>
        <w:rPr>
          <w:rFonts w:hint="eastAsia" w:eastAsia="仿宋_GB2312"/>
          <w:color w:val="000000"/>
          <w:sz w:val="30"/>
          <w:szCs w:val="32"/>
        </w:rPr>
        <w:t>；</w:t>
      </w:r>
    </w:p>
    <w:p w14:paraId="0D2A0601">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担保金额</w:t>
      </w:r>
      <w:r>
        <w:rPr>
          <w:rFonts w:hint="eastAsia" w:ascii="宋体" w:hAnsi="宋体"/>
          <w:snapToGrid w:val="0"/>
          <w:color w:val="000000"/>
          <w:szCs w:val="21"/>
        </w:rPr>
        <w:t>：</w:t>
      </w:r>
      <w:r>
        <w:rPr>
          <w:rFonts w:hint="eastAsia" w:eastAsia="仿宋_GB2312"/>
          <w:color w:val="000000"/>
          <w:sz w:val="30"/>
          <w:szCs w:val="32"/>
          <w:u w:val="single"/>
        </w:rPr>
        <w:t>承包商安全生产履约保证金缴纳数额根据承担工程量大小和安全绩效评价结果进行缴纳。</w:t>
      </w:r>
    </w:p>
    <w:tbl>
      <w:tblPr>
        <w:tblStyle w:val="20"/>
        <w:tblW w:w="8973"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992"/>
        <w:gridCol w:w="2992"/>
      </w:tblGrid>
      <w:tr w14:paraId="1E02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0527AE3C">
            <w:pPr>
              <w:pStyle w:val="8"/>
              <w:ind w:right="63"/>
              <w:rPr>
                <w:rFonts w:eastAsia="等线"/>
              </w:rPr>
            </w:pPr>
            <w:r>
              <w:rPr>
                <w:rFonts w:hint="eastAsia" w:eastAsia="等线"/>
              </w:rPr>
              <w:t>序号</w:t>
            </w:r>
          </w:p>
        </w:tc>
        <w:tc>
          <w:tcPr>
            <w:tcW w:w="2992" w:type="dxa"/>
          </w:tcPr>
          <w:p w14:paraId="64796230">
            <w:pPr>
              <w:pStyle w:val="8"/>
              <w:ind w:right="63"/>
              <w:rPr>
                <w:rFonts w:eastAsia="等线"/>
              </w:rPr>
            </w:pPr>
            <w:r>
              <w:rPr>
                <w:rFonts w:hint="eastAsia" w:eastAsia="等线"/>
              </w:rPr>
              <w:t>承包商业务类型</w:t>
            </w:r>
          </w:p>
        </w:tc>
        <w:tc>
          <w:tcPr>
            <w:tcW w:w="2992" w:type="dxa"/>
          </w:tcPr>
          <w:p w14:paraId="69921033">
            <w:pPr>
              <w:pStyle w:val="8"/>
              <w:ind w:right="63"/>
              <w:rPr>
                <w:rFonts w:eastAsia="等线"/>
              </w:rPr>
            </w:pPr>
            <w:r>
              <w:rPr>
                <w:rFonts w:hint="eastAsia" w:eastAsia="等线"/>
              </w:rPr>
              <w:t>安全生产履约保证金交纳金额</w:t>
            </w:r>
          </w:p>
        </w:tc>
      </w:tr>
      <w:tr w14:paraId="461E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178027FC">
            <w:pPr>
              <w:pStyle w:val="8"/>
              <w:ind w:right="63"/>
              <w:rPr>
                <w:rFonts w:eastAsia="等线"/>
              </w:rPr>
            </w:pPr>
            <w:r>
              <w:rPr>
                <w:rFonts w:hint="eastAsia" w:eastAsia="等线"/>
              </w:rPr>
              <w:t>1</w:t>
            </w:r>
          </w:p>
        </w:tc>
        <w:tc>
          <w:tcPr>
            <w:tcW w:w="2992" w:type="dxa"/>
          </w:tcPr>
          <w:p w14:paraId="5003A780">
            <w:pPr>
              <w:pStyle w:val="8"/>
              <w:ind w:right="63"/>
              <w:rPr>
                <w:rFonts w:eastAsia="等线"/>
              </w:rPr>
            </w:pPr>
            <w:r>
              <w:rPr>
                <w:rFonts w:hint="eastAsia" w:eastAsia="等线"/>
              </w:rPr>
              <w:t>土建工程项目、安装工程项目、设备维修维保项目</w:t>
            </w:r>
          </w:p>
        </w:tc>
        <w:tc>
          <w:tcPr>
            <w:tcW w:w="2992" w:type="dxa"/>
          </w:tcPr>
          <w:p w14:paraId="46CEFF33">
            <w:pPr>
              <w:pStyle w:val="8"/>
              <w:ind w:right="63"/>
              <w:rPr>
                <w:rFonts w:eastAsia="等线"/>
              </w:rPr>
            </w:pPr>
            <w:r>
              <w:rPr>
                <w:rFonts w:hint="eastAsia" w:eastAsia="等线"/>
              </w:rPr>
              <w:t>按照合同标的物总额的5%进行缴纳,最低缴纳1万元，最高交纳200万元。</w:t>
            </w:r>
          </w:p>
        </w:tc>
      </w:tr>
      <w:tr w14:paraId="2569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5E1EC681">
            <w:pPr>
              <w:pStyle w:val="8"/>
              <w:ind w:right="63"/>
              <w:rPr>
                <w:rFonts w:eastAsia="等线"/>
              </w:rPr>
            </w:pPr>
            <w:r>
              <w:rPr>
                <w:rFonts w:hint="eastAsia" w:eastAsia="等线"/>
              </w:rPr>
              <w:t>2</w:t>
            </w:r>
          </w:p>
        </w:tc>
        <w:tc>
          <w:tcPr>
            <w:tcW w:w="2992" w:type="dxa"/>
          </w:tcPr>
          <w:p w14:paraId="0D0BDB9C">
            <w:pPr>
              <w:pStyle w:val="8"/>
              <w:ind w:right="63"/>
              <w:rPr>
                <w:rFonts w:eastAsia="等线"/>
              </w:rPr>
            </w:pPr>
            <w:r>
              <w:rPr>
                <w:rFonts w:hint="eastAsia" w:eastAsia="等线"/>
              </w:rPr>
              <w:t>公司原辅料、产品运输</w:t>
            </w:r>
          </w:p>
        </w:tc>
        <w:tc>
          <w:tcPr>
            <w:tcW w:w="2992" w:type="dxa"/>
            <w:vMerge w:val="restart"/>
          </w:tcPr>
          <w:p w14:paraId="6BA56AA2">
            <w:pPr>
              <w:pStyle w:val="8"/>
              <w:ind w:right="63"/>
              <w:rPr>
                <w:rFonts w:eastAsia="等线"/>
              </w:rPr>
            </w:pPr>
            <w:r>
              <w:rPr>
                <w:rFonts w:hint="eastAsia" w:eastAsia="等线"/>
              </w:rPr>
              <w:t>按照合同标的物总额的1%进行缴纳,最低缴纳10万元,最高交纳100万元。</w:t>
            </w:r>
          </w:p>
        </w:tc>
      </w:tr>
      <w:tr w14:paraId="4D4E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711D1FBA">
            <w:pPr>
              <w:pStyle w:val="8"/>
              <w:ind w:right="63"/>
              <w:rPr>
                <w:rFonts w:eastAsia="等线"/>
              </w:rPr>
            </w:pPr>
            <w:r>
              <w:rPr>
                <w:rFonts w:hint="eastAsia" w:eastAsia="等线"/>
              </w:rPr>
              <w:t>3</w:t>
            </w:r>
          </w:p>
        </w:tc>
        <w:tc>
          <w:tcPr>
            <w:tcW w:w="2992" w:type="dxa"/>
          </w:tcPr>
          <w:p w14:paraId="5031E078">
            <w:pPr>
              <w:pStyle w:val="8"/>
              <w:ind w:right="63"/>
              <w:rPr>
                <w:rFonts w:eastAsia="等线"/>
              </w:rPr>
            </w:pPr>
            <w:r>
              <w:rPr>
                <w:rFonts w:hint="eastAsia" w:eastAsia="等线"/>
              </w:rPr>
              <w:t>承租公司设备、厂房</w:t>
            </w:r>
          </w:p>
        </w:tc>
        <w:tc>
          <w:tcPr>
            <w:tcW w:w="2992" w:type="dxa"/>
            <w:vMerge w:val="continue"/>
          </w:tcPr>
          <w:p w14:paraId="57879E75">
            <w:pPr>
              <w:pStyle w:val="8"/>
              <w:ind w:right="63"/>
              <w:rPr>
                <w:rFonts w:eastAsia="等线"/>
              </w:rPr>
            </w:pPr>
          </w:p>
        </w:tc>
      </w:tr>
      <w:tr w14:paraId="4854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0D3BF8B8">
            <w:pPr>
              <w:pStyle w:val="8"/>
              <w:ind w:right="63"/>
              <w:rPr>
                <w:rFonts w:eastAsia="等线"/>
              </w:rPr>
            </w:pPr>
            <w:r>
              <w:rPr>
                <w:rFonts w:hint="eastAsia" w:eastAsia="等线"/>
              </w:rPr>
              <w:t>4</w:t>
            </w:r>
          </w:p>
        </w:tc>
        <w:tc>
          <w:tcPr>
            <w:tcW w:w="2992" w:type="dxa"/>
          </w:tcPr>
          <w:p w14:paraId="615B28E5">
            <w:pPr>
              <w:pStyle w:val="8"/>
              <w:ind w:right="63"/>
              <w:rPr>
                <w:rFonts w:eastAsia="等线"/>
              </w:rPr>
            </w:pPr>
            <w:r>
              <w:rPr>
                <w:rFonts w:hint="eastAsia" w:eastAsia="等线"/>
              </w:rPr>
              <w:t>在公司内投资建厂（装置)</w:t>
            </w:r>
          </w:p>
        </w:tc>
        <w:tc>
          <w:tcPr>
            <w:tcW w:w="2992" w:type="dxa"/>
            <w:vMerge w:val="continue"/>
          </w:tcPr>
          <w:p w14:paraId="3D6C1456">
            <w:pPr>
              <w:pStyle w:val="8"/>
              <w:ind w:right="63"/>
              <w:rPr>
                <w:rFonts w:eastAsia="等线"/>
              </w:rPr>
            </w:pPr>
          </w:p>
        </w:tc>
      </w:tr>
      <w:tr w14:paraId="05C0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74B65675">
            <w:pPr>
              <w:pStyle w:val="8"/>
              <w:ind w:right="63"/>
              <w:rPr>
                <w:rFonts w:eastAsia="等线"/>
              </w:rPr>
            </w:pPr>
            <w:r>
              <w:rPr>
                <w:rFonts w:hint="eastAsia" w:eastAsia="等线"/>
              </w:rPr>
              <w:t>5</w:t>
            </w:r>
          </w:p>
        </w:tc>
        <w:tc>
          <w:tcPr>
            <w:tcW w:w="2992" w:type="dxa"/>
          </w:tcPr>
          <w:p w14:paraId="104702C0">
            <w:pPr>
              <w:pStyle w:val="8"/>
              <w:ind w:right="63"/>
              <w:rPr>
                <w:rFonts w:eastAsia="等线"/>
              </w:rPr>
            </w:pPr>
            <w:r>
              <w:rPr>
                <w:rFonts w:hint="eastAsia" w:eastAsia="等线"/>
              </w:rPr>
              <w:t>食堂、回收废弃物处置</w:t>
            </w:r>
          </w:p>
        </w:tc>
        <w:tc>
          <w:tcPr>
            <w:tcW w:w="2992" w:type="dxa"/>
          </w:tcPr>
          <w:p w14:paraId="1007F8A0">
            <w:pPr>
              <w:pStyle w:val="8"/>
              <w:ind w:right="63"/>
              <w:rPr>
                <w:rFonts w:eastAsia="等线"/>
              </w:rPr>
            </w:pPr>
            <w:r>
              <w:rPr>
                <w:rFonts w:hint="eastAsia" w:eastAsia="等线"/>
              </w:rPr>
              <w:t>按照预计年度结算金额的1%进行缴纳，最低缴纳5万元，最高20万元。</w:t>
            </w:r>
          </w:p>
        </w:tc>
      </w:tr>
      <w:tr w14:paraId="6733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3" w:type="dxa"/>
            <w:gridSpan w:val="3"/>
          </w:tcPr>
          <w:p w14:paraId="0698511E">
            <w:pPr>
              <w:pStyle w:val="8"/>
              <w:ind w:right="63"/>
              <w:rPr>
                <w:rFonts w:eastAsia="等线"/>
              </w:rPr>
            </w:pPr>
            <w:r>
              <w:rPr>
                <w:rFonts w:hint="eastAsia" w:eastAsia="等线"/>
              </w:rPr>
              <w:t xml:space="preserve"> </w:t>
            </w:r>
            <w:r>
              <w:rPr>
                <w:rFonts w:eastAsia="等线"/>
              </w:rPr>
              <w:t xml:space="preserve">   </w:t>
            </w:r>
            <w:r>
              <w:rPr>
                <w:rFonts w:hint="eastAsia" w:eastAsia="等线"/>
              </w:rPr>
              <w:t>从事除上述情况以外在公司厂区内作业活动的承包商，年度结算费用在50万元(或累计）以上，安全生产履约保证金按结算费用的1%进行缴纳，安全生产履约保证金最低5万元，最高不超过100万元。年度结算费用在50万元以下的由各单位根据实际情况确定，安全生产履约保证金为1-5万元。</w:t>
            </w:r>
          </w:p>
        </w:tc>
      </w:tr>
    </w:tbl>
    <w:p w14:paraId="7062FF87">
      <w:pPr>
        <w:adjustRightInd w:val="0"/>
        <w:snapToGrid w:val="0"/>
        <w:spacing w:line="360" w:lineRule="auto"/>
        <w:ind w:firstLine="600" w:firstLineChars="200"/>
        <w:rPr>
          <w:rFonts w:eastAsia="仿宋_GB2312"/>
          <w:color w:val="000000"/>
          <w:sz w:val="30"/>
          <w:szCs w:val="32"/>
        </w:rPr>
      </w:pPr>
    </w:p>
    <w:p w14:paraId="145666DB">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履约担保期限</w:t>
      </w:r>
      <w:r>
        <w:rPr>
          <w:rFonts w:hint="eastAsia" w:ascii="宋体" w:hAnsi="宋体"/>
          <w:snapToGrid w:val="0"/>
          <w:color w:val="000000"/>
          <w:szCs w:val="21"/>
        </w:rPr>
        <w:t>：</w:t>
      </w:r>
      <w:r>
        <w:rPr>
          <w:rFonts w:hint="eastAsia" w:eastAsia="仿宋_GB2312"/>
          <w:color w:val="000000"/>
          <w:sz w:val="30"/>
          <w:szCs w:val="32"/>
          <w:u w:val="single"/>
        </w:rPr>
        <w:t>自提交履约担保至竣工验收合格之日止</w:t>
      </w:r>
      <w:r>
        <w:rPr>
          <w:rFonts w:hint="eastAsia" w:eastAsia="仿宋_GB2312"/>
          <w:color w:val="000000"/>
          <w:sz w:val="30"/>
          <w:szCs w:val="32"/>
        </w:rPr>
        <w:t>；</w:t>
      </w:r>
    </w:p>
    <w:p w14:paraId="67918D23">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履约担保退还时间</w:t>
      </w:r>
      <w:r>
        <w:rPr>
          <w:rFonts w:hint="eastAsia" w:ascii="宋体" w:hAnsi="宋体"/>
          <w:snapToGrid w:val="0"/>
          <w:color w:val="000000"/>
          <w:szCs w:val="21"/>
        </w:rPr>
        <w:t>：</w:t>
      </w:r>
      <w:r>
        <w:rPr>
          <w:rFonts w:hint="eastAsia" w:eastAsia="仿宋_GB2312"/>
          <w:color w:val="000000"/>
          <w:sz w:val="30"/>
          <w:szCs w:val="32"/>
          <w:u w:val="single"/>
        </w:rPr>
        <w:t xml:space="preserve">竣工验收合格15个工作日内经安全违约结算扣除违约金后，发包人向承包人无息退还   </w:t>
      </w:r>
      <w:r>
        <w:rPr>
          <w:rFonts w:hint="eastAsia" w:eastAsia="仿宋_GB2312"/>
          <w:color w:val="000000"/>
          <w:sz w:val="30"/>
          <w:szCs w:val="32"/>
        </w:rPr>
        <w:t>。</w:t>
      </w:r>
    </w:p>
    <w:p w14:paraId="7EF78F6E">
      <w:pPr>
        <w:pStyle w:val="8"/>
        <w:ind w:left="63" w:right="63"/>
        <w:rPr>
          <w:rFonts w:eastAsia="仿宋_GB2312"/>
          <w:color w:val="000000"/>
          <w:sz w:val="30"/>
          <w:szCs w:val="32"/>
        </w:rPr>
      </w:pPr>
      <w:r>
        <w:rPr>
          <w:rFonts w:hint="eastAsia"/>
        </w:rPr>
        <w:t xml:space="preserve"> </w:t>
      </w:r>
      <w:r>
        <w:t xml:space="preserve">     </w:t>
      </w:r>
      <w:r>
        <w:rPr>
          <w:rFonts w:hint="eastAsia" w:eastAsia="仿宋_GB2312"/>
          <w:color w:val="000000"/>
          <w:sz w:val="30"/>
          <w:szCs w:val="32"/>
        </w:rPr>
        <w:t>承包商年度考核评价为优秀等级的，安全生产履约保证金可以按标准比例的80%缴纳。</w:t>
      </w:r>
    </w:p>
    <w:p w14:paraId="3198C28C">
      <w:pPr>
        <w:rPr>
          <w:rFonts w:eastAsia="仿宋_GB2312"/>
          <w:color w:val="000000"/>
          <w:sz w:val="30"/>
          <w:szCs w:val="32"/>
        </w:rPr>
      </w:pPr>
      <w:r>
        <w:rPr>
          <w:rFonts w:hint="eastAsia" w:eastAsia="仿宋_GB2312"/>
          <w:color w:val="000000"/>
          <w:sz w:val="30"/>
          <w:szCs w:val="32"/>
        </w:rPr>
        <w:t xml:space="preserve"> </w:t>
      </w:r>
      <w:r>
        <w:rPr>
          <w:rFonts w:eastAsia="仿宋_GB2312"/>
          <w:color w:val="000000"/>
          <w:sz w:val="30"/>
          <w:szCs w:val="32"/>
        </w:rPr>
        <w:t xml:space="preserve">   </w:t>
      </w:r>
      <w:r>
        <w:rPr>
          <w:rFonts w:hint="eastAsia" w:eastAsia="仿宋_GB2312"/>
          <w:color w:val="000000"/>
          <w:sz w:val="30"/>
          <w:szCs w:val="32"/>
        </w:rPr>
        <w:t>同一个承包商同公司内多家单位有合同约定的，以所需缴纳的安全生产履约保证金最高为缴纳金额，不重复缴纳，但需要提交由公司财务部出具的缴纳凭证复印件。</w:t>
      </w:r>
    </w:p>
    <w:p w14:paraId="46084D6B">
      <w:pPr>
        <w:pStyle w:val="8"/>
        <w:ind w:left="63" w:right="63"/>
        <w:jc w:val="left"/>
        <w:rPr>
          <w:rFonts w:eastAsia="仿宋_GB2312"/>
          <w:color w:val="000000"/>
          <w:sz w:val="30"/>
          <w:szCs w:val="32"/>
        </w:rPr>
      </w:pPr>
      <w:r>
        <w:rPr>
          <w:rFonts w:eastAsia="仿宋_GB2312"/>
          <w:color w:val="000000"/>
          <w:sz w:val="30"/>
          <w:szCs w:val="32"/>
        </w:rPr>
        <w:t xml:space="preserve">   </w:t>
      </w:r>
      <w:r>
        <w:rPr>
          <w:rFonts w:hint="eastAsia" w:eastAsia="仿宋_GB2312"/>
          <w:color w:val="000000"/>
          <w:sz w:val="30"/>
          <w:szCs w:val="32"/>
        </w:rPr>
        <w:t>承包商属于公司内部单位的，可以不缴纳安全生产履约保证金。</w:t>
      </w:r>
    </w:p>
    <w:p w14:paraId="04759D69">
      <w:pPr>
        <w:ind w:firstLine="600" w:firstLineChars="200"/>
        <w:rPr>
          <w:rFonts w:eastAsia="仿宋_GB2312"/>
          <w:color w:val="000000"/>
          <w:sz w:val="30"/>
          <w:szCs w:val="32"/>
        </w:rPr>
      </w:pPr>
      <w:r>
        <w:rPr>
          <w:rFonts w:hint="eastAsia" w:eastAsia="仿宋_GB2312"/>
          <w:color w:val="000000"/>
          <w:sz w:val="30"/>
          <w:szCs w:val="32"/>
        </w:rPr>
        <w:t>公司新进承包商、现有承包商且合同年限超过1年的，需按照本制度规定缴纳安全生产履约保证金。</w:t>
      </w:r>
    </w:p>
    <w:p w14:paraId="44ADD7F1">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承包商在公司范围内发生生产安全环保事故的，按照以下标准扣除安全生产履约保证金：</w:t>
      </w:r>
    </w:p>
    <w:tbl>
      <w:tblPr>
        <w:tblStyle w:val="20"/>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3"/>
        <w:gridCol w:w="3503"/>
      </w:tblGrid>
      <w:tr w14:paraId="1DF1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623" w:type="dxa"/>
            <w:vAlign w:val="center"/>
          </w:tcPr>
          <w:p w14:paraId="5803ADCA">
            <w:pPr>
              <w:jc w:val="center"/>
              <w:rPr>
                <w:rFonts w:ascii="宋体" w:hAnsi="宋体"/>
                <w:szCs w:val="21"/>
              </w:rPr>
            </w:pPr>
            <w:r>
              <w:rPr>
                <w:rFonts w:ascii="宋体" w:hAnsi="宋体"/>
                <w:szCs w:val="21"/>
              </w:rPr>
              <w:t>事故等级</w:t>
            </w:r>
          </w:p>
        </w:tc>
        <w:tc>
          <w:tcPr>
            <w:tcW w:w="3503" w:type="dxa"/>
            <w:vAlign w:val="center"/>
          </w:tcPr>
          <w:p w14:paraId="361A337B">
            <w:pPr>
              <w:jc w:val="center"/>
              <w:rPr>
                <w:rFonts w:ascii="宋体" w:hAnsi="宋体"/>
                <w:szCs w:val="21"/>
              </w:rPr>
            </w:pPr>
            <w:r>
              <w:rPr>
                <w:rFonts w:ascii="宋体" w:hAnsi="宋体"/>
                <w:szCs w:val="21"/>
              </w:rPr>
              <w:t>安全生产履约保证金扣除金额</w:t>
            </w:r>
          </w:p>
        </w:tc>
      </w:tr>
      <w:tr w14:paraId="1844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23" w:type="dxa"/>
            <w:vAlign w:val="center"/>
          </w:tcPr>
          <w:p w14:paraId="228924CC">
            <w:pPr>
              <w:jc w:val="left"/>
              <w:rPr>
                <w:rFonts w:ascii="宋体" w:hAnsi="宋体"/>
                <w:szCs w:val="21"/>
              </w:rPr>
            </w:pPr>
            <w:r>
              <w:rPr>
                <w:rFonts w:hint="eastAsia" w:ascii="宋体" w:hAnsi="宋体"/>
                <w:szCs w:val="21"/>
              </w:rPr>
              <w:t>发生重伤或直接经济损失30-</w:t>
            </w:r>
            <w:r>
              <w:rPr>
                <w:rFonts w:ascii="宋体" w:hAnsi="宋体"/>
                <w:szCs w:val="21"/>
              </w:rPr>
              <w:t>100</w:t>
            </w:r>
            <w:r>
              <w:rPr>
                <w:rFonts w:hint="eastAsia" w:ascii="宋体" w:hAnsi="宋体"/>
                <w:szCs w:val="21"/>
              </w:rPr>
              <w:t>万元的生产安全责任事故；消防出警，社会影响较大，出水或启动灭火设施参与抢险，被立案调查但未受到处罚的事故；发生公司级重大环境污染事故；环保部门抢险，社会影响较大，被立案调查但未受到处罚的环保事故。</w:t>
            </w:r>
          </w:p>
        </w:tc>
        <w:tc>
          <w:tcPr>
            <w:tcW w:w="3503" w:type="dxa"/>
            <w:vAlign w:val="center"/>
          </w:tcPr>
          <w:p w14:paraId="5DF7E45D">
            <w:pPr>
              <w:jc w:val="center"/>
              <w:rPr>
                <w:rFonts w:ascii="宋体" w:hAnsi="宋体"/>
                <w:szCs w:val="21"/>
              </w:rPr>
            </w:pPr>
            <w:r>
              <w:rPr>
                <w:rFonts w:ascii="宋体" w:hAnsi="宋体"/>
                <w:szCs w:val="21"/>
                <w:highlight w:val="green"/>
              </w:rPr>
              <w:t>5万元</w:t>
            </w:r>
          </w:p>
        </w:tc>
      </w:tr>
      <w:tr w14:paraId="1FDC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23" w:type="dxa"/>
            <w:vAlign w:val="center"/>
          </w:tcPr>
          <w:p w14:paraId="18DACAC4">
            <w:pPr>
              <w:jc w:val="left"/>
              <w:rPr>
                <w:rFonts w:ascii="宋体" w:hAnsi="宋体"/>
                <w:szCs w:val="21"/>
              </w:rPr>
            </w:pPr>
            <w:r>
              <w:rPr>
                <w:rFonts w:hint="eastAsia" w:ascii="宋体" w:hAnsi="宋体"/>
                <w:szCs w:val="21"/>
              </w:rPr>
              <w:t>发生重伤3人、死亡事故或直接经济损失1</w:t>
            </w:r>
            <w:r>
              <w:rPr>
                <w:rFonts w:ascii="宋体" w:hAnsi="宋体"/>
                <w:szCs w:val="21"/>
              </w:rPr>
              <w:t>00万元及以上安全责任事故的</w:t>
            </w:r>
            <w:r>
              <w:rPr>
                <w:rFonts w:hint="eastAsia" w:ascii="宋体" w:hAnsi="宋体"/>
                <w:szCs w:val="21"/>
              </w:rPr>
              <w:t>。消防出警，社会影响大，消防出水或启动灭火设施参与抢险，被立案调查且受到处罚的事故；发生公司级特大环境污染事故，环保部门抢险，社会影响大，被立案调查且受到处罚的环保事故。</w:t>
            </w:r>
          </w:p>
        </w:tc>
        <w:tc>
          <w:tcPr>
            <w:tcW w:w="3503" w:type="dxa"/>
            <w:vAlign w:val="center"/>
          </w:tcPr>
          <w:p w14:paraId="7A9684D3">
            <w:pPr>
              <w:jc w:val="center"/>
              <w:rPr>
                <w:rFonts w:ascii="宋体" w:hAnsi="宋体"/>
                <w:szCs w:val="21"/>
              </w:rPr>
            </w:pPr>
            <w:r>
              <w:rPr>
                <w:rFonts w:hint="eastAsia" w:ascii="宋体" w:hAnsi="宋体"/>
                <w:szCs w:val="21"/>
                <w:highlight w:val="green"/>
              </w:rPr>
              <w:t>2</w:t>
            </w:r>
            <w:r>
              <w:rPr>
                <w:rFonts w:ascii="宋体" w:hAnsi="宋体"/>
                <w:szCs w:val="21"/>
                <w:highlight w:val="green"/>
              </w:rPr>
              <w:t>0</w:t>
            </w:r>
            <w:r>
              <w:rPr>
                <w:rFonts w:hint="eastAsia" w:ascii="宋体" w:hAnsi="宋体"/>
                <w:szCs w:val="21"/>
                <w:highlight w:val="green"/>
              </w:rPr>
              <w:t>-</w:t>
            </w:r>
            <w:r>
              <w:rPr>
                <w:rFonts w:ascii="宋体" w:hAnsi="宋体"/>
                <w:szCs w:val="21"/>
                <w:highlight w:val="green"/>
              </w:rPr>
              <w:t>50万元</w:t>
            </w:r>
          </w:p>
        </w:tc>
      </w:tr>
      <w:tr w14:paraId="6FC6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6" w:type="dxa"/>
            <w:gridSpan w:val="2"/>
            <w:vAlign w:val="center"/>
          </w:tcPr>
          <w:p w14:paraId="588AAF6B">
            <w:pPr>
              <w:jc w:val="left"/>
              <w:rPr>
                <w:rFonts w:ascii="宋体" w:hAnsi="宋体"/>
                <w:szCs w:val="21"/>
              </w:rPr>
            </w:pPr>
            <w:r>
              <w:rPr>
                <w:rFonts w:hint="eastAsia" w:ascii="宋体" w:hAnsi="宋体"/>
                <w:szCs w:val="21"/>
              </w:rPr>
              <w:t>说明：</w:t>
            </w:r>
          </w:p>
          <w:p w14:paraId="4442A858">
            <w:pPr>
              <w:jc w:val="left"/>
              <w:rPr>
                <w:rFonts w:ascii="宋体" w:hAnsi="宋体"/>
                <w:szCs w:val="21"/>
              </w:rPr>
            </w:pPr>
            <w:r>
              <w:rPr>
                <w:rFonts w:ascii="宋体" w:hAnsi="宋体"/>
                <w:szCs w:val="21"/>
              </w:rPr>
              <w:t>1</w:t>
            </w:r>
            <w:r>
              <w:rPr>
                <w:rFonts w:hint="eastAsia" w:ascii="宋体" w:hAnsi="宋体"/>
                <w:szCs w:val="21"/>
              </w:rPr>
              <w:t>、发生在国家法定节假日、两会等重要特殊时期的事故从严扣款。</w:t>
            </w:r>
          </w:p>
          <w:p w14:paraId="4B2AF76F">
            <w:pPr>
              <w:jc w:val="left"/>
              <w:rPr>
                <w:rFonts w:ascii="宋体" w:hAnsi="宋体"/>
                <w:szCs w:val="21"/>
              </w:rPr>
            </w:pPr>
            <w:r>
              <w:rPr>
                <w:rFonts w:ascii="宋体" w:hAnsi="宋体"/>
                <w:szCs w:val="21"/>
              </w:rPr>
              <w:t>2</w:t>
            </w:r>
            <w:r>
              <w:rPr>
                <w:rFonts w:hint="eastAsia" w:ascii="宋体" w:hAnsi="宋体"/>
                <w:szCs w:val="21"/>
              </w:rPr>
              <w:t>、谎报、瞒报事故的安全生产履约保证金全额扣除。</w:t>
            </w:r>
          </w:p>
          <w:p w14:paraId="1439CC9D">
            <w:pPr>
              <w:jc w:val="left"/>
              <w:rPr>
                <w:rFonts w:ascii="宋体" w:hAnsi="宋体"/>
                <w:szCs w:val="21"/>
              </w:rPr>
            </w:pPr>
            <w:r>
              <w:rPr>
                <w:rFonts w:ascii="宋体"/>
                <w:kern w:val="0"/>
                <w:szCs w:val="20"/>
              </w:rPr>
              <w:t>3</w:t>
            </w:r>
            <w:r>
              <w:rPr>
                <w:rFonts w:hint="eastAsia" w:ascii="宋体"/>
                <w:kern w:val="0"/>
                <w:szCs w:val="20"/>
              </w:rPr>
              <w:t>、发生安全环保事故</w:t>
            </w:r>
            <w:r>
              <w:rPr>
                <w:rFonts w:ascii="宋体"/>
                <w:kern w:val="0"/>
                <w:szCs w:val="20"/>
              </w:rPr>
              <w:t>0.5</w:t>
            </w:r>
            <w:r>
              <w:rPr>
                <w:rFonts w:hint="eastAsia" w:ascii="宋体"/>
                <w:kern w:val="0"/>
                <w:szCs w:val="20"/>
              </w:rPr>
              <w:t>小时内报告到对口管理部门，对口管理部门接报后立即报告到安全环保部。超过报告时限的，</w:t>
            </w:r>
            <w:r>
              <w:rPr>
                <w:rFonts w:ascii="宋体" w:hAnsi="宋体"/>
                <w:szCs w:val="21"/>
              </w:rPr>
              <w:t xml:space="preserve"> 每次扣安全生产履约保证金</w:t>
            </w:r>
            <w:r>
              <w:rPr>
                <w:rFonts w:hint="eastAsia" w:ascii="宋体" w:hAnsi="宋体"/>
                <w:szCs w:val="21"/>
              </w:rPr>
              <w:t>5万元。</w:t>
            </w:r>
            <w:r>
              <w:rPr>
                <w:rFonts w:ascii="宋体" w:hAnsi="宋体"/>
                <w:szCs w:val="21"/>
              </w:rPr>
              <w:t xml:space="preserve"> </w:t>
            </w:r>
          </w:p>
          <w:p w14:paraId="7A42C246">
            <w:pPr>
              <w:jc w:val="left"/>
              <w:rPr>
                <w:rFonts w:ascii="宋体" w:hAnsi="宋体"/>
                <w:szCs w:val="21"/>
              </w:rPr>
            </w:pPr>
            <w:r>
              <w:rPr>
                <w:rFonts w:hint="eastAsia" w:ascii="宋体" w:hAnsi="宋体"/>
                <w:szCs w:val="21"/>
              </w:rPr>
              <w:t>4、交纳的安全生产风险金低于相应扣除标准的，全部扣除。</w:t>
            </w:r>
          </w:p>
        </w:tc>
      </w:tr>
    </w:tbl>
    <w:p w14:paraId="06DE0900">
      <w:pPr>
        <w:pStyle w:val="8"/>
        <w:ind w:left="63" w:right="63"/>
      </w:pPr>
    </w:p>
    <w:p w14:paraId="697024FF">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承包人安全施工条件不足，施工作业过程存在重大安全事故隐患，拒不整改或不按期整改的，发包人可以委托相应的单位进行事故隐患整改，所需费用从其安全生产履约保证金中扣除。</w:t>
      </w:r>
    </w:p>
    <w:p w14:paraId="3CC9EACD">
      <w:pPr>
        <w:pStyle w:val="5"/>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4</w:t>
      </w:r>
      <w:bookmarkStart w:id="176" w:name="_Toc296503162"/>
      <w:bookmarkStart w:id="177" w:name="_Toc292559366"/>
      <w:bookmarkStart w:id="178" w:name="_Toc292559871"/>
      <w:bookmarkStart w:id="179" w:name="_Toc296944501"/>
      <w:bookmarkStart w:id="180" w:name="_Toc296890990"/>
      <w:bookmarkStart w:id="181" w:name="_Toc296346663"/>
      <w:bookmarkStart w:id="182" w:name="_Toc296347161"/>
      <w:bookmarkStart w:id="183" w:name="_Toc297120462"/>
      <w:bookmarkStart w:id="184" w:name="_Toc297048348"/>
      <w:bookmarkStart w:id="185" w:name="_Toc267251413"/>
      <w:bookmarkStart w:id="186" w:name="_Toc296891202"/>
      <w:r>
        <w:rPr>
          <w:rFonts w:ascii="Times New Roman" w:hAnsi="Times New Roman" w:eastAsia="黑体"/>
          <w:b w:val="0"/>
          <w:color w:val="000000"/>
          <w:sz w:val="32"/>
          <w:szCs w:val="32"/>
        </w:rPr>
        <w:t>. 监</w:t>
      </w:r>
      <w:bookmarkEnd w:id="176"/>
      <w:bookmarkEnd w:id="177"/>
      <w:bookmarkEnd w:id="178"/>
      <w:bookmarkEnd w:id="179"/>
      <w:bookmarkEnd w:id="180"/>
      <w:bookmarkEnd w:id="181"/>
      <w:bookmarkEnd w:id="182"/>
      <w:bookmarkEnd w:id="183"/>
      <w:bookmarkEnd w:id="184"/>
      <w:bookmarkEnd w:id="185"/>
      <w:bookmarkEnd w:id="186"/>
      <w:r>
        <w:rPr>
          <w:rFonts w:ascii="Times New Roman" w:hAnsi="Times New Roman" w:eastAsia="黑体"/>
          <w:b w:val="0"/>
          <w:color w:val="000000"/>
          <w:sz w:val="32"/>
          <w:szCs w:val="32"/>
        </w:rPr>
        <w:t>理人</w:t>
      </w:r>
      <w:bookmarkEnd w:id="175"/>
    </w:p>
    <w:p w14:paraId="7C2C3FB6">
      <w:pPr>
        <w:spacing w:after="120" w:line="360" w:lineRule="auto"/>
        <w:ind w:firstLine="600" w:firstLineChars="200"/>
        <w:rPr>
          <w:rFonts w:eastAsia="黑体"/>
          <w:color w:val="000000"/>
          <w:sz w:val="30"/>
          <w:szCs w:val="32"/>
        </w:rPr>
      </w:pPr>
      <w:r>
        <w:rPr>
          <w:rFonts w:eastAsia="黑体"/>
          <w:color w:val="000000"/>
          <w:sz w:val="30"/>
          <w:szCs w:val="32"/>
        </w:rPr>
        <w:t>4.1监理人的一般规定</w:t>
      </w:r>
    </w:p>
    <w:p w14:paraId="2D6CEBC1">
      <w:pPr>
        <w:spacing w:line="360" w:lineRule="auto"/>
        <w:ind w:firstLine="420"/>
        <w:rPr>
          <w:rFonts w:ascii="宋体" w:hAnsi="宋体"/>
          <w:color w:val="000000"/>
          <w:szCs w:val="21"/>
        </w:rPr>
      </w:pPr>
      <w:r>
        <w:rPr>
          <w:rFonts w:eastAsia="仿宋_GB2312"/>
          <w:color w:val="000000"/>
          <w:sz w:val="30"/>
          <w:szCs w:val="32"/>
        </w:rPr>
        <w:t>关于监理人的监理内容：</w:t>
      </w:r>
      <w:r>
        <w:rPr>
          <w:rFonts w:eastAsia="仿宋_GB2312"/>
          <w:color w:val="000000"/>
          <w:sz w:val="30"/>
          <w:szCs w:val="32"/>
          <w:u w:val="single"/>
        </w:rPr>
        <w:t xml:space="preserve"> </w:t>
      </w:r>
      <w:r>
        <w:rPr>
          <w:rFonts w:hint="eastAsia" w:eastAsia="仿宋_GB2312"/>
          <w:color w:val="000000"/>
          <w:sz w:val="30"/>
          <w:szCs w:val="32"/>
          <w:u w:val="single"/>
        </w:rPr>
        <w:t>包含但不限于督促承包人施工管理制度和质量保证体系的建立、健全与实施；审查承包人提交的施工组织设计、施工技术方案、安全文明施工措施和施工进度计划，并督促实施；组织设计交底，图纸会审，审查设计变更；审核承包人提出的分包工程项目及选择分包的单位；按施工合同付款要求复核已完工程量；设计变更审核，发布施工工程变更令；审查工程使用的原材料、半成品、成品、构配件和设备的质量，必要时进行测试和监控；监督承包人严格按技术和设计文件施工，控制工程质量，重要工程部位督促承包人实施预控措施；抽查工程施工质量，对隐蔽工程进行复验签证，参与工程质量事故的分析及处理；对工程承发包合同的履行实施管理，协助委托人（或者委托的项目管理单位）处理合同纠纷和索赔事宜；督促检查安全生产，文明施工；督促承包单位按合同规定及要求整理施工技术档案资料；认真审核竣工图纸和其他技术文件资料；参与工程竣工验收，对施工质量提出评价意见；审核竣工图纸和其他技术文件资料；负责缺陷责任期内对招标人提出的工程质量缺陷进行检查和记录，对承包人进行修复的工程质量进行验收</w:t>
      </w:r>
      <w:r>
        <w:rPr>
          <w:rFonts w:eastAsia="仿宋_GB2312"/>
          <w:color w:val="000000"/>
          <w:sz w:val="30"/>
          <w:szCs w:val="32"/>
        </w:rPr>
        <w:t>。</w:t>
      </w:r>
    </w:p>
    <w:p w14:paraId="1DACB39B">
      <w:pPr>
        <w:spacing w:line="360" w:lineRule="auto"/>
        <w:ind w:firstLine="600" w:firstLineChars="200"/>
        <w:jc w:val="left"/>
        <w:rPr>
          <w:rFonts w:eastAsia="仿宋_GB2312"/>
          <w:color w:val="000000"/>
          <w:sz w:val="30"/>
          <w:szCs w:val="32"/>
        </w:rPr>
      </w:pPr>
      <w:r>
        <w:rPr>
          <w:rFonts w:eastAsia="仿宋_GB2312"/>
          <w:color w:val="000000"/>
          <w:sz w:val="30"/>
          <w:szCs w:val="32"/>
        </w:rPr>
        <w:t>关于监理人的监理权限：</w:t>
      </w:r>
    </w:p>
    <w:p w14:paraId="60264DEF">
      <w:pPr>
        <w:spacing w:line="360" w:lineRule="auto"/>
        <w:ind w:firstLine="600" w:firstLineChars="200"/>
        <w:jc w:val="left"/>
        <w:rPr>
          <w:rFonts w:eastAsia="仿宋_GB2312"/>
          <w:color w:val="000000"/>
          <w:sz w:val="30"/>
          <w:szCs w:val="32"/>
          <w:u w:val="single"/>
        </w:rPr>
      </w:pPr>
      <w:r>
        <w:rPr>
          <w:rFonts w:hint="eastAsia" w:eastAsia="仿宋_GB2312"/>
          <w:color w:val="000000"/>
          <w:sz w:val="30"/>
          <w:szCs w:val="32"/>
          <w:u w:val="single"/>
        </w:rPr>
        <w:t>1、监理人应履行监理合同规定的职责；</w:t>
      </w:r>
    </w:p>
    <w:p w14:paraId="0E927EFF">
      <w:pPr>
        <w:spacing w:line="360" w:lineRule="auto"/>
        <w:ind w:firstLine="600" w:firstLineChars="200"/>
        <w:jc w:val="left"/>
        <w:rPr>
          <w:rFonts w:eastAsia="仿宋_GB2312"/>
          <w:color w:val="000000"/>
          <w:sz w:val="30"/>
          <w:szCs w:val="32"/>
          <w:u w:val="single"/>
        </w:rPr>
      </w:pPr>
      <w:r>
        <w:rPr>
          <w:rFonts w:hint="eastAsia" w:eastAsia="仿宋_GB2312"/>
          <w:color w:val="000000"/>
          <w:sz w:val="30"/>
          <w:szCs w:val="32"/>
          <w:u w:val="single"/>
        </w:rPr>
        <w:t>2、监理人可以行使合同规定或合同内含的权利，监理人行使发包人授予的职权，可代表发包人负责监督和检查工程的投资、质量、进度、安全等，及时向承包人提供供工作所需的指令。监理人无权免除合同任何一方在合同履行期间应尽的任何责任和义务；</w:t>
      </w:r>
    </w:p>
    <w:p w14:paraId="58DC9978">
      <w:pPr>
        <w:spacing w:line="360" w:lineRule="auto"/>
        <w:ind w:firstLine="600" w:firstLineChars="200"/>
        <w:jc w:val="left"/>
        <w:rPr>
          <w:rFonts w:eastAsia="仿宋_GB2312"/>
          <w:color w:val="000000"/>
          <w:sz w:val="30"/>
          <w:szCs w:val="32"/>
          <w:u w:val="single"/>
        </w:rPr>
      </w:pPr>
      <w:r>
        <w:rPr>
          <w:rFonts w:hint="eastAsia" w:eastAsia="仿宋_GB2312"/>
          <w:color w:val="000000"/>
          <w:sz w:val="30"/>
          <w:szCs w:val="32"/>
          <w:u w:val="single"/>
        </w:rPr>
        <w:t>3、总监理工程师签发的任何付款凭证、签证单、核定单、工程设计变更、工程造价变更、工程延期等均需经发包人核定。</w:t>
      </w:r>
    </w:p>
    <w:p w14:paraId="28DB6785">
      <w:pPr>
        <w:spacing w:line="360" w:lineRule="auto"/>
        <w:ind w:firstLine="600" w:firstLineChars="200"/>
        <w:jc w:val="left"/>
        <w:rPr>
          <w:rFonts w:eastAsia="仿宋_GB2312"/>
          <w:color w:val="000000"/>
          <w:sz w:val="30"/>
          <w:szCs w:val="32"/>
          <w:u w:val="single"/>
        </w:rPr>
      </w:pPr>
      <w:r>
        <w:rPr>
          <w:rFonts w:eastAsia="仿宋_GB2312"/>
          <w:color w:val="000000"/>
          <w:sz w:val="30"/>
          <w:szCs w:val="32"/>
          <w:u w:val="single"/>
        </w:rPr>
        <w:t>4、</w:t>
      </w:r>
      <w:r>
        <w:rPr>
          <w:rFonts w:hint="eastAsia" w:eastAsia="仿宋_GB2312"/>
          <w:color w:val="000000"/>
          <w:sz w:val="30"/>
          <w:szCs w:val="32"/>
          <w:u w:val="single"/>
        </w:rPr>
        <w:t>监理单位对承包人如下违约行为进行索赔：①、质量行为不规范，且经现场监理人员提出后屡教不改的；②、安全行为不规范，且经现场监理人员提出后屡教不改的；</w:t>
      </w:r>
    </w:p>
    <w:p w14:paraId="6F7490BA">
      <w:pPr>
        <w:spacing w:line="360" w:lineRule="auto"/>
        <w:ind w:firstLine="600" w:firstLineChars="200"/>
        <w:rPr>
          <w:rFonts w:eastAsia="仿宋_GB2312"/>
          <w:color w:val="000000"/>
          <w:sz w:val="30"/>
          <w:szCs w:val="32"/>
        </w:rPr>
      </w:pPr>
      <w:r>
        <w:rPr>
          <w:rFonts w:eastAsia="仿宋_GB2312"/>
          <w:color w:val="000000"/>
          <w:sz w:val="30"/>
          <w:szCs w:val="32"/>
        </w:rPr>
        <w:t>关于监理人在施工现场的办公场所、生活场所的提供和费用承担的约定：</w:t>
      </w:r>
      <w:r>
        <w:rPr>
          <w:rFonts w:eastAsia="仿宋_GB2312"/>
          <w:color w:val="000000"/>
          <w:sz w:val="30"/>
          <w:szCs w:val="32"/>
          <w:u w:val="single"/>
        </w:rPr>
        <w:t xml:space="preserve"> </w:t>
      </w:r>
      <w:r>
        <w:rPr>
          <w:rFonts w:hint="eastAsia" w:eastAsia="仿宋_GB2312"/>
          <w:color w:val="000000"/>
          <w:sz w:val="30"/>
          <w:szCs w:val="32"/>
          <w:u w:val="single"/>
        </w:rPr>
        <w:t>由发包人提供，费用由发包人承担</w:t>
      </w:r>
      <w:r>
        <w:rPr>
          <w:rFonts w:eastAsia="仿宋_GB2312"/>
          <w:color w:val="000000"/>
          <w:sz w:val="30"/>
          <w:szCs w:val="32"/>
          <w:u w:val="single"/>
        </w:rPr>
        <w:t xml:space="preserve">  </w:t>
      </w:r>
      <w:r>
        <w:rPr>
          <w:rFonts w:eastAsia="仿宋_GB2312"/>
          <w:color w:val="000000"/>
          <w:sz w:val="30"/>
          <w:szCs w:val="32"/>
        </w:rPr>
        <w:t>。</w:t>
      </w:r>
    </w:p>
    <w:p w14:paraId="63455113">
      <w:pPr>
        <w:spacing w:after="120" w:line="360" w:lineRule="auto"/>
        <w:ind w:firstLine="600" w:firstLineChars="200"/>
        <w:rPr>
          <w:rFonts w:eastAsia="黑体"/>
          <w:color w:val="000000"/>
          <w:sz w:val="30"/>
          <w:szCs w:val="32"/>
        </w:rPr>
      </w:pPr>
      <w:r>
        <w:rPr>
          <w:rFonts w:eastAsia="黑体"/>
          <w:color w:val="000000"/>
          <w:sz w:val="30"/>
          <w:szCs w:val="32"/>
        </w:rPr>
        <w:t>4.2 监理人员</w:t>
      </w:r>
    </w:p>
    <w:p w14:paraId="5C36EDA5">
      <w:pPr>
        <w:spacing w:line="360" w:lineRule="auto"/>
        <w:ind w:firstLine="600" w:firstLineChars="200"/>
        <w:rPr>
          <w:rFonts w:eastAsia="仿宋_GB2312"/>
          <w:color w:val="000000"/>
          <w:sz w:val="30"/>
          <w:szCs w:val="32"/>
        </w:rPr>
      </w:pPr>
      <w:r>
        <w:rPr>
          <w:rFonts w:eastAsia="仿宋_GB2312"/>
          <w:color w:val="000000"/>
          <w:sz w:val="30"/>
          <w:szCs w:val="32"/>
        </w:rPr>
        <w:t>总监理工程师：</w:t>
      </w:r>
    </w:p>
    <w:p w14:paraId="6AC90028">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0"/>
          <w:highlight w:val="yellow"/>
          <w:u w:val="single"/>
        </w:rPr>
        <w:t xml:space="preserve">                                   </w:t>
      </w:r>
      <w:r>
        <w:rPr>
          <w:rFonts w:eastAsia="仿宋_GB2312"/>
          <w:color w:val="000000"/>
          <w:sz w:val="30"/>
          <w:szCs w:val="32"/>
        </w:rPr>
        <w:t>；</w:t>
      </w:r>
    </w:p>
    <w:p w14:paraId="35CED98D">
      <w:pPr>
        <w:spacing w:line="360" w:lineRule="auto"/>
        <w:ind w:firstLine="600" w:firstLineChars="200"/>
        <w:rPr>
          <w:rFonts w:eastAsia="仿宋_GB2312"/>
          <w:color w:val="000000"/>
          <w:sz w:val="30"/>
          <w:szCs w:val="32"/>
        </w:rPr>
      </w:pPr>
      <w:r>
        <w:rPr>
          <w:rFonts w:eastAsia="仿宋_GB2312"/>
          <w:color w:val="000000"/>
          <w:sz w:val="30"/>
          <w:szCs w:val="32"/>
        </w:rPr>
        <w:t>职    务：</w:t>
      </w:r>
      <w:r>
        <w:rPr>
          <w:rFonts w:eastAsia="仿宋_GB2312"/>
          <w:color w:val="000000"/>
          <w:sz w:val="30"/>
          <w:szCs w:val="30"/>
          <w:highlight w:val="yellow"/>
          <w:u w:val="single"/>
        </w:rPr>
        <w:t xml:space="preserve">                                   </w:t>
      </w:r>
      <w:r>
        <w:rPr>
          <w:rFonts w:eastAsia="仿宋_GB2312"/>
          <w:color w:val="000000"/>
          <w:sz w:val="30"/>
          <w:szCs w:val="32"/>
        </w:rPr>
        <w:t>；</w:t>
      </w:r>
    </w:p>
    <w:p w14:paraId="19EF23D3">
      <w:pPr>
        <w:spacing w:line="360" w:lineRule="auto"/>
        <w:ind w:firstLine="600" w:firstLineChars="200"/>
        <w:rPr>
          <w:rFonts w:eastAsia="仿宋_GB2312"/>
          <w:color w:val="000000"/>
          <w:sz w:val="30"/>
          <w:szCs w:val="32"/>
        </w:rPr>
      </w:pPr>
      <w:r>
        <w:rPr>
          <w:rFonts w:eastAsia="仿宋_GB2312"/>
          <w:color w:val="000000"/>
          <w:sz w:val="30"/>
          <w:szCs w:val="32"/>
        </w:rPr>
        <w:t>监理工程师执业资格证书号：</w:t>
      </w:r>
      <w:r>
        <w:rPr>
          <w:rFonts w:eastAsia="仿宋_GB2312"/>
          <w:color w:val="000000"/>
          <w:sz w:val="30"/>
          <w:szCs w:val="30"/>
          <w:highlight w:val="yellow"/>
          <w:u w:val="single"/>
        </w:rPr>
        <w:t xml:space="preserve">                   </w:t>
      </w:r>
      <w:r>
        <w:rPr>
          <w:rFonts w:eastAsia="仿宋_GB2312"/>
          <w:color w:val="000000"/>
          <w:sz w:val="30"/>
          <w:szCs w:val="32"/>
        </w:rPr>
        <w:t>；</w:t>
      </w:r>
    </w:p>
    <w:p w14:paraId="1AAE8656">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0"/>
          <w:highlight w:val="yellow"/>
          <w:u w:val="single"/>
        </w:rPr>
        <w:t xml:space="preserve">                                   </w:t>
      </w:r>
      <w:r>
        <w:rPr>
          <w:rFonts w:eastAsia="仿宋_GB2312"/>
          <w:color w:val="000000"/>
          <w:sz w:val="30"/>
          <w:szCs w:val="32"/>
        </w:rPr>
        <w:t>；</w:t>
      </w:r>
    </w:p>
    <w:p w14:paraId="3231EF13">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0"/>
          <w:highlight w:val="yellow"/>
          <w:u w:val="single"/>
        </w:rPr>
        <w:t xml:space="preserve">                                   </w:t>
      </w:r>
      <w:r>
        <w:rPr>
          <w:rFonts w:eastAsia="仿宋_GB2312"/>
          <w:color w:val="000000"/>
          <w:sz w:val="30"/>
          <w:szCs w:val="32"/>
        </w:rPr>
        <w:t>；</w:t>
      </w:r>
    </w:p>
    <w:p w14:paraId="0F1B23E7">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0"/>
          <w:highlight w:val="yellow"/>
          <w:u w:val="single"/>
        </w:rPr>
        <w:t xml:space="preserve">                                   </w:t>
      </w:r>
      <w:r>
        <w:rPr>
          <w:rFonts w:eastAsia="仿宋_GB2312"/>
          <w:color w:val="000000"/>
          <w:sz w:val="30"/>
          <w:szCs w:val="32"/>
        </w:rPr>
        <w:t>；</w:t>
      </w:r>
    </w:p>
    <w:p w14:paraId="6CF862E2">
      <w:pPr>
        <w:spacing w:line="360" w:lineRule="auto"/>
        <w:ind w:firstLine="600" w:firstLineChars="200"/>
        <w:rPr>
          <w:rFonts w:eastAsia="仿宋_GB2312"/>
          <w:color w:val="000000"/>
          <w:sz w:val="30"/>
          <w:szCs w:val="32"/>
        </w:rPr>
      </w:pPr>
      <w:r>
        <w:rPr>
          <w:rFonts w:eastAsia="仿宋_GB2312"/>
          <w:color w:val="000000"/>
          <w:sz w:val="30"/>
          <w:szCs w:val="32"/>
        </w:rPr>
        <w:t>关于监理人的其他约定：</w:t>
      </w:r>
      <w:r>
        <w:rPr>
          <w:rFonts w:eastAsia="仿宋_GB2312"/>
          <w:color w:val="000000"/>
          <w:sz w:val="30"/>
          <w:szCs w:val="30"/>
          <w:highlight w:val="yellow"/>
          <w:u w:val="single"/>
        </w:rPr>
        <w:t xml:space="preserve">                       </w:t>
      </w:r>
      <w:r>
        <w:rPr>
          <w:rFonts w:eastAsia="仿宋_GB2312"/>
          <w:color w:val="000000"/>
          <w:sz w:val="30"/>
          <w:szCs w:val="32"/>
        </w:rPr>
        <w:t>。</w:t>
      </w:r>
    </w:p>
    <w:p w14:paraId="58C456F5">
      <w:pPr>
        <w:pStyle w:val="5"/>
        <w:spacing w:before="120" w:after="120" w:line="360" w:lineRule="auto"/>
        <w:rPr>
          <w:rFonts w:ascii="Times New Roman" w:hAnsi="Times New Roman" w:eastAsia="黑体"/>
          <w:b w:val="0"/>
          <w:color w:val="000000"/>
          <w:sz w:val="32"/>
          <w:szCs w:val="32"/>
        </w:rPr>
      </w:pPr>
      <w:bookmarkStart w:id="187" w:name="_Toc267251418"/>
      <w:bookmarkStart w:id="188" w:name="_Toc351203637"/>
      <w:r>
        <w:rPr>
          <w:rFonts w:ascii="Times New Roman" w:hAnsi="Times New Roman" w:eastAsia="黑体"/>
          <w:b w:val="0"/>
          <w:color w:val="000000"/>
          <w:sz w:val="32"/>
          <w:szCs w:val="32"/>
        </w:rPr>
        <w:t>5</w:t>
      </w:r>
      <w:bookmarkEnd w:id="187"/>
      <w:bookmarkStart w:id="189" w:name="_Toc296890991"/>
      <w:bookmarkStart w:id="190" w:name="_Toc296347162"/>
      <w:bookmarkStart w:id="191" w:name="_Toc292559367"/>
      <w:bookmarkStart w:id="192" w:name="_Toc296346664"/>
      <w:bookmarkStart w:id="193" w:name="_Toc292559872"/>
      <w:bookmarkStart w:id="194" w:name="_Toc297048349"/>
      <w:bookmarkStart w:id="195" w:name="_Toc296944502"/>
      <w:bookmarkStart w:id="196" w:name="_Toc296891203"/>
      <w:bookmarkStart w:id="197" w:name="_Toc296503163"/>
      <w:bookmarkStart w:id="198" w:name="_Toc297120463"/>
      <w:r>
        <w:rPr>
          <w:rFonts w:ascii="Times New Roman" w:hAnsi="Times New Roman" w:eastAsia="黑体"/>
          <w:b w:val="0"/>
          <w:color w:val="000000"/>
          <w:sz w:val="32"/>
          <w:szCs w:val="32"/>
        </w:rPr>
        <w:t>. 工程质量</w:t>
      </w:r>
      <w:bookmarkEnd w:id="188"/>
    </w:p>
    <w:p w14:paraId="3B567CF8">
      <w:pPr>
        <w:spacing w:after="120" w:line="360" w:lineRule="auto"/>
        <w:ind w:firstLine="600" w:firstLineChars="200"/>
        <w:outlineLvl w:val="0"/>
        <w:rPr>
          <w:rFonts w:eastAsia="黑体"/>
          <w:color w:val="000000"/>
          <w:sz w:val="30"/>
          <w:szCs w:val="32"/>
        </w:rPr>
      </w:pPr>
      <w:r>
        <w:rPr>
          <w:rFonts w:eastAsia="黑体"/>
          <w:color w:val="000000"/>
          <w:sz w:val="30"/>
          <w:szCs w:val="32"/>
        </w:rPr>
        <w:t>5.1 质量要求</w:t>
      </w:r>
    </w:p>
    <w:p w14:paraId="248B9D32">
      <w:pPr>
        <w:spacing w:line="360" w:lineRule="auto"/>
        <w:jc w:val="left"/>
        <w:rPr>
          <w:rFonts w:eastAsia="仿宋_GB2312"/>
          <w:sz w:val="30"/>
          <w:szCs w:val="32"/>
        </w:rPr>
      </w:pPr>
      <w:r>
        <w:rPr>
          <w:rFonts w:eastAsia="仿宋_GB2312"/>
          <w:sz w:val="30"/>
          <w:szCs w:val="32"/>
        </w:rPr>
        <w:t>5</w:t>
      </w:r>
      <w:bookmarkStart w:id="199" w:name="_Toc297216155"/>
      <w:bookmarkStart w:id="200" w:name="_Toc304295527"/>
      <w:bookmarkStart w:id="201" w:name="_Toc318581164"/>
      <w:bookmarkStart w:id="202" w:name="_Toc300934949"/>
      <w:bookmarkStart w:id="203" w:name="_Toc303539106"/>
      <w:bookmarkStart w:id="204" w:name="_Toc312677997"/>
      <w:bookmarkStart w:id="205" w:name="_Toc297123496"/>
      <w:r>
        <w:rPr>
          <w:rFonts w:eastAsia="仿宋_GB2312"/>
          <w:sz w:val="30"/>
          <w:szCs w:val="32"/>
        </w:rPr>
        <w:t>.1.1 特殊质量标准和要求：</w:t>
      </w:r>
      <w:r>
        <w:rPr>
          <w:rFonts w:eastAsia="仿宋_GB2312"/>
          <w:sz w:val="30"/>
          <w:szCs w:val="32"/>
          <w:u w:val="single"/>
        </w:rPr>
        <w:t xml:space="preserve">  </w:t>
      </w:r>
      <w:r>
        <w:rPr>
          <w:rFonts w:hint="eastAsia" w:eastAsia="仿宋_GB2312"/>
          <w:sz w:val="30"/>
          <w:szCs w:val="32"/>
          <w:u w:val="single"/>
        </w:rPr>
        <w:t>由承包人与发包人另行协商</w:t>
      </w:r>
      <w:r>
        <w:rPr>
          <w:rFonts w:eastAsia="仿宋_GB2312"/>
          <w:sz w:val="30"/>
          <w:szCs w:val="32"/>
          <w:u w:val="single"/>
        </w:rPr>
        <w:t xml:space="preserve">  </w:t>
      </w:r>
      <w:r>
        <w:rPr>
          <w:rFonts w:eastAsia="仿宋_GB2312"/>
          <w:sz w:val="30"/>
          <w:szCs w:val="32"/>
        </w:rPr>
        <w:t>。</w:t>
      </w:r>
    </w:p>
    <w:p w14:paraId="252ECA5E">
      <w:pPr>
        <w:spacing w:line="360" w:lineRule="auto"/>
        <w:jc w:val="left"/>
        <w:rPr>
          <w:rFonts w:eastAsia="黑体"/>
          <w:color w:val="000000"/>
          <w:sz w:val="30"/>
          <w:szCs w:val="32"/>
        </w:rPr>
      </w:pPr>
      <w:r>
        <w:rPr>
          <w:rFonts w:eastAsia="仿宋_GB2312"/>
          <w:sz w:val="30"/>
          <w:szCs w:val="32"/>
        </w:rPr>
        <w:t>关于工程奖项的约定：</w:t>
      </w:r>
      <w:r>
        <w:rPr>
          <w:rFonts w:eastAsia="仿宋_GB2312"/>
          <w:sz w:val="30"/>
          <w:szCs w:val="32"/>
          <w:u w:val="single"/>
        </w:rPr>
        <w:t xml:space="preserve">    </w:t>
      </w:r>
      <w:r>
        <w:rPr>
          <w:rFonts w:hint="eastAsia" w:eastAsia="仿宋_GB2312"/>
          <w:sz w:val="30"/>
          <w:szCs w:val="32"/>
          <w:u w:val="single"/>
        </w:rPr>
        <w:t>无</w:t>
      </w:r>
      <w:r>
        <w:rPr>
          <w:rFonts w:eastAsia="仿宋_GB2312"/>
          <w:sz w:val="30"/>
          <w:szCs w:val="32"/>
          <w:u w:val="single"/>
        </w:rPr>
        <w:t xml:space="preserve">   </w:t>
      </w:r>
      <w:r>
        <w:rPr>
          <w:rFonts w:eastAsia="仿宋_GB2312"/>
          <w:sz w:val="30"/>
          <w:szCs w:val="32"/>
        </w:rPr>
        <w:t>。</w:t>
      </w:r>
    </w:p>
    <w:p w14:paraId="3EC79D81">
      <w:pPr>
        <w:spacing w:after="120" w:line="360" w:lineRule="auto"/>
        <w:ind w:firstLine="600" w:firstLineChars="200"/>
        <w:outlineLvl w:val="0"/>
        <w:rPr>
          <w:rFonts w:eastAsia="黑体"/>
          <w:color w:val="000000"/>
          <w:sz w:val="30"/>
          <w:szCs w:val="32"/>
        </w:rPr>
      </w:pPr>
      <w:r>
        <w:rPr>
          <w:rFonts w:eastAsia="黑体"/>
          <w:color w:val="000000"/>
          <w:sz w:val="30"/>
          <w:szCs w:val="32"/>
        </w:rPr>
        <w:t>5.3 隐蔽工程检查</w:t>
      </w:r>
    </w:p>
    <w:p w14:paraId="1AC3E212">
      <w:pPr>
        <w:spacing w:line="360" w:lineRule="auto"/>
        <w:ind w:firstLine="600" w:firstLineChars="200"/>
        <w:jc w:val="left"/>
        <w:rPr>
          <w:rFonts w:eastAsia="仿宋_GB2312"/>
          <w:sz w:val="30"/>
          <w:szCs w:val="32"/>
        </w:rPr>
      </w:pPr>
      <w:r>
        <w:rPr>
          <w:rFonts w:eastAsia="仿宋_GB2312"/>
          <w:sz w:val="30"/>
          <w:szCs w:val="32"/>
        </w:rPr>
        <w:t>5.3.2承包人提前通知监理人、</w:t>
      </w:r>
      <w:r>
        <w:rPr>
          <w:rFonts w:hint="eastAsia" w:eastAsia="仿宋_GB2312"/>
          <w:sz w:val="30"/>
          <w:szCs w:val="32"/>
        </w:rPr>
        <w:t>发包人</w:t>
      </w:r>
      <w:r>
        <w:rPr>
          <w:rFonts w:eastAsia="仿宋_GB2312"/>
          <w:sz w:val="30"/>
          <w:szCs w:val="32"/>
        </w:rPr>
        <w:t>隐蔽工程检查的期限的约定：</w:t>
      </w:r>
      <w:r>
        <w:rPr>
          <w:rFonts w:eastAsia="仿宋_GB2312"/>
          <w:sz w:val="30"/>
          <w:szCs w:val="32"/>
          <w:u w:val="single"/>
        </w:rPr>
        <w:t>承包人应在</w:t>
      </w:r>
      <w:r>
        <w:rPr>
          <w:rFonts w:hint="eastAsia" w:eastAsia="仿宋_GB2312"/>
          <w:sz w:val="30"/>
          <w:szCs w:val="32"/>
          <w:u w:val="single"/>
        </w:rPr>
        <w:t>共同</w:t>
      </w:r>
      <w:r>
        <w:rPr>
          <w:rFonts w:eastAsia="仿宋_GB2312"/>
          <w:sz w:val="30"/>
          <w:szCs w:val="32"/>
          <w:u w:val="single"/>
        </w:rPr>
        <w:t>检查前</w:t>
      </w:r>
      <w:r>
        <w:rPr>
          <w:rFonts w:hint="eastAsia" w:eastAsia="仿宋_GB2312"/>
          <w:sz w:val="30"/>
          <w:szCs w:val="32"/>
          <w:u w:val="single"/>
        </w:rPr>
        <w:t>48</w:t>
      </w:r>
      <w:r>
        <w:rPr>
          <w:rFonts w:eastAsia="仿宋_GB2312"/>
          <w:sz w:val="30"/>
          <w:szCs w:val="32"/>
          <w:u w:val="single"/>
        </w:rPr>
        <w:t>小时书面通知</w:t>
      </w:r>
      <w:r>
        <w:rPr>
          <w:rFonts w:hint="eastAsia" w:eastAsia="仿宋_GB2312"/>
          <w:sz w:val="30"/>
          <w:szCs w:val="32"/>
          <w:u w:val="single"/>
        </w:rPr>
        <w:t>监理人、发包人</w:t>
      </w:r>
      <w:r>
        <w:rPr>
          <w:rFonts w:eastAsia="仿宋_GB2312"/>
          <w:sz w:val="30"/>
          <w:szCs w:val="32"/>
          <w:u w:val="single"/>
        </w:rPr>
        <w:t>检查，通知中应载明隐蔽检查的内容、时间和地点，并应附有自检记录和必要的检查资料</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p w14:paraId="5078E499">
      <w:pPr>
        <w:spacing w:line="360" w:lineRule="auto"/>
        <w:ind w:firstLine="600" w:firstLineChars="200"/>
        <w:jc w:val="left"/>
        <w:rPr>
          <w:rFonts w:eastAsia="仿宋_GB2312"/>
          <w:sz w:val="30"/>
          <w:szCs w:val="32"/>
        </w:rPr>
      </w:pPr>
      <w:r>
        <w:rPr>
          <w:rFonts w:eastAsia="仿宋_GB2312"/>
          <w:sz w:val="30"/>
          <w:szCs w:val="32"/>
        </w:rPr>
        <w:t>监理人</w:t>
      </w:r>
      <w:r>
        <w:rPr>
          <w:rFonts w:hint="eastAsia" w:eastAsia="仿宋_GB2312"/>
          <w:sz w:val="30"/>
          <w:szCs w:val="32"/>
        </w:rPr>
        <w:t>或发包人</w:t>
      </w:r>
      <w:r>
        <w:rPr>
          <w:rFonts w:eastAsia="仿宋_GB2312"/>
          <w:sz w:val="30"/>
          <w:szCs w:val="32"/>
        </w:rPr>
        <w:t>不能按时进行检查时，应提前</w:t>
      </w:r>
      <w:r>
        <w:rPr>
          <w:rFonts w:eastAsia="仿宋_GB2312"/>
          <w:sz w:val="30"/>
          <w:szCs w:val="32"/>
          <w:u w:val="single"/>
        </w:rPr>
        <w:t xml:space="preserve">  24  </w:t>
      </w:r>
      <w:r>
        <w:rPr>
          <w:rFonts w:eastAsia="仿宋_GB2312"/>
          <w:sz w:val="30"/>
          <w:szCs w:val="32"/>
        </w:rPr>
        <w:t>小时提交书面延期要求。</w:t>
      </w:r>
    </w:p>
    <w:p w14:paraId="2CEE4509">
      <w:pPr>
        <w:spacing w:line="360" w:lineRule="auto"/>
        <w:ind w:firstLine="600" w:firstLineChars="200"/>
        <w:jc w:val="left"/>
        <w:rPr>
          <w:rFonts w:eastAsia="仿宋_GB2312"/>
          <w:sz w:val="30"/>
          <w:szCs w:val="32"/>
        </w:rPr>
      </w:pPr>
      <w:r>
        <w:rPr>
          <w:rFonts w:eastAsia="仿宋_GB2312"/>
          <w:sz w:val="30"/>
          <w:szCs w:val="32"/>
        </w:rPr>
        <w:t>关于延期最长不得超过：</w:t>
      </w:r>
      <w:r>
        <w:rPr>
          <w:rFonts w:eastAsia="仿宋_GB2312"/>
          <w:sz w:val="30"/>
          <w:szCs w:val="32"/>
          <w:u w:val="single"/>
        </w:rPr>
        <w:t xml:space="preserve">   48  </w:t>
      </w:r>
      <w:r>
        <w:rPr>
          <w:rFonts w:eastAsia="仿宋_GB2312"/>
          <w:sz w:val="30"/>
          <w:szCs w:val="32"/>
        </w:rPr>
        <w:t>小时。</w:t>
      </w:r>
    </w:p>
    <w:p w14:paraId="20B4C25D">
      <w:pPr>
        <w:pStyle w:val="5"/>
        <w:spacing w:before="120" w:after="120" w:line="360" w:lineRule="auto"/>
        <w:rPr>
          <w:rFonts w:ascii="Times New Roman" w:hAnsi="Times New Roman" w:eastAsia="黑体"/>
          <w:b w:val="0"/>
          <w:color w:val="000000"/>
          <w:sz w:val="32"/>
          <w:szCs w:val="32"/>
        </w:rPr>
      </w:pPr>
      <w:bookmarkStart w:id="206" w:name="_Toc351203638"/>
      <w:r>
        <w:rPr>
          <w:rFonts w:ascii="Times New Roman" w:hAnsi="Times New Roman" w:eastAsia="黑体"/>
          <w:b w:val="0"/>
          <w:color w:val="000000"/>
          <w:sz w:val="32"/>
          <w:szCs w:val="32"/>
        </w:rPr>
        <w:t>6. 安全文明施工与环境保护</w:t>
      </w:r>
      <w:bookmarkEnd w:id="206"/>
    </w:p>
    <w:p w14:paraId="124E8752">
      <w:pPr>
        <w:spacing w:after="120" w:line="360" w:lineRule="auto"/>
        <w:ind w:firstLine="600" w:firstLineChars="200"/>
        <w:rPr>
          <w:rFonts w:eastAsia="黑体"/>
          <w:color w:val="000000"/>
          <w:sz w:val="30"/>
          <w:szCs w:val="32"/>
        </w:rPr>
      </w:pPr>
      <w:r>
        <w:rPr>
          <w:rFonts w:eastAsia="黑体"/>
          <w:color w:val="000000"/>
          <w:sz w:val="30"/>
          <w:szCs w:val="32"/>
        </w:rPr>
        <w:t>6.1安全文明施工</w:t>
      </w:r>
    </w:p>
    <w:p w14:paraId="77A61B1D">
      <w:pPr>
        <w:spacing w:line="360" w:lineRule="auto"/>
        <w:ind w:firstLine="600" w:firstLineChars="200"/>
        <w:jc w:val="left"/>
        <w:rPr>
          <w:rFonts w:eastAsia="仿宋_GB2312"/>
          <w:sz w:val="30"/>
          <w:szCs w:val="32"/>
          <w:u w:val="single"/>
        </w:rPr>
      </w:pPr>
      <w:r>
        <w:rPr>
          <w:rFonts w:eastAsia="仿宋_GB2312"/>
          <w:sz w:val="30"/>
          <w:szCs w:val="32"/>
        </w:rPr>
        <w:t>6.1.1</w:t>
      </w:r>
      <w:r>
        <w:rPr>
          <w:rFonts w:eastAsia="仿宋_GB2312"/>
          <w:color w:val="000000"/>
          <w:sz w:val="30"/>
          <w:szCs w:val="32"/>
        </w:rPr>
        <w:t xml:space="preserve"> 项目安全生产的达标目标及相应事项的约定</w:t>
      </w:r>
      <w:r>
        <w:rPr>
          <w:rFonts w:hint="eastAsia" w:eastAsia="仿宋_GB2312"/>
          <w:color w:val="000000"/>
          <w:sz w:val="30"/>
          <w:szCs w:val="32"/>
        </w:rPr>
        <w:t>包括但不限于</w:t>
      </w:r>
      <w:r>
        <w:rPr>
          <w:rFonts w:eastAsia="仿宋_GB2312"/>
          <w:color w:val="000000"/>
          <w:sz w:val="30"/>
          <w:szCs w:val="32"/>
        </w:rPr>
        <w:t>：</w:t>
      </w:r>
      <w:r>
        <w:rPr>
          <w:rFonts w:hint="eastAsia" w:eastAsia="仿宋_GB2312"/>
          <w:sz w:val="30"/>
          <w:szCs w:val="32"/>
          <w:u w:val="single"/>
        </w:rPr>
        <w:t>1、承包人应按照国家有关安全生产、文明施工、环境保护的法律、行政法规、部门规章，以及重庆市有关安全生产、文明施工、环境保护的地方法规、条例和规章，并遵照</w:t>
      </w:r>
      <w:r>
        <w:rPr>
          <w:rFonts w:hint="eastAsia" w:eastAsia="仿宋_GB2312"/>
          <w:sz w:val="30"/>
          <w:szCs w:val="32"/>
          <w:highlight w:val="cyan"/>
          <w:u w:val="single"/>
        </w:rPr>
        <w:t>重庆市工程建设标准《建筑工程安全文明工地建设标准》（DBJ50/T-442-2023）</w:t>
      </w:r>
      <w:r>
        <w:rPr>
          <w:rFonts w:hint="eastAsia" w:eastAsia="仿宋_GB2312"/>
          <w:sz w:val="30"/>
          <w:szCs w:val="32"/>
          <w:u w:val="single"/>
        </w:rPr>
        <w:t>的规定进行工程安全生产、文明施工和环境保护，遵守发包方安全生产方针、规章指令，杜绝发生重大安全事故；</w:t>
      </w:r>
    </w:p>
    <w:p w14:paraId="778C3ED0">
      <w:pPr>
        <w:spacing w:line="360" w:lineRule="auto"/>
        <w:ind w:firstLine="600" w:firstLineChars="200"/>
        <w:jc w:val="left"/>
        <w:rPr>
          <w:rFonts w:eastAsia="仿宋_GB2312"/>
          <w:sz w:val="30"/>
          <w:szCs w:val="32"/>
          <w:u w:val="single"/>
        </w:rPr>
      </w:pPr>
      <w:r>
        <w:rPr>
          <w:rFonts w:hint="eastAsia" w:eastAsia="仿宋_GB2312"/>
          <w:sz w:val="30"/>
          <w:szCs w:val="32"/>
          <w:u w:val="single"/>
        </w:rPr>
        <w:t>2、承包人应策划组织实施方案，建立施工项目的风险分级防控和隐患排查治理工作，杜绝发生亡人事故及重伤事故，轻伤事故率应控制在5‰以内，安全培训完成率100%，隐患整改完成率100%，无火灾事故，无疫情事故发生。承包人应以此建立安全目标责任体系，并组织责任体系的有效实施；</w:t>
      </w:r>
    </w:p>
    <w:p w14:paraId="62909D35">
      <w:pPr>
        <w:spacing w:line="360" w:lineRule="auto"/>
        <w:ind w:firstLine="600" w:firstLineChars="200"/>
        <w:jc w:val="left"/>
        <w:rPr>
          <w:rFonts w:eastAsia="仿宋_GB2312"/>
          <w:sz w:val="30"/>
          <w:szCs w:val="32"/>
          <w:u w:val="single"/>
        </w:rPr>
      </w:pPr>
      <w:r>
        <w:rPr>
          <w:rFonts w:hint="eastAsia" w:eastAsia="仿宋_GB2312"/>
          <w:sz w:val="30"/>
          <w:szCs w:val="32"/>
          <w:u w:val="single"/>
        </w:rPr>
        <w:t>3、对施工中的地上地下建筑物(构筑物)管线、电力设施、相关的生产等设施应按有关规定加强监控测量和保护，未经发包人许可不得动用生产相关的水、电、气、消防等设施，因保护不当造成的损失及法律责任由承包人承担赔偿由此造成的直接经济损失和违约责任；</w:t>
      </w:r>
    </w:p>
    <w:p w14:paraId="01CC0E0D">
      <w:pPr>
        <w:spacing w:line="360" w:lineRule="auto"/>
        <w:ind w:firstLine="600" w:firstLineChars="200"/>
        <w:jc w:val="left"/>
        <w:rPr>
          <w:rFonts w:eastAsia="仿宋_GB2312"/>
          <w:sz w:val="30"/>
          <w:szCs w:val="32"/>
          <w:u w:val="single"/>
        </w:rPr>
      </w:pPr>
      <w:r>
        <w:rPr>
          <w:rFonts w:hint="eastAsia" w:eastAsia="仿宋_GB2312"/>
          <w:sz w:val="30"/>
          <w:szCs w:val="32"/>
          <w:u w:val="single"/>
        </w:rPr>
        <w:t>4、承包人应确保安全投入，不得挪用安全文明施工费用，建立安全文明施工费用台账，专款专用，接受发包方检查；</w:t>
      </w:r>
    </w:p>
    <w:p w14:paraId="32112D95">
      <w:pPr>
        <w:spacing w:line="360" w:lineRule="auto"/>
        <w:ind w:firstLine="600" w:firstLineChars="200"/>
        <w:jc w:val="left"/>
        <w:rPr>
          <w:rFonts w:eastAsia="仿宋_GB2312"/>
          <w:sz w:val="30"/>
          <w:szCs w:val="32"/>
          <w:u w:val="single"/>
        </w:rPr>
      </w:pPr>
      <w:r>
        <w:rPr>
          <w:rFonts w:hint="eastAsia" w:eastAsia="仿宋_GB2312"/>
          <w:sz w:val="30"/>
          <w:szCs w:val="32"/>
          <w:u w:val="single"/>
        </w:rPr>
        <w:t>5、施工机械设备进场前，应做好清洁、保养和维护工作。进出车辆应有专人打扫、清洗。有密封要求的按规定必须达到；</w:t>
      </w:r>
    </w:p>
    <w:p w14:paraId="68F30607">
      <w:pPr>
        <w:spacing w:line="360" w:lineRule="auto"/>
        <w:ind w:firstLine="600" w:firstLineChars="200"/>
        <w:jc w:val="left"/>
        <w:rPr>
          <w:rFonts w:eastAsia="仿宋_GB2312"/>
          <w:sz w:val="30"/>
          <w:szCs w:val="32"/>
          <w:u w:val="single"/>
        </w:rPr>
      </w:pPr>
      <w:r>
        <w:rPr>
          <w:rFonts w:hint="eastAsia" w:eastAsia="仿宋_GB2312"/>
          <w:sz w:val="30"/>
          <w:szCs w:val="32"/>
          <w:u w:val="single"/>
        </w:rPr>
        <w:t>6、做到进入现场的施工和作业人员统一着装，佩证上岗，文明施工；</w:t>
      </w:r>
    </w:p>
    <w:p w14:paraId="2BAE25A9">
      <w:pPr>
        <w:spacing w:line="360" w:lineRule="auto"/>
        <w:ind w:firstLine="600" w:firstLineChars="200"/>
        <w:jc w:val="left"/>
        <w:rPr>
          <w:rFonts w:eastAsia="仿宋_GB2312"/>
          <w:sz w:val="30"/>
          <w:szCs w:val="32"/>
          <w:u w:val="single"/>
        </w:rPr>
      </w:pPr>
      <w:r>
        <w:rPr>
          <w:rFonts w:hint="eastAsia" w:eastAsia="仿宋_GB2312"/>
          <w:sz w:val="30"/>
          <w:szCs w:val="32"/>
          <w:u w:val="single"/>
        </w:rPr>
        <w:t>7、承包人应配合发包方组织的安全、消防、职业健康、疫情防控等活动开展，发包人将不定期检查承包商HSE(健康、安全、环境)管理体系运行情况，承包人应安排专人配合进行，不得顶撞、殴打、谩骂检查人员，发现不符合规定的，除责令整改外，每次扣承包人违约金三千元；</w:t>
      </w:r>
    </w:p>
    <w:p w14:paraId="43848339">
      <w:pPr>
        <w:spacing w:line="360" w:lineRule="auto"/>
        <w:ind w:firstLine="600" w:firstLineChars="200"/>
        <w:jc w:val="left"/>
        <w:rPr>
          <w:rFonts w:eastAsia="仿宋_GB2312"/>
          <w:sz w:val="30"/>
          <w:szCs w:val="32"/>
          <w:u w:val="single"/>
        </w:rPr>
      </w:pPr>
      <w:r>
        <w:rPr>
          <w:rFonts w:hint="eastAsia" w:eastAsia="仿宋_GB2312"/>
          <w:sz w:val="30"/>
          <w:szCs w:val="32"/>
          <w:u w:val="single"/>
        </w:rPr>
        <w:t>8、现场施工污水排放必须达标并定点排放，造成环境污染的责任由承包人承担；</w:t>
      </w:r>
    </w:p>
    <w:p w14:paraId="2026782D">
      <w:pPr>
        <w:spacing w:line="360" w:lineRule="auto"/>
        <w:ind w:firstLine="600" w:firstLineChars="200"/>
        <w:jc w:val="left"/>
        <w:rPr>
          <w:rFonts w:eastAsia="仿宋_GB2312"/>
          <w:sz w:val="30"/>
          <w:szCs w:val="32"/>
          <w:u w:val="single"/>
        </w:rPr>
      </w:pPr>
      <w:r>
        <w:rPr>
          <w:rFonts w:hint="eastAsia" w:eastAsia="仿宋_GB2312"/>
          <w:sz w:val="30"/>
          <w:szCs w:val="32"/>
          <w:u w:val="single"/>
        </w:rPr>
        <w:t>9、</w:t>
      </w:r>
      <w:r>
        <w:rPr>
          <w:rFonts w:eastAsia="仿宋_GB2312"/>
          <w:sz w:val="30"/>
          <w:szCs w:val="32"/>
          <w:u w:val="single"/>
        </w:rPr>
        <w:t>承包人知晓并承诺遵守发包人规章制度、安全注意事项。承包人在发包人处的人身、财产安全由承包人自行负责</w:t>
      </w:r>
      <w:r>
        <w:rPr>
          <w:rFonts w:hint="eastAsia" w:eastAsia="仿宋_GB2312"/>
          <w:sz w:val="30"/>
          <w:szCs w:val="32"/>
          <w:u w:val="single"/>
        </w:rPr>
        <w:t xml:space="preserve">   </w:t>
      </w:r>
    </w:p>
    <w:p w14:paraId="1CD8299E">
      <w:pPr>
        <w:spacing w:line="360" w:lineRule="auto"/>
        <w:ind w:firstLine="600" w:firstLineChars="200"/>
        <w:jc w:val="left"/>
        <w:rPr>
          <w:rFonts w:eastAsia="仿宋_GB2312"/>
          <w:sz w:val="30"/>
          <w:szCs w:val="32"/>
          <w:u w:val="single"/>
        </w:rPr>
      </w:pPr>
      <w:r>
        <w:rPr>
          <w:rFonts w:eastAsia="仿宋_GB2312"/>
          <w:sz w:val="30"/>
          <w:szCs w:val="32"/>
          <w:u w:val="single"/>
        </w:rPr>
        <w:t>10、</w:t>
      </w:r>
      <w:r>
        <w:rPr>
          <w:rFonts w:hint="eastAsia" w:eastAsia="仿宋_GB2312"/>
          <w:sz w:val="30"/>
          <w:szCs w:val="32"/>
          <w:u w:val="single"/>
        </w:rPr>
        <w:t>承包人应参加发包人组织的入场安全培训，监督入场人员遵守培训规定，经考核合格后方可入场。承包人应建立项目安全培训制度，确保入场人员意识和技能符合岗位需要；</w:t>
      </w:r>
    </w:p>
    <w:p w14:paraId="23FDE6F7">
      <w:pPr>
        <w:spacing w:line="360" w:lineRule="auto"/>
        <w:ind w:firstLine="600" w:firstLineChars="200"/>
        <w:jc w:val="left"/>
        <w:rPr>
          <w:rFonts w:eastAsia="仿宋_GB2312"/>
          <w:sz w:val="30"/>
          <w:szCs w:val="32"/>
          <w:u w:val="single"/>
        </w:rPr>
      </w:pPr>
      <w:r>
        <w:rPr>
          <w:rFonts w:eastAsia="仿宋_GB2312"/>
          <w:sz w:val="30"/>
          <w:szCs w:val="32"/>
          <w:u w:val="single"/>
        </w:rPr>
        <w:t>11、</w:t>
      </w:r>
      <w:r>
        <w:rPr>
          <w:rFonts w:hint="eastAsia" w:eastAsia="仿宋_GB2312"/>
          <w:sz w:val="30"/>
          <w:szCs w:val="32"/>
          <w:u w:val="single"/>
        </w:rPr>
        <w:t>承包人应建立对责任范围内的治安保卫制度，确保自身财产安全，施工期间，发包人对承包人的财产遗失、损毁不承担责任。应遵守发包人的治安管理制度，发现有违规行为的按照附件相关条款承担违约责任。 与其余承包商在同一区域内作业时应签订《交叉作业协议》；</w:t>
      </w:r>
    </w:p>
    <w:p w14:paraId="142B9339">
      <w:pPr>
        <w:spacing w:line="360" w:lineRule="auto"/>
        <w:ind w:firstLine="600" w:firstLineChars="200"/>
        <w:jc w:val="left"/>
        <w:rPr>
          <w:rFonts w:eastAsia="仿宋_GB2312"/>
          <w:sz w:val="30"/>
          <w:szCs w:val="32"/>
          <w:u w:val="single"/>
        </w:rPr>
      </w:pPr>
      <w:r>
        <w:rPr>
          <w:rFonts w:eastAsia="仿宋_GB2312"/>
          <w:sz w:val="30"/>
          <w:szCs w:val="32"/>
          <w:u w:val="single"/>
        </w:rPr>
        <w:t>12、</w:t>
      </w:r>
      <w:r>
        <w:rPr>
          <w:rFonts w:hint="eastAsia" w:eastAsia="仿宋_GB2312"/>
          <w:sz w:val="30"/>
          <w:szCs w:val="32"/>
          <w:u w:val="single"/>
        </w:rPr>
        <w:t>承包人在场内发生的安全、消防、环保事故，应在知道情况后30分钟内如实报送到发包方代表处，并立即开展事故救援和处置</w:t>
      </w:r>
      <w:r>
        <w:rPr>
          <w:rFonts w:eastAsia="仿宋_GB2312"/>
          <w:sz w:val="30"/>
          <w:szCs w:val="32"/>
          <w:u w:val="single"/>
        </w:rPr>
        <w:t>；</w:t>
      </w:r>
    </w:p>
    <w:p w14:paraId="0E396CCD">
      <w:pPr>
        <w:spacing w:line="360" w:lineRule="auto"/>
        <w:ind w:firstLine="600" w:firstLineChars="200"/>
        <w:jc w:val="left"/>
        <w:rPr>
          <w:rFonts w:eastAsia="仿宋_GB2312"/>
          <w:sz w:val="30"/>
          <w:szCs w:val="32"/>
          <w:highlight w:val="yellow"/>
          <w:u w:val="single"/>
        </w:rPr>
      </w:pPr>
      <w:r>
        <w:rPr>
          <w:rFonts w:hint="eastAsia" w:eastAsia="仿宋_GB2312"/>
          <w:sz w:val="30"/>
          <w:szCs w:val="32"/>
          <w:highlight w:val="yellow"/>
          <w:u w:val="single"/>
        </w:rPr>
        <w:t>13、本工程施工过程中产生的建筑垃圾，承包人必须运送至经行政主管部门核准的合法消纳场（渣场） 进行倾倒，严禁擅自倾倒、抛撒或者堆放，严禁将建筑垃圾交由无资质单位或个人处置。若发现承包人存在未合法倾倒建筑垃圾行为，发包人将按每次处以50000元的罚款，罚款将从当期工程进度款中直接扣除。累计发生2次违规行为或单次违规造成恶劣影响的，发包人有权暂停支付工程进度款，直至承包人完成整改并提供合法证明为止；情节严重的，可以解除合同；</w:t>
      </w:r>
    </w:p>
    <w:p w14:paraId="0DC5B96A">
      <w:pPr>
        <w:spacing w:line="360" w:lineRule="auto"/>
        <w:ind w:firstLine="600" w:firstLineChars="200"/>
        <w:jc w:val="left"/>
        <w:rPr>
          <w:rFonts w:eastAsia="仿宋_GB2312"/>
          <w:sz w:val="30"/>
          <w:szCs w:val="32"/>
          <w:highlight w:val="yellow"/>
          <w:u w:val="single"/>
        </w:rPr>
      </w:pPr>
      <w:r>
        <w:rPr>
          <w:rFonts w:hint="eastAsia" w:eastAsia="仿宋_GB2312"/>
          <w:sz w:val="30"/>
          <w:szCs w:val="32"/>
          <w:highlight w:val="yellow"/>
          <w:u w:val="single"/>
        </w:rPr>
        <w:t>14、因承包人未合法倾倒建筑垃圾导致的一切损失及责任，均由承包人独立承担，包括但不限于：</w:t>
      </w:r>
    </w:p>
    <w:p w14:paraId="3AE42A12">
      <w:pPr>
        <w:spacing w:line="360" w:lineRule="auto"/>
        <w:ind w:firstLine="600" w:firstLineChars="200"/>
        <w:jc w:val="left"/>
        <w:rPr>
          <w:rFonts w:eastAsia="仿宋_GB2312"/>
          <w:sz w:val="30"/>
          <w:szCs w:val="32"/>
          <w:highlight w:val="yellow"/>
          <w:u w:val="single"/>
        </w:rPr>
      </w:pPr>
      <w:r>
        <w:rPr>
          <w:rFonts w:hint="eastAsia" w:eastAsia="仿宋_GB2312"/>
          <w:sz w:val="30"/>
          <w:szCs w:val="32"/>
          <w:highlight w:val="yellow"/>
          <w:u w:val="single"/>
        </w:rPr>
        <w:t>（1）.行政主管部门对发包人及承包人的罚款、滞纳金；</w:t>
      </w:r>
    </w:p>
    <w:p w14:paraId="3B841436">
      <w:pPr>
        <w:spacing w:line="360" w:lineRule="auto"/>
        <w:ind w:firstLine="600" w:firstLineChars="200"/>
        <w:jc w:val="left"/>
        <w:rPr>
          <w:rFonts w:eastAsia="仿宋_GB2312"/>
          <w:sz w:val="30"/>
          <w:szCs w:val="32"/>
          <w:highlight w:val="yellow"/>
          <w:u w:val="single"/>
        </w:rPr>
      </w:pPr>
      <w:r>
        <w:rPr>
          <w:rFonts w:hint="eastAsia" w:eastAsia="仿宋_GB2312"/>
          <w:sz w:val="30"/>
          <w:szCs w:val="32"/>
          <w:highlight w:val="yellow"/>
          <w:u w:val="single"/>
        </w:rPr>
        <w:t>（2）.因违规倾倒造成的环境污染、第三方财产损失或人身损害的赔偿款；</w:t>
      </w:r>
    </w:p>
    <w:p w14:paraId="46EF151A">
      <w:pPr>
        <w:spacing w:line="360" w:lineRule="auto"/>
        <w:ind w:firstLine="600" w:firstLineChars="200"/>
        <w:jc w:val="left"/>
        <w:rPr>
          <w:rFonts w:eastAsia="仿宋_GB2312"/>
          <w:sz w:val="30"/>
          <w:szCs w:val="32"/>
          <w:highlight w:val="yellow"/>
          <w:u w:val="single"/>
        </w:rPr>
      </w:pPr>
      <w:r>
        <w:rPr>
          <w:rFonts w:hint="eastAsia" w:eastAsia="仿宋_GB2312"/>
          <w:sz w:val="30"/>
          <w:szCs w:val="32"/>
          <w:highlight w:val="yellow"/>
          <w:u w:val="single"/>
        </w:rPr>
        <w:t>（3）.发包人因处理违规事宜支出的律师费、诉讼费、鉴定费等维权费用；</w:t>
      </w:r>
    </w:p>
    <w:p w14:paraId="73E96FE4">
      <w:pPr>
        <w:spacing w:line="360" w:lineRule="auto"/>
        <w:ind w:firstLine="600" w:firstLineChars="200"/>
        <w:jc w:val="left"/>
        <w:rPr>
          <w:rFonts w:eastAsia="仿宋_GB2312"/>
          <w:sz w:val="30"/>
          <w:szCs w:val="32"/>
          <w:highlight w:val="yellow"/>
          <w:u w:val="single"/>
        </w:rPr>
      </w:pPr>
      <w:r>
        <w:rPr>
          <w:rFonts w:hint="eastAsia" w:eastAsia="仿宋_GB2312"/>
          <w:sz w:val="30"/>
          <w:szCs w:val="32"/>
          <w:highlight w:val="yellow"/>
          <w:u w:val="single"/>
        </w:rPr>
        <w:t>（4）.其他因承包人未合法倾倒建筑垃圾导致的一切费用。</w:t>
      </w:r>
    </w:p>
    <w:p w14:paraId="67D99D23">
      <w:pPr>
        <w:spacing w:line="360" w:lineRule="auto"/>
        <w:ind w:firstLine="600" w:firstLineChars="200"/>
        <w:jc w:val="left"/>
        <w:rPr>
          <w:rFonts w:eastAsia="仿宋_GB2312"/>
          <w:sz w:val="30"/>
          <w:szCs w:val="32"/>
          <w:u w:val="single"/>
        </w:rPr>
      </w:pPr>
      <w:r>
        <w:rPr>
          <w:rFonts w:eastAsia="仿宋_GB2312"/>
          <w:sz w:val="30"/>
          <w:szCs w:val="32"/>
          <w:u w:val="single"/>
        </w:rPr>
        <w:t>1</w:t>
      </w:r>
      <w:r>
        <w:rPr>
          <w:rFonts w:hint="eastAsia" w:eastAsia="仿宋_GB2312"/>
          <w:sz w:val="30"/>
          <w:szCs w:val="32"/>
          <w:u w:val="single"/>
        </w:rPr>
        <w:t>5</w:t>
      </w:r>
      <w:r>
        <w:rPr>
          <w:rFonts w:eastAsia="仿宋_GB2312"/>
          <w:sz w:val="30"/>
          <w:szCs w:val="32"/>
          <w:u w:val="single"/>
        </w:rPr>
        <w:t>、</w:t>
      </w:r>
      <w:r>
        <w:rPr>
          <w:rFonts w:hint="eastAsia" w:eastAsia="仿宋_GB2312"/>
          <w:sz w:val="30"/>
          <w:szCs w:val="32"/>
          <w:u w:val="single"/>
        </w:rPr>
        <w:t>安全文明施工的相应条款及违约处理见本合同附件《安全环保协议》</w:t>
      </w:r>
      <w:r>
        <w:rPr>
          <w:rFonts w:eastAsia="仿宋_GB2312"/>
          <w:sz w:val="30"/>
          <w:szCs w:val="32"/>
          <w:u w:val="single"/>
        </w:rPr>
        <w:t>。</w:t>
      </w:r>
    </w:p>
    <w:p w14:paraId="4F9F0162">
      <w:pPr>
        <w:spacing w:line="360" w:lineRule="auto"/>
        <w:ind w:firstLine="600" w:firstLineChars="200"/>
        <w:jc w:val="left"/>
        <w:rPr>
          <w:rFonts w:eastAsia="仿宋_GB2312"/>
          <w:sz w:val="30"/>
          <w:szCs w:val="32"/>
          <w:u w:val="single"/>
        </w:rPr>
      </w:pPr>
      <w:r>
        <w:rPr>
          <w:rFonts w:eastAsia="仿宋_GB2312"/>
          <w:sz w:val="30"/>
          <w:szCs w:val="32"/>
        </w:rPr>
        <w:t>6.1.4 关于治安保卫的特别约定：</w:t>
      </w:r>
      <w:r>
        <w:rPr>
          <w:rFonts w:eastAsia="仿宋_GB2312"/>
          <w:sz w:val="30"/>
          <w:szCs w:val="32"/>
          <w:u w:val="single"/>
        </w:rPr>
        <w:t xml:space="preserve">  </w:t>
      </w:r>
      <w:r>
        <w:rPr>
          <w:rFonts w:hint="eastAsia" w:eastAsia="仿宋_GB2312"/>
          <w:sz w:val="30"/>
          <w:szCs w:val="32"/>
          <w:u w:val="single"/>
        </w:rPr>
        <w:t>现场治安管理机构或联防组织的组建由承包人负责</w:t>
      </w:r>
      <w:r>
        <w:rPr>
          <w:rFonts w:eastAsia="仿宋_GB2312"/>
          <w:sz w:val="30"/>
          <w:szCs w:val="32"/>
          <w:u w:val="single"/>
        </w:rPr>
        <w:t xml:space="preserve">  </w:t>
      </w:r>
      <w:r>
        <w:rPr>
          <w:rFonts w:eastAsia="仿宋_GB2312"/>
          <w:sz w:val="30"/>
          <w:szCs w:val="32"/>
        </w:rPr>
        <w:t>。</w:t>
      </w:r>
    </w:p>
    <w:p w14:paraId="25F00821">
      <w:pPr>
        <w:spacing w:line="360" w:lineRule="auto"/>
        <w:ind w:firstLine="600" w:firstLineChars="200"/>
        <w:jc w:val="left"/>
        <w:rPr>
          <w:rFonts w:eastAsia="仿宋_GB2312"/>
          <w:sz w:val="30"/>
          <w:szCs w:val="32"/>
        </w:rPr>
      </w:pPr>
      <w:r>
        <w:rPr>
          <w:rFonts w:eastAsia="仿宋_GB2312"/>
          <w:sz w:val="30"/>
          <w:szCs w:val="32"/>
        </w:rPr>
        <w:t>关于编制施工场地治安管理计划的约定：</w:t>
      </w:r>
      <w:r>
        <w:rPr>
          <w:rFonts w:hint="eastAsia" w:eastAsia="仿宋_GB2312"/>
          <w:sz w:val="30"/>
          <w:szCs w:val="32"/>
          <w:u w:val="single"/>
        </w:rPr>
        <w:t>由承包人编制，并由承包人承担施工安全保卫工作及非夜间施工照明安全保卫工作</w:t>
      </w:r>
      <w:r>
        <w:rPr>
          <w:rFonts w:eastAsia="仿宋_GB2312"/>
          <w:sz w:val="30"/>
          <w:szCs w:val="32"/>
          <w:u w:val="single"/>
        </w:rPr>
        <w:t xml:space="preserve">   </w:t>
      </w:r>
      <w:r>
        <w:rPr>
          <w:rFonts w:eastAsia="仿宋_GB2312"/>
          <w:sz w:val="30"/>
          <w:szCs w:val="32"/>
        </w:rPr>
        <w:t>。</w:t>
      </w:r>
    </w:p>
    <w:p w14:paraId="464B436D">
      <w:pPr>
        <w:spacing w:line="360" w:lineRule="auto"/>
        <w:ind w:firstLine="600" w:firstLineChars="200"/>
        <w:jc w:val="left"/>
        <w:rPr>
          <w:rFonts w:eastAsia="仿宋_GB2312"/>
          <w:sz w:val="30"/>
          <w:szCs w:val="32"/>
        </w:rPr>
      </w:pPr>
      <w:r>
        <w:rPr>
          <w:rFonts w:hint="eastAsia" w:eastAsia="仿宋_GB2312"/>
          <w:sz w:val="30"/>
          <w:szCs w:val="32"/>
        </w:rPr>
        <w:t>6.1.5 文明施工</w:t>
      </w:r>
    </w:p>
    <w:p w14:paraId="35132924">
      <w:pPr>
        <w:ind w:firstLine="576" w:firstLineChars="192"/>
        <w:rPr>
          <w:rFonts w:eastAsia="仿宋_GB2312"/>
          <w:sz w:val="30"/>
          <w:szCs w:val="32"/>
          <w:u w:val="single"/>
        </w:rPr>
      </w:pPr>
      <w:r>
        <w:rPr>
          <w:rFonts w:hint="eastAsia" w:eastAsia="仿宋_GB2312"/>
          <w:sz w:val="30"/>
          <w:szCs w:val="32"/>
        </w:rPr>
        <w:t>合同当事人对文明施工的要求：</w:t>
      </w:r>
    </w:p>
    <w:p w14:paraId="088633A1">
      <w:pPr>
        <w:numPr>
          <w:ilvl w:val="0"/>
          <w:numId w:val="8"/>
        </w:numPr>
        <w:ind w:firstLine="576" w:firstLineChars="192"/>
        <w:rPr>
          <w:rFonts w:eastAsia="仿宋_GB2312"/>
          <w:sz w:val="30"/>
          <w:szCs w:val="32"/>
          <w:u w:val="single"/>
        </w:rPr>
      </w:pPr>
      <w:r>
        <w:rPr>
          <w:rFonts w:hint="eastAsia" w:eastAsia="仿宋_GB2312"/>
          <w:sz w:val="30"/>
          <w:szCs w:val="32"/>
          <w:u w:val="single"/>
        </w:rPr>
        <w:t>工程施工现场必须设置施工围挡,承包人应在施工现场周边设置不低于2米的封闭围挡，施工围挡应当采用彩钢硬质材料制作，并且统一、牢固、整洁、美观，不得无施工围挡作业。在转弯及十字路口的施工围挡应满足交通的通视要求。</w:t>
      </w:r>
    </w:p>
    <w:p w14:paraId="7D55C55D">
      <w:pPr>
        <w:numPr>
          <w:ilvl w:val="0"/>
          <w:numId w:val="8"/>
        </w:numPr>
        <w:ind w:firstLine="576" w:firstLineChars="192"/>
        <w:rPr>
          <w:rFonts w:eastAsia="仿宋_GB2312"/>
          <w:sz w:val="30"/>
          <w:szCs w:val="32"/>
          <w:u w:val="single"/>
        </w:rPr>
      </w:pPr>
      <w:r>
        <w:rPr>
          <w:rFonts w:hint="eastAsia" w:eastAsia="仿宋_GB2312"/>
          <w:sz w:val="30"/>
          <w:szCs w:val="32"/>
          <w:u w:val="single"/>
        </w:rPr>
        <w:t>承包人应在施工现场主要出入口或起止点、主要施工活动点设置门头标志。出入口宽度一般不超过5米，地面实行硬覆盖，硬覆盖宽度与出入口一致。</w:t>
      </w:r>
    </w:p>
    <w:p w14:paraId="6C7303B6">
      <w:pPr>
        <w:numPr>
          <w:ilvl w:val="0"/>
          <w:numId w:val="8"/>
        </w:numPr>
        <w:ind w:firstLine="576" w:firstLineChars="192"/>
        <w:rPr>
          <w:rFonts w:eastAsia="仿宋_GB2312"/>
          <w:sz w:val="30"/>
          <w:szCs w:val="32"/>
          <w:u w:val="single"/>
        </w:rPr>
      </w:pPr>
      <w:r>
        <w:rPr>
          <w:rFonts w:hint="eastAsia" w:eastAsia="仿宋_GB2312"/>
          <w:sz w:val="30"/>
          <w:szCs w:val="32"/>
          <w:u w:val="single"/>
        </w:rPr>
        <w:t>施工单位必须在施工现场主要施工活动点设置“六牌一图”。具体包括工程概况牌、管理人员名单及监督电话牌、消防保卫牌、安全生产牌、文明施工牌、安全生产重点防护内容牌及施工现场总平面图。</w:t>
      </w:r>
    </w:p>
    <w:p w14:paraId="506B991E">
      <w:pPr>
        <w:numPr>
          <w:ilvl w:val="0"/>
          <w:numId w:val="8"/>
        </w:numPr>
        <w:ind w:firstLine="576" w:firstLineChars="192"/>
        <w:rPr>
          <w:rFonts w:eastAsia="仿宋_GB2312"/>
          <w:sz w:val="30"/>
          <w:szCs w:val="32"/>
          <w:u w:val="single"/>
        </w:rPr>
      </w:pPr>
      <w:r>
        <w:rPr>
          <w:rFonts w:hint="eastAsia" w:eastAsia="仿宋_GB2312"/>
          <w:sz w:val="30"/>
          <w:szCs w:val="32"/>
          <w:u w:val="single"/>
        </w:rPr>
        <w:t>施工现场办公室、食堂、厕所、浴室以及其它临时建筑应符合安全、消防、卫生的有关规定；禁止用钢管、三合板、毛竹等搭设简易工棚。生活垃圾应集中存放，按时清理，不得混入渣土或建筑垃圾。</w:t>
      </w:r>
    </w:p>
    <w:p w14:paraId="277521DE">
      <w:pPr>
        <w:numPr>
          <w:ilvl w:val="0"/>
          <w:numId w:val="8"/>
        </w:numPr>
        <w:ind w:firstLine="576" w:firstLineChars="192"/>
        <w:rPr>
          <w:rFonts w:eastAsia="仿宋_GB2312"/>
          <w:sz w:val="30"/>
          <w:szCs w:val="32"/>
          <w:u w:val="single"/>
        </w:rPr>
      </w:pPr>
      <w:r>
        <w:rPr>
          <w:rFonts w:hint="eastAsia" w:eastAsia="仿宋_GB2312"/>
          <w:sz w:val="30"/>
          <w:szCs w:val="32"/>
          <w:u w:val="single"/>
        </w:rPr>
        <w:t xml:space="preserve">工程施工应尽量减少对周边环境的影响。施工现场应做到：①采取防止扬尘的措施，地面局部清扫时应采用洒水作业，在风速六级及以上天气时，承包人不得进行土方回填及土方施工作业；施工机械车辆进场前，应做好清洁、保养和维护工作。进出车辆应有专人打扫、清洗。有密封要求的按规定必须达到；施工临时排水应确保施工场地和周边无积水，并采取措施确保不向路面和通道排放；施工现场应设置排水沟、沉淀池，施工污水经沉淀后方可排入市政污水管网或河流。②按照现行国家标准《建筑施工场界噪声限值及其测量方法》(GB 12523-12524)制定降噪措施。在规定的作业时间和范围内，合理安排作业内容，使用低噪声的施工机械设备，采用隔音措施，使施工产生的噪声符合上述国家标准要求。确需夜间施工的，须经有关管理部门批准。  </w:t>
      </w:r>
    </w:p>
    <w:p w14:paraId="39DB64D6">
      <w:pPr>
        <w:numPr>
          <w:ilvl w:val="0"/>
          <w:numId w:val="8"/>
        </w:numPr>
        <w:ind w:firstLine="576" w:firstLineChars="192"/>
        <w:rPr>
          <w:rFonts w:eastAsia="仿宋_GB2312"/>
          <w:sz w:val="30"/>
          <w:szCs w:val="32"/>
          <w:u w:val="single"/>
        </w:rPr>
      </w:pPr>
      <w:r>
        <w:rPr>
          <w:rFonts w:hint="eastAsia" w:eastAsia="仿宋_GB2312"/>
          <w:sz w:val="30"/>
          <w:szCs w:val="32"/>
          <w:u w:val="single"/>
        </w:rPr>
        <w:t>施工范围内的沟井坎坑及孔洞，必须设置防护栏杆和安全警示标志，夜间必须红灯示警。</w:t>
      </w:r>
    </w:p>
    <w:p w14:paraId="7B911748">
      <w:pPr>
        <w:numPr>
          <w:ilvl w:val="0"/>
          <w:numId w:val="8"/>
        </w:numPr>
        <w:ind w:firstLine="576" w:firstLineChars="192"/>
        <w:rPr>
          <w:rFonts w:eastAsia="仿宋_GB2312"/>
          <w:sz w:val="30"/>
          <w:szCs w:val="32"/>
          <w:u w:val="single"/>
        </w:rPr>
      </w:pPr>
      <w:r>
        <w:rPr>
          <w:rFonts w:hint="eastAsia" w:eastAsia="仿宋_GB2312"/>
          <w:sz w:val="30"/>
          <w:szCs w:val="32"/>
          <w:u w:val="single"/>
        </w:rPr>
        <w:t xml:space="preserve">施工现场内建筑材料、构件、料具应按总平面布局堆放，材料应悬挂名称、品种规格等内容标牌，并堆放整齐 </w:t>
      </w:r>
      <w:r>
        <w:rPr>
          <w:rFonts w:hint="eastAsia" w:eastAsia="仿宋_GB2312"/>
          <w:sz w:val="30"/>
          <w:szCs w:val="32"/>
        </w:rPr>
        <w:t>。</w:t>
      </w:r>
    </w:p>
    <w:bookmarkEnd w:id="199"/>
    <w:bookmarkEnd w:id="200"/>
    <w:bookmarkEnd w:id="201"/>
    <w:bookmarkEnd w:id="202"/>
    <w:bookmarkEnd w:id="203"/>
    <w:bookmarkEnd w:id="204"/>
    <w:bookmarkEnd w:id="205"/>
    <w:p w14:paraId="6F604E6F">
      <w:pPr>
        <w:pStyle w:val="5"/>
        <w:spacing w:before="120" w:after="120" w:line="360" w:lineRule="auto"/>
        <w:rPr>
          <w:rFonts w:ascii="Times New Roman" w:hAnsi="Times New Roman" w:eastAsia="黑体"/>
          <w:b w:val="0"/>
          <w:color w:val="000000"/>
          <w:sz w:val="32"/>
          <w:szCs w:val="32"/>
        </w:rPr>
      </w:pPr>
      <w:bookmarkStart w:id="207" w:name="_Toc351203639"/>
      <w:r>
        <w:rPr>
          <w:rFonts w:ascii="Times New Roman" w:hAnsi="Times New Roman" w:eastAsia="黑体"/>
          <w:b w:val="0"/>
          <w:color w:val="000000"/>
          <w:sz w:val="32"/>
          <w:szCs w:val="32"/>
        </w:rPr>
        <w:t>7. 工期和进度</w:t>
      </w:r>
      <w:bookmarkEnd w:id="207"/>
    </w:p>
    <w:p w14:paraId="0ED4D5CD">
      <w:pPr>
        <w:spacing w:after="120" w:line="360" w:lineRule="auto"/>
        <w:ind w:firstLine="600" w:firstLineChars="200"/>
        <w:rPr>
          <w:rFonts w:eastAsia="黑体"/>
          <w:color w:val="000000"/>
          <w:sz w:val="30"/>
          <w:szCs w:val="32"/>
        </w:rPr>
      </w:pPr>
      <w:r>
        <w:rPr>
          <w:rFonts w:eastAsia="黑体"/>
          <w:color w:val="000000"/>
          <w:sz w:val="30"/>
          <w:szCs w:val="32"/>
        </w:rPr>
        <w:t>7.1 施工组织设计</w:t>
      </w:r>
    </w:p>
    <w:p w14:paraId="266B8F2B">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sz w:val="30"/>
          <w:szCs w:val="32"/>
        </w:rPr>
        <w:t>7.1.2</w:t>
      </w:r>
      <w:r>
        <w:rPr>
          <w:rFonts w:eastAsia="仿宋_GB2312"/>
          <w:color w:val="000000"/>
          <w:sz w:val="30"/>
          <w:szCs w:val="32"/>
        </w:rPr>
        <w:t xml:space="preserve"> </w:t>
      </w:r>
      <w:r>
        <w:rPr>
          <w:rFonts w:eastAsia="仿宋_GB2312"/>
          <w:color w:val="000000"/>
          <w:kern w:val="0"/>
          <w:sz w:val="30"/>
          <w:szCs w:val="32"/>
        </w:rPr>
        <w:t>施工组织设计的提交和修改</w:t>
      </w:r>
    </w:p>
    <w:p w14:paraId="7B70C82F">
      <w:pPr>
        <w:autoSpaceDE w:val="0"/>
        <w:autoSpaceDN w:val="0"/>
        <w:adjustRightInd w:val="0"/>
        <w:spacing w:line="360" w:lineRule="auto"/>
        <w:jc w:val="left"/>
        <w:rPr>
          <w:rFonts w:eastAsia="仿宋_GB2312"/>
          <w:sz w:val="30"/>
          <w:szCs w:val="32"/>
        </w:rPr>
      </w:pPr>
      <w:r>
        <w:rPr>
          <w:rFonts w:eastAsia="仿宋_GB2312"/>
          <w:color w:val="000000"/>
          <w:kern w:val="0"/>
          <w:sz w:val="30"/>
          <w:szCs w:val="32"/>
        </w:rPr>
        <w:t>承包人提交详细施工组织设计的期限的约定：</w:t>
      </w:r>
      <w:r>
        <w:rPr>
          <w:rFonts w:eastAsia="仿宋_GB2312"/>
          <w:sz w:val="30"/>
          <w:szCs w:val="32"/>
          <w:u w:val="single"/>
        </w:rPr>
        <w:t xml:space="preserve"> </w:t>
      </w:r>
      <w:r>
        <w:rPr>
          <w:rFonts w:hint="eastAsia" w:eastAsia="仿宋_GB2312"/>
          <w:sz w:val="30"/>
          <w:szCs w:val="32"/>
          <w:u w:val="single"/>
        </w:rPr>
        <w:t>开工前7天</w:t>
      </w:r>
      <w:r>
        <w:rPr>
          <w:rFonts w:eastAsia="仿宋_GB2312"/>
          <w:sz w:val="30"/>
          <w:szCs w:val="32"/>
          <w:u w:val="single"/>
        </w:rPr>
        <w:t xml:space="preserve">  </w:t>
      </w:r>
      <w:r>
        <w:rPr>
          <w:rFonts w:eastAsia="仿宋_GB2312"/>
          <w:sz w:val="30"/>
          <w:szCs w:val="32"/>
        </w:rPr>
        <w:t>。</w:t>
      </w:r>
    </w:p>
    <w:p w14:paraId="46C908E9">
      <w:pPr>
        <w:spacing w:line="360" w:lineRule="auto"/>
        <w:ind w:firstLine="600" w:firstLineChars="200"/>
        <w:jc w:val="left"/>
        <w:rPr>
          <w:rFonts w:eastAsia="仿宋_GB2312"/>
          <w:color w:val="000000"/>
          <w:sz w:val="30"/>
          <w:szCs w:val="32"/>
        </w:rPr>
      </w:pPr>
      <w:r>
        <w:rPr>
          <w:rFonts w:eastAsia="仿宋_GB2312"/>
          <w:color w:val="000000"/>
          <w:sz w:val="30"/>
          <w:szCs w:val="32"/>
        </w:rPr>
        <w:t>发包人和监理人在收到</w:t>
      </w:r>
      <w:r>
        <w:rPr>
          <w:rFonts w:hint="eastAsia" w:eastAsia="仿宋_GB2312"/>
          <w:color w:val="000000"/>
          <w:sz w:val="30"/>
          <w:szCs w:val="32"/>
        </w:rPr>
        <w:t>详细的施工组织设计</w:t>
      </w:r>
      <w:r>
        <w:rPr>
          <w:rFonts w:eastAsia="仿宋_GB2312"/>
          <w:color w:val="000000"/>
          <w:sz w:val="30"/>
          <w:szCs w:val="32"/>
        </w:rPr>
        <w:t>后确认或提出修改意见的期限：</w:t>
      </w:r>
      <w:r>
        <w:rPr>
          <w:rFonts w:eastAsia="仿宋_GB2312"/>
          <w:sz w:val="30"/>
          <w:szCs w:val="32"/>
          <w:u w:val="single"/>
        </w:rPr>
        <w:t xml:space="preserve"> 7</w:t>
      </w:r>
      <w:r>
        <w:rPr>
          <w:rFonts w:hint="eastAsia" w:eastAsia="仿宋_GB2312"/>
          <w:sz w:val="30"/>
          <w:szCs w:val="32"/>
          <w:u w:val="single"/>
        </w:rPr>
        <w:t xml:space="preserve">天 </w:t>
      </w:r>
      <w:r>
        <w:rPr>
          <w:rFonts w:eastAsia="仿宋_GB2312"/>
          <w:sz w:val="30"/>
          <w:szCs w:val="32"/>
        </w:rPr>
        <w:t>。</w:t>
      </w:r>
    </w:p>
    <w:p w14:paraId="7C4AE3BD">
      <w:pPr>
        <w:spacing w:after="120" w:line="360" w:lineRule="auto"/>
        <w:ind w:firstLine="600" w:firstLineChars="200"/>
        <w:rPr>
          <w:rFonts w:eastAsia="黑体"/>
          <w:color w:val="000000"/>
          <w:sz w:val="30"/>
          <w:szCs w:val="32"/>
        </w:rPr>
      </w:pPr>
      <w:r>
        <w:rPr>
          <w:rFonts w:eastAsia="黑体"/>
          <w:color w:val="000000"/>
          <w:sz w:val="30"/>
          <w:szCs w:val="32"/>
        </w:rPr>
        <w:t>7</w:t>
      </w:r>
      <w:bookmarkStart w:id="208" w:name="_Toc300934966"/>
      <w:bookmarkStart w:id="209" w:name="_Toc312678005"/>
      <w:bookmarkStart w:id="210" w:name="_Toc303539123"/>
      <w:bookmarkStart w:id="211" w:name="_Toc312677479"/>
      <w:bookmarkStart w:id="212" w:name="_Toc297123514"/>
      <w:bookmarkStart w:id="213" w:name="_Toc304295541"/>
      <w:bookmarkStart w:id="214" w:name="_Toc297216173"/>
      <w:r>
        <w:rPr>
          <w:rFonts w:eastAsia="黑体"/>
          <w:color w:val="000000"/>
          <w:sz w:val="30"/>
          <w:szCs w:val="32"/>
        </w:rPr>
        <w:t>.2 施工进度计划</w:t>
      </w:r>
    </w:p>
    <w:p w14:paraId="47E19ABB">
      <w:pPr>
        <w:spacing w:line="360" w:lineRule="auto"/>
        <w:ind w:firstLine="600" w:firstLineChars="200"/>
        <w:jc w:val="left"/>
        <w:rPr>
          <w:rFonts w:eastAsia="仿宋_GB2312"/>
          <w:color w:val="000000"/>
          <w:sz w:val="30"/>
          <w:szCs w:val="32"/>
        </w:rPr>
      </w:pPr>
      <w:r>
        <w:rPr>
          <w:rFonts w:eastAsia="仿宋_GB2312"/>
          <w:color w:val="000000"/>
          <w:sz w:val="30"/>
          <w:szCs w:val="32"/>
        </w:rPr>
        <w:t>7.2.2 施工进度计划的修订</w:t>
      </w:r>
    </w:p>
    <w:p w14:paraId="1CDADA9C">
      <w:pPr>
        <w:spacing w:line="360" w:lineRule="auto"/>
        <w:ind w:firstLine="600" w:firstLineChars="200"/>
        <w:jc w:val="left"/>
        <w:rPr>
          <w:rFonts w:eastAsia="仿宋_GB2312"/>
          <w:sz w:val="30"/>
          <w:szCs w:val="32"/>
        </w:rPr>
      </w:pPr>
      <w:r>
        <w:rPr>
          <w:rFonts w:eastAsia="仿宋_GB2312"/>
          <w:color w:val="000000"/>
          <w:sz w:val="30"/>
          <w:szCs w:val="32"/>
        </w:rPr>
        <w:t>发包人和监理人在收到修订的施工进度计划后确认或提出修改意见的期限：</w:t>
      </w:r>
      <w:r>
        <w:rPr>
          <w:rFonts w:eastAsia="仿宋_GB2312"/>
          <w:sz w:val="30"/>
          <w:szCs w:val="32"/>
          <w:u w:val="single"/>
        </w:rPr>
        <w:t xml:space="preserve">  7</w:t>
      </w:r>
      <w:r>
        <w:rPr>
          <w:rFonts w:hint="eastAsia" w:eastAsia="仿宋_GB2312"/>
          <w:sz w:val="30"/>
          <w:szCs w:val="32"/>
          <w:u w:val="single"/>
        </w:rPr>
        <w:t>天</w:t>
      </w:r>
      <w:r>
        <w:rPr>
          <w:rFonts w:eastAsia="仿宋_GB2312"/>
          <w:sz w:val="30"/>
          <w:szCs w:val="32"/>
          <w:u w:val="single"/>
        </w:rPr>
        <w:t xml:space="preserve"> </w:t>
      </w:r>
      <w:r>
        <w:rPr>
          <w:rFonts w:eastAsia="仿宋_GB2312"/>
          <w:sz w:val="30"/>
          <w:szCs w:val="32"/>
        </w:rPr>
        <w:t>。</w:t>
      </w:r>
    </w:p>
    <w:p w14:paraId="056047E0">
      <w:pPr>
        <w:spacing w:line="360" w:lineRule="auto"/>
        <w:ind w:firstLine="600" w:firstLineChars="200"/>
        <w:rPr>
          <w:rFonts w:ascii="宋体" w:hAnsi="宋体"/>
          <w:color w:val="000000"/>
          <w:szCs w:val="21"/>
        </w:rPr>
      </w:pPr>
      <w:r>
        <w:rPr>
          <w:rFonts w:eastAsia="仿宋_GB2312"/>
          <w:sz w:val="30"/>
          <w:szCs w:val="32"/>
        </w:rPr>
        <w:t>7.2.3</w:t>
      </w:r>
      <w:r>
        <w:rPr>
          <w:rFonts w:hint="eastAsia" w:eastAsia="仿宋_GB2312"/>
          <w:color w:val="000000"/>
          <w:sz w:val="30"/>
          <w:szCs w:val="32"/>
        </w:rPr>
        <w:t>关于进度的其他约定：</w:t>
      </w:r>
    </w:p>
    <w:p w14:paraId="347CAC09">
      <w:pPr>
        <w:spacing w:line="360" w:lineRule="auto"/>
        <w:ind w:firstLine="600" w:firstLineChars="200"/>
        <w:jc w:val="left"/>
        <w:rPr>
          <w:rFonts w:eastAsia="仿宋_GB2312"/>
          <w:sz w:val="30"/>
          <w:szCs w:val="32"/>
          <w:u w:val="single"/>
        </w:rPr>
      </w:pPr>
      <w:r>
        <w:rPr>
          <w:rFonts w:hint="eastAsia" w:eastAsia="仿宋_GB2312"/>
          <w:sz w:val="30"/>
          <w:szCs w:val="32"/>
          <w:u w:val="single"/>
        </w:rPr>
        <w:t>1、承包人应加强计划管理，严格按照发包人确认的工程进度计划组织施工，并接受发包人对工程进度的检查、监督</w:t>
      </w:r>
      <w:r>
        <w:rPr>
          <w:rFonts w:eastAsia="仿宋_GB2312"/>
          <w:sz w:val="30"/>
          <w:szCs w:val="32"/>
          <w:u w:val="single"/>
        </w:rPr>
        <w:t xml:space="preserve"> </w:t>
      </w:r>
      <w:r>
        <w:rPr>
          <w:rFonts w:hint="eastAsia" w:eastAsia="仿宋_GB2312"/>
          <w:sz w:val="30"/>
          <w:szCs w:val="32"/>
          <w:u w:val="single"/>
        </w:rPr>
        <w:t>；</w:t>
      </w:r>
    </w:p>
    <w:p w14:paraId="390B3745">
      <w:pPr>
        <w:spacing w:line="360" w:lineRule="auto"/>
        <w:ind w:firstLine="600" w:firstLineChars="200"/>
        <w:jc w:val="left"/>
        <w:rPr>
          <w:rFonts w:eastAsia="仿宋_GB2312"/>
          <w:sz w:val="30"/>
          <w:szCs w:val="32"/>
          <w:u w:val="single"/>
        </w:rPr>
      </w:pPr>
      <w:r>
        <w:rPr>
          <w:rFonts w:hint="eastAsia" w:eastAsia="仿宋_GB2312"/>
          <w:sz w:val="30"/>
          <w:szCs w:val="32"/>
          <w:u w:val="single"/>
        </w:rPr>
        <w:t>2、为便于发包人掌握和控制工期，承包人应于每月20日前向发包人填报工程的当月进度计划完成情况(未完成计划的必须说明原因)，并在此基础上更新工程进度计划、资金计划和其他工作计划。发包人在接到报告后应当予以确认或提出书面意见，承包人必须按照发包人的确认或者书面意见执行</w:t>
      </w:r>
      <w:r>
        <w:rPr>
          <w:rFonts w:eastAsia="仿宋_GB2312"/>
          <w:sz w:val="30"/>
          <w:szCs w:val="32"/>
          <w:u w:val="single"/>
        </w:rPr>
        <w:t xml:space="preserve"> </w:t>
      </w:r>
      <w:r>
        <w:rPr>
          <w:rFonts w:hint="eastAsia" w:eastAsia="仿宋_GB2312"/>
          <w:sz w:val="30"/>
          <w:szCs w:val="32"/>
          <w:u w:val="single"/>
        </w:rPr>
        <w:t>；</w:t>
      </w:r>
    </w:p>
    <w:p w14:paraId="1828A817">
      <w:pPr>
        <w:spacing w:line="360" w:lineRule="auto"/>
        <w:ind w:firstLine="600" w:firstLineChars="200"/>
        <w:jc w:val="left"/>
        <w:rPr>
          <w:rFonts w:eastAsia="仿宋_GB2312"/>
          <w:sz w:val="30"/>
          <w:szCs w:val="32"/>
          <w:u w:val="single"/>
        </w:rPr>
      </w:pPr>
      <w:r>
        <w:rPr>
          <w:rFonts w:hint="eastAsia" w:eastAsia="仿宋_GB2312"/>
          <w:sz w:val="30"/>
          <w:szCs w:val="32"/>
          <w:u w:val="single"/>
        </w:rPr>
        <w:t>3、发包人对工程进度计划的确认不免除承包人应承担的工期延误责任。</w:t>
      </w:r>
    </w:p>
    <w:p w14:paraId="7B90DD84">
      <w:pPr>
        <w:spacing w:line="360" w:lineRule="auto"/>
        <w:ind w:firstLine="600" w:firstLineChars="200"/>
        <w:jc w:val="left"/>
        <w:rPr>
          <w:rFonts w:eastAsia="仿宋_GB2312"/>
          <w:sz w:val="30"/>
          <w:szCs w:val="32"/>
          <w:u w:val="single"/>
        </w:rPr>
      </w:pPr>
      <w:r>
        <w:rPr>
          <w:rFonts w:eastAsia="仿宋_GB2312"/>
          <w:sz w:val="30"/>
          <w:szCs w:val="32"/>
          <w:u w:val="single"/>
        </w:rPr>
        <w:t>4、</w:t>
      </w:r>
      <w:r>
        <w:rPr>
          <w:rFonts w:hint="eastAsia" w:eastAsia="仿宋_GB2312"/>
          <w:sz w:val="30"/>
          <w:szCs w:val="32"/>
          <w:u w:val="single"/>
        </w:rPr>
        <w:t>工程实际进度与经工程师确认的进度计划或者更新进度计划不符时，发包人认为本工程或其中任何部分工程进度滞后而不能按预定工期完工，若其主要责任在承包人，则发包人有权要求承包人据此编制修改工程进度计划或单方面中止该施工合同，且承包人无权要求发包人支付任何附加费用。如承包人未能在工程师发布指令后3天内采取有效措施，工程进度仍然无明显改进，发包人有权解除部分或全部合同，将未完工程另行发包给其他有能力的第三方，承包人必须无条件服从，并承担合同金额10%的违约金。</w:t>
      </w:r>
    </w:p>
    <w:p w14:paraId="3ACEAA35">
      <w:pPr>
        <w:spacing w:after="120" w:line="360" w:lineRule="auto"/>
        <w:ind w:firstLine="600" w:firstLineChars="200"/>
        <w:rPr>
          <w:rFonts w:eastAsia="黑体"/>
          <w:color w:val="000000"/>
          <w:sz w:val="30"/>
          <w:szCs w:val="32"/>
        </w:rPr>
      </w:pPr>
      <w:r>
        <w:rPr>
          <w:rFonts w:eastAsia="黑体"/>
          <w:color w:val="000000"/>
          <w:sz w:val="30"/>
          <w:szCs w:val="32"/>
        </w:rPr>
        <w:t>7.3 开工</w:t>
      </w:r>
    </w:p>
    <w:p w14:paraId="06E0DA9E">
      <w:pPr>
        <w:spacing w:line="360" w:lineRule="auto"/>
        <w:ind w:firstLine="600" w:firstLineChars="200"/>
        <w:jc w:val="left"/>
        <w:rPr>
          <w:rFonts w:eastAsia="仿宋_GB2312"/>
          <w:color w:val="000000"/>
          <w:sz w:val="30"/>
          <w:szCs w:val="32"/>
        </w:rPr>
      </w:pPr>
      <w:r>
        <w:rPr>
          <w:rFonts w:eastAsia="仿宋_GB2312"/>
          <w:color w:val="000000"/>
          <w:sz w:val="30"/>
          <w:szCs w:val="32"/>
        </w:rPr>
        <w:t>7.3.2开工通知</w:t>
      </w:r>
    </w:p>
    <w:p w14:paraId="41F2C415">
      <w:pPr>
        <w:spacing w:line="360" w:lineRule="auto"/>
        <w:ind w:firstLine="600" w:firstLineChars="200"/>
        <w:jc w:val="left"/>
        <w:rPr>
          <w:rFonts w:eastAsia="仿宋_GB2312"/>
          <w:color w:val="000000"/>
          <w:sz w:val="30"/>
          <w:szCs w:val="32"/>
        </w:rPr>
      </w:pPr>
      <w:r>
        <w:rPr>
          <w:rFonts w:eastAsia="仿宋_GB2312"/>
          <w:color w:val="000000"/>
          <w:sz w:val="30"/>
          <w:szCs w:val="32"/>
        </w:rPr>
        <w:t>因发包人原因造成监理人未能在计划开工日期之日起</w:t>
      </w:r>
      <w:r>
        <w:rPr>
          <w:rFonts w:eastAsia="仿宋_GB2312"/>
          <w:sz w:val="30"/>
          <w:szCs w:val="32"/>
          <w:u w:val="single"/>
        </w:rPr>
        <w:t xml:space="preserve"> 180 </w:t>
      </w:r>
      <w:r>
        <w:rPr>
          <w:rFonts w:eastAsia="仿宋_GB2312"/>
          <w:color w:val="000000"/>
          <w:sz w:val="30"/>
          <w:szCs w:val="32"/>
        </w:rPr>
        <w:t>天内发出开工通知的，承包人有权提出价格调整要求，或者解除合同。</w:t>
      </w:r>
    </w:p>
    <w:bookmarkEnd w:id="208"/>
    <w:bookmarkEnd w:id="209"/>
    <w:bookmarkEnd w:id="210"/>
    <w:bookmarkEnd w:id="211"/>
    <w:bookmarkEnd w:id="212"/>
    <w:bookmarkEnd w:id="213"/>
    <w:bookmarkEnd w:id="214"/>
    <w:p w14:paraId="6436403C">
      <w:pPr>
        <w:spacing w:after="120" w:line="360" w:lineRule="auto"/>
        <w:ind w:firstLine="600" w:firstLineChars="200"/>
        <w:rPr>
          <w:rFonts w:eastAsia="黑体"/>
          <w:color w:val="000000"/>
          <w:sz w:val="30"/>
          <w:szCs w:val="32"/>
        </w:rPr>
      </w:pPr>
      <w:r>
        <w:rPr>
          <w:rFonts w:eastAsia="黑体"/>
          <w:color w:val="000000"/>
          <w:sz w:val="30"/>
          <w:szCs w:val="32"/>
        </w:rPr>
        <w:t>7.4 测量放线</w:t>
      </w:r>
    </w:p>
    <w:p w14:paraId="71FA3817">
      <w:pPr>
        <w:spacing w:line="360" w:lineRule="auto"/>
        <w:ind w:firstLine="600" w:firstLineChars="200"/>
        <w:jc w:val="left"/>
        <w:rPr>
          <w:rFonts w:eastAsia="仿宋_GB2312"/>
          <w:color w:val="000000"/>
          <w:sz w:val="30"/>
          <w:szCs w:val="32"/>
        </w:rPr>
      </w:pPr>
      <w:r>
        <w:rPr>
          <w:rFonts w:eastAsia="仿宋_GB2312"/>
          <w:sz w:val="30"/>
          <w:szCs w:val="32"/>
        </w:rPr>
        <w:t>7.4.3</w:t>
      </w:r>
      <w:r>
        <w:rPr>
          <w:rFonts w:hint="eastAsia" w:eastAsia="仿宋_GB2312"/>
          <w:color w:val="000000"/>
          <w:sz w:val="30"/>
          <w:szCs w:val="32"/>
        </w:rPr>
        <w:t>承包人在进场施工时应向发包人发出书面要求，要求发包人提供</w:t>
      </w:r>
      <w:r>
        <w:rPr>
          <w:rFonts w:eastAsia="仿宋_GB2312"/>
          <w:color w:val="000000"/>
          <w:sz w:val="30"/>
          <w:szCs w:val="32"/>
        </w:rPr>
        <w:t>测量基准点、基准线和水准点及其书面资料</w:t>
      </w:r>
      <w:r>
        <w:rPr>
          <w:rFonts w:hint="eastAsia" w:eastAsia="仿宋_GB2312"/>
          <w:color w:val="000000"/>
          <w:sz w:val="30"/>
          <w:szCs w:val="32"/>
        </w:rPr>
        <w:t>，承包人应进行复核，如存在错误或疏漏，应及时通知发包人</w:t>
      </w:r>
      <w:r>
        <w:rPr>
          <w:rFonts w:eastAsia="仿宋_GB2312"/>
          <w:color w:val="000000"/>
          <w:sz w:val="30"/>
          <w:szCs w:val="32"/>
        </w:rPr>
        <w:t>予以核实</w:t>
      </w:r>
      <w:r>
        <w:rPr>
          <w:rFonts w:hint="eastAsia" w:eastAsia="仿宋_GB2312"/>
          <w:color w:val="000000"/>
          <w:sz w:val="30"/>
          <w:szCs w:val="32"/>
        </w:rPr>
        <w:t>。</w:t>
      </w:r>
      <w:r>
        <w:rPr>
          <w:rFonts w:eastAsia="仿宋_GB2312"/>
          <w:color w:val="000000"/>
          <w:sz w:val="30"/>
          <w:szCs w:val="32"/>
        </w:rPr>
        <w:t>发包人应就如何处理和是否继续施工作出决定，并通知承包人。</w:t>
      </w:r>
      <w:r>
        <w:rPr>
          <w:rFonts w:hint="eastAsia" w:eastAsia="仿宋_GB2312"/>
          <w:color w:val="000000"/>
          <w:sz w:val="30"/>
          <w:szCs w:val="32"/>
        </w:rPr>
        <w:t>如承包人未向发包人发出书面要求便进行施工，由于缺少以上资料所造成的工期延误、费用损失（包括对发包人造成的直接、间接损失）由承包人承担</w:t>
      </w:r>
      <w:r>
        <w:rPr>
          <w:rFonts w:eastAsia="仿宋_GB2312"/>
          <w:color w:val="000000"/>
          <w:sz w:val="30"/>
          <w:szCs w:val="32"/>
        </w:rPr>
        <w:t>。</w:t>
      </w:r>
      <w:r>
        <w:rPr>
          <w:rFonts w:hint="eastAsia" w:eastAsia="仿宋_GB2312"/>
          <w:color w:val="000000"/>
          <w:sz w:val="30"/>
          <w:szCs w:val="32"/>
        </w:rPr>
        <w:t>如因发包人提供的上述资料错误或疏漏，而承包人未及时发现，则由此造成的损失由承包人承担。</w:t>
      </w:r>
    </w:p>
    <w:p w14:paraId="395AF0DE">
      <w:pPr>
        <w:spacing w:after="120" w:line="360" w:lineRule="auto"/>
        <w:ind w:firstLine="600" w:firstLineChars="200"/>
        <w:rPr>
          <w:rFonts w:eastAsia="黑体"/>
          <w:color w:val="000000"/>
          <w:sz w:val="30"/>
          <w:szCs w:val="32"/>
        </w:rPr>
      </w:pPr>
      <w:r>
        <w:rPr>
          <w:rFonts w:eastAsia="黑体"/>
          <w:color w:val="000000"/>
          <w:sz w:val="30"/>
          <w:szCs w:val="32"/>
        </w:rPr>
        <w:t>7</w:t>
      </w:r>
      <w:bookmarkStart w:id="215" w:name="_Toc312678010"/>
      <w:bookmarkStart w:id="216" w:name="_Toc304295546"/>
      <w:bookmarkStart w:id="217" w:name="_Toc312677484"/>
      <w:bookmarkStart w:id="218" w:name="_Toc303539125"/>
      <w:bookmarkStart w:id="219" w:name="_Toc300934968"/>
      <w:bookmarkStart w:id="220" w:name="_Toc297123516"/>
      <w:bookmarkStart w:id="221" w:name="_Toc297216175"/>
      <w:r>
        <w:rPr>
          <w:rFonts w:eastAsia="黑体"/>
          <w:color w:val="000000"/>
          <w:sz w:val="30"/>
          <w:szCs w:val="32"/>
        </w:rPr>
        <w:t>.5 工期延误</w:t>
      </w:r>
    </w:p>
    <w:bookmarkEnd w:id="215"/>
    <w:bookmarkEnd w:id="216"/>
    <w:bookmarkEnd w:id="217"/>
    <w:bookmarkEnd w:id="218"/>
    <w:bookmarkEnd w:id="219"/>
    <w:bookmarkEnd w:id="220"/>
    <w:bookmarkEnd w:id="221"/>
    <w:p w14:paraId="734DDBD7">
      <w:pPr>
        <w:spacing w:line="360" w:lineRule="auto"/>
        <w:ind w:firstLine="600" w:firstLineChars="200"/>
        <w:jc w:val="left"/>
        <w:rPr>
          <w:rFonts w:eastAsia="仿宋_GB2312"/>
          <w:color w:val="000000"/>
          <w:sz w:val="30"/>
          <w:szCs w:val="32"/>
        </w:rPr>
      </w:pPr>
      <w:r>
        <w:rPr>
          <w:rFonts w:eastAsia="仿宋_GB2312"/>
          <w:sz w:val="30"/>
          <w:szCs w:val="32"/>
        </w:rPr>
        <w:t>7.5.1</w:t>
      </w:r>
      <w:r>
        <w:rPr>
          <w:rFonts w:hint="eastAsia" w:eastAsia="仿宋_GB2312"/>
          <w:color w:val="000000"/>
          <w:sz w:val="30"/>
          <w:szCs w:val="32"/>
        </w:rPr>
        <w:t>因发包人原因导致工期延误的，工期相应顺延，但承包人不得就因此导致的管理成本、占用临时设施、周转材料、施工机械等任何成本增加的问题向发包人提出任何形式的索赔。</w:t>
      </w:r>
    </w:p>
    <w:p w14:paraId="0CE945AB">
      <w:pPr>
        <w:spacing w:line="360" w:lineRule="auto"/>
        <w:ind w:firstLine="600" w:firstLineChars="200"/>
        <w:jc w:val="left"/>
        <w:rPr>
          <w:rFonts w:eastAsia="仿宋_GB2312"/>
          <w:sz w:val="30"/>
          <w:szCs w:val="32"/>
        </w:rPr>
      </w:pPr>
      <w:r>
        <w:rPr>
          <w:rFonts w:eastAsia="仿宋_GB2312"/>
          <w:sz w:val="30"/>
          <w:szCs w:val="32"/>
        </w:rPr>
        <w:t>7</w:t>
      </w:r>
      <w:bookmarkStart w:id="222" w:name="_Toc312678012"/>
      <w:bookmarkStart w:id="223" w:name="_Toc318581169"/>
      <w:bookmarkStart w:id="224" w:name="_Toc312677486"/>
      <w:bookmarkStart w:id="225" w:name="_Toc304295548"/>
      <w:bookmarkStart w:id="226" w:name="_Toc303539127"/>
      <w:bookmarkStart w:id="227" w:name="_Toc297216177"/>
      <w:bookmarkStart w:id="228" w:name="_Toc297123518"/>
      <w:bookmarkStart w:id="229" w:name="_Toc300934970"/>
      <w:r>
        <w:rPr>
          <w:rFonts w:eastAsia="仿宋_GB2312"/>
          <w:sz w:val="30"/>
          <w:szCs w:val="32"/>
        </w:rPr>
        <w:t>.5.2 因承包人原因导致工期延误</w:t>
      </w:r>
    </w:p>
    <w:bookmarkEnd w:id="222"/>
    <w:bookmarkEnd w:id="223"/>
    <w:bookmarkEnd w:id="224"/>
    <w:p w14:paraId="2EA8A06F">
      <w:pPr>
        <w:spacing w:line="360" w:lineRule="auto"/>
        <w:ind w:firstLine="600" w:firstLineChars="200"/>
        <w:jc w:val="left"/>
        <w:rPr>
          <w:rFonts w:eastAsia="仿宋_GB2312"/>
          <w:sz w:val="30"/>
          <w:szCs w:val="32"/>
        </w:rPr>
      </w:pPr>
      <w:r>
        <w:rPr>
          <w:rFonts w:eastAsia="仿宋_GB2312"/>
          <w:sz w:val="30"/>
          <w:szCs w:val="32"/>
        </w:rPr>
        <w:t>因</w:t>
      </w:r>
      <w:bookmarkStart w:id="230" w:name="_Toc312678013"/>
      <w:bookmarkStart w:id="231" w:name="_Toc312677487"/>
      <w:bookmarkStart w:id="232" w:name="_Toc318581170"/>
      <w:r>
        <w:rPr>
          <w:rFonts w:eastAsia="仿宋_GB2312"/>
          <w:sz w:val="30"/>
          <w:szCs w:val="32"/>
        </w:rPr>
        <w:t>承包人原因造成工期延误，逾期竣工违约金的计算方法为：</w:t>
      </w:r>
      <w:bookmarkEnd w:id="225"/>
      <w:bookmarkEnd w:id="226"/>
      <w:bookmarkEnd w:id="227"/>
      <w:bookmarkEnd w:id="228"/>
      <w:bookmarkEnd w:id="229"/>
      <w:bookmarkEnd w:id="230"/>
      <w:bookmarkEnd w:id="231"/>
      <w:r>
        <w:rPr>
          <w:rFonts w:hint="eastAsia" w:eastAsia="仿宋_GB2312"/>
          <w:sz w:val="30"/>
          <w:szCs w:val="32"/>
          <w:u w:val="single"/>
        </w:rPr>
        <w:t>每日历天赔付额度为：叁万元</w:t>
      </w:r>
      <w:r>
        <w:rPr>
          <w:rFonts w:eastAsia="仿宋_GB2312"/>
          <w:sz w:val="30"/>
          <w:szCs w:val="32"/>
          <w:u w:val="single"/>
        </w:rPr>
        <w:t xml:space="preserve">  </w:t>
      </w:r>
      <w:r>
        <w:rPr>
          <w:rFonts w:hint="eastAsia" w:eastAsia="仿宋_GB2312"/>
          <w:sz w:val="30"/>
          <w:szCs w:val="32"/>
          <w:u w:val="single"/>
        </w:rPr>
        <w:t>。逾期竣工30天发包人有权单方解除合同，不承担违约责任。承包人应于发包人解除合同之日起5日内向发包人支付逾期竣工违约金。逾期支付，承包人应额外向发包人支付未付违约金金额0.5‰/天的逾期违约金直至完全支付时</w:t>
      </w:r>
      <w:r>
        <w:rPr>
          <w:rFonts w:hint="eastAsia" w:eastAsia="仿宋_GB2312"/>
          <w:sz w:val="30"/>
          <w:szCs w:val="32"/>
        </w:rPr>
        <w:t>。</w:t>
      </w:r>
    </w:p>
    <w:bookmarkEnd w:id="232"/>
    <w:p w14:paraId="0843C070">
      <w:pPr>
        <w:spacing w:after="120" w:line="360" w:lineRule="auto"/>
        <w:ind w:firstLine="600" w:firstLineChars="200"/>
        <w:rPr>
          <w:rFonts w:eastAsia="黑体"/>
          <w:color w:val="000000"/>
          <w:sz w:val="30"/>
          <w:szCs w:val="32"/>
        </w:rPr>
      </w:pPr>
      <w:r>
        <w:rPr>
          <w:rFonts w:eastAsia="黑体"/>
          <w:color w:val="000000"/>
          <w:sz w:val="30"/>
          <w:szCs w:val="32"/>
        </w:rPr>
        <w:t>7</w:t>
      </w:r>
      <w:bookmarkStart w:id="233" w:name="_Toc303539128"/>
      <w:bookmarkStart w:id="234" w:name="_Toc297216178"/>
      <w:bookmarkStart w:id="235" w:name="_Toc304295549"/>
      <w:bookmarkStart w:id="236" w:name="_Toc297123519"/>
      <w:bookmarkStart w:id="237" w:name="_Toc300934971"/>
      <w:bookmarkStart w:id="238" w:name="_Toc312678015"/>
      <w:r>
        <w:rPr>
          <w:rFonts w:eastAsia="黑体"/>
          <w:color w:val="000000"/>
          <w:sz w:val="30"/>
          <w:szCs w:val="32"/>
        </w:rPr>
        <w:t>.6 不</w:t>
      </w:r>
      <w:bookmarkEnd w:id="233"/>
      <w:bookmarkEnd w:id="234"/>
      <w:bookmarkEnd w:id="235"/>
      <w:bookmarkEnd w:id="236"/>
      <w:bookmarkEnd w:id="237"/>
      <w:bookmarkEnd w:id="238"/>
      <w:r>
        <w:rPr>
          <w:rFonts w:eastAsia="黑体"/>
          <w:color w:val="000000"/>
          <w:sz w:val="30"/>
          <w:szCs w:val="32"/>
        </w:rPr>
        <w:t>利物质条件</w:t>
      </w:r>
    </w:p>
    <w:p w14:paraId="31148387">
      <w:pPr>
        <w:spacing w:line="360" w:lineRule="auto"/>
        <w:ind w:firstLine="600" w:firstLineChars="200"/>
        <w:jc w:val="left"/>
        <w:rPr>
          <w:rFonts w:eastAsia="仿宋_GB2312"/>
          <w:sz w:val="30"/>
          <w:szCs w:val="32"/>
        </w:rPr>
      </w:pPr>
      <w:bookmarkStart w:id="239" w:name="_Toc312678016"/>
      <w:bookmarkStart w:id="240" w:name="_Toc297216179"/>
      <w:bookmarkStart w:id="241" w:name="_Toc300934972"/>
      <w:bookmarkStart w:id="242" w:name="_Toc304295550"/>
      <w:bookmarkStart w:id="243" w:name="_Toc297123520"/>
      <w:bookmarkStart w:id="244" w:name="_Toc318581172"/>
      <w:bookmarkStart w:id="245" w:name="_Toc303539129"/>
      <w:r>
        <w:rPr>
          <w:rFonts w:eastAsia="仿宋_GB2312"/>
          <w:sz w:val="30"/>
          <w:szCs w:val="32"/>
        </w:rPr>
        <w:t>不利物质条件的其他情形和有关约定：</w:t>
      </w:r>
      <w:r>
        <w:rPr>
          <w:rFonts w:hint="eastAsia" w:eastAsia="仿宋_GB2312"/>
          <w:sz w:val="30"/>
          <w:szCs w:val="32"/>
          <w:u w:val="single"/>
        </w:rPr>
        <w:t xml:space="preserve">按通用合同条款执行  </w:t>
      </w:r>
      <w:r>
        <w:rPr>
          <w:rFonts w:eastAsia="仿宋_GB2312"/>
          <w:sz w:val="30"/>
          <w:szCs w:val="32"/>
        </w:rPr>
        <w:t>。</w:t>
      </w:r>
    </w:p>
    <w:bookmarkEnd w:id="239"/>
    <w:bookmarkEnd w:id="240"/>
    <w:bookmarkEnd w:id="241"/>
    <w:bookmarkEnd w:id="242"/>
    <w:bookmarkEnd w:id="243"/>
    <w:bookmarkEnd w:id="244"/>
    <w:bookmarkEnd w:id="245"/>
    <w:p w14:paraId="159CE8D5">
      <w:pPr>
        <w:spacing w:after="120" w:line="360" w:lineRule="auto"/>
        <w:ind w:firstLine="600" w:firstLineChars="200"/>
        <w:rPr>
          <w:rFonts w:eastAsia="黑体"/>
          <w:color w:val="000000"/>
          <w:sz w:val="30"/>
          <w:szCs w:val="32"/>
        </w:rPr>
      </w:pPr>
      <w:r>
        <w:rPr>
          <w:rFonts w:eastAsia="黑体"/>
          <w:color w:val="000000"/>
          <w:sz w:val="30"/>
          <w:szCs w:val="32"/>
        </w:rPr>
        <w:t>7</w:t>
      </w:r>
      <w:bookmarkStart w:id="246" w:name="_Toc303539130"/>
      <w:bookmarkStart w:id="247" w:name="_Toc300934973"/>
      <w:bookmarkStart w:id="248" w:name="_Toc297216180"/>
      <w:bookmarkStart w:id="249" w:name="_Toc304295551"/>
      <w:bookmarkStart w:id="250" w:name="_Toc297123521"/>
      <w:bookmarkStart w:id="251" w:name="_Toc312678017"/>
      <w:r>
        <w:rPr>
          <w:rFonts w:eastAsia="黑体"/>
          <w:color w:val="000000"/>
          <w:sz w:val="30"/>
          <w:szCs w:val="32"/>
        </w:rPr>
        <w:t>.7异常恶劣的气候条件</w:t>
      </w:r>
    </w:p>
    <w:bookmarkEnd w:id="246"/>
    <w:bookmarkEnd w:id="247"/>
    <w:bookmarkEnd w:id="248"/>
    <w:bookmarkEnd w:id="249"/>
    <w:bookmarkEnd w:id="250"/>
    <w:bookmarkEnd w:id="251"/>
    <w:p w14:paraId="1E530512">
      <w:pPr>
        <w:spacing w:line="360" w:lineRule="auto"/>
        <w:ind w:firstLine="600" w:firstLineChars="200"/>
        <w:jc w:val="left"/>
        <w:rPr>
          <w:rFonts w:eastAsia="仿宋_GB2312"/>
          <w:sz w:val="30"/>
          <w:szCs w:val="32"/>
        </w:rPr>
      </w:pPr>
      <w:r>
        <w:rPr>
          <w:rFonts w:eastAsia="仿宋_GB2312"/>
          <w:sz w:val="30"/>
          <w:szCs w:val="32"/>
        </w:rPr>
        <w:t>发包人和承包人同意以下情形视为异常恶劣的气候条件：</w:t>
      </w:r>
      <w:r>
        <w:rPr>
          <w:rFonts w:hint="eastAsia" w:eastAsia="仿宋_GB2312"/>
          <w:sz w:val="30"/>
          <w:szCs w:val="32"/>
          <w:u w:val="single"/>
        </w:rPr>
        <w:t>如发生50年一遇的自然灾害(如台风、雪灾、洪水、高温)，出现异常恶劣的气候条件，发包人原则上同意承包人提出的延长工期的要求，但不支持承包人因此提出的费用索赔</w:t>
      </w:r>
      <w:r>
        <w:rPr>
          <w:rFonts w:hint="eastAsia" w:eastAsia="仿宋_GB2312"/>
          <w:sz w:val="30"/>
          <w:szCs w:val="32"/>
        </w:rPr>
        <w:t>。</w:t>
      </w:r>
    </w:p>
    <w:p w14:paraId="716CF792">
      <w:pPr>
        <w:spacing w:after="120" w:line="360" w:lineRule="auto"/>
        <w:ind w:firstLine="600" w:firstLineChars="200"/>
        <w:outlineLvl w:val="0"/>
        <w:rPr>
          <w:rFonts w:eastAsia="黑体"/>
          <w:color w:val="000000"/>
          <w:sz w:val="30"/>
          <w:szCs w:val="32"/>
        </w:rPr>
      </w:pPr>
      <w:r>
        <w:rPr>
          <w:rFonts w:eastAsia="黑体"/>
          <w:color w:val="000000"/>
          <w:sz w:val="30"/>
          <w:szCs w:val="32"/>
        </w:rPr>
        <w:t>7.9 提前竣工的奖励</w:t>
      </w:r>
    </w:p>
    <w:p w14:paraId="0457A7C0">
      <w:pPr>
        <w:spacing w:line="360" w:lineRule="auto"/>
        <w:ind w:firstLine="600" w:firstLineChars="200"/>
        <w:jc w:val="left"/>
        <w:rPr>
          <w:rFonts w:eastAsia="仿宋_GB2312"/>
          <w:sz w:val="30"/>
          <w:szCs w:val="32"/>
        </w:rPr>
      </w:pPr>
      <w:r>
        <w:rPr>
          <w:rFonts w:eastAsia="仿宋_GB2312"/>
          <w:sz w:val="30"/>
          <w:szCs w:val="32"/>
        </w:rPr>
        <w:t>7.9.2提前竣工的奖励：</w:t>
      </w:r>
      <w:r>
        <w:rPr>
          <w:rFonts w:eastAsia="仿宋_GB2312"/>
          <w:sz w:val="30"/>
          <w:szCs w:val="32"/>
          <w:u w:val="single"/>
        </w:rPr>
        <w:t xml:space="preserve">  </w:t>
      </w:r>
      <w:r>
        <w:rPr>
          <w:rFonts w:hint="eastAsia" w:eastAsia="仿宋_GB2312"/>
          <w:sz w:val="30"/>
          <w:szCs w:val="32"/>
          <w:u w:val="single"/>
        </w:rPr>
        <w:t xml:space="preserve">无 </w:t>
      </w:r>
      <w:r>
        <w:rPr>
          <w:rFonts w:eastAsia="仿宋_GB2312"/>
          <w:sz w:val="30"/>
          <w:szCs w:val="32"/>
          <w:u w:val="single"/>
        </w:rPr>
        <w:t xml:space="preserve">   </w:t>
      </w:r>
      <w:r>
        <w:rPr>
          <w:rFonts w:eastAsia="仿宋_GB2312"/>
          <w:sz w:val="30"/>
          <w:szCs w:val="32"/>
        </w:rPr>
        <w:t>。</w:t>
      </w:r>
    </w:p>
    <w:p w14:paraId="24C8214F">
      <w:pPr>
        <w:pStyle w:val="5"/>
        <w:spacing w:before="120" w:after="120" w:line="360" w:lineRule="auto"/>
        <w:rPr>
          <w:rFonts w:ascii="Times New Roman" w:hAnsi="Times New Roman" w:eastAsia="黑体"/>
          <w:b w:val="0"/>
          <w:color w:val="000000"/>
          <w:sz w:val="32"/>
          <w:szCs w:val="32"/>
        </w:rPr>
      </w:pPr>
      <w:bookmarkStart w:id="252" w:name="_Toc351203640"/>
      <w:r>
        <w:rPr>
          <w:rFonts w:ascii="Times New Roman" w:hAnsi="Times New Roman" w:eastAsia="黑体"/>
          <w:b w:val="0"/>
          <w:color w:val="000000"/>
          <w:sz w:val="32"/>
          <w:szCs w:val="32"/>
        </w:rPr>
        <w:t>8. 材料与设备</w:t>
      </w:r>
      <w:bookmarkEnd w:id="252"/>
    </w:p>
    <w:bookmarkEnd w:id="189"/>
    <w:bookmarkEnd w:id="190"/>
    <w:bookmarkEnd w:id="191"/>
    <w:bookmarkEnd w:id="192"/>
    <w:bookmarkEnd w:id="193"/>
    <w:bookmarkEnd w:id="194"/>
    <w:bookmarkEnd w:id="195"/>
    <w:bookmarkEnd w:id="196"/>
    <w:bookmarkEnd w:id="197"/>
    <w:bookmarkEnd w:id="198"/>
    <w:p w14:paraId="5FAD0450">
      <w:pPr>
        <w:spacing w:after="120" w:line="360" w:lineRule="auto"/>
        <w:ind w:firstLine="600" w:firstLineChars="200"/>
        <w:rPr>
          <w:rFonts w:eastAsia="仿宋_GB2312"/>
          <w:sz w:val="30"/>
          <w:szCs w:val="32"/>
        </w:rPr>
      </w:pPr>
      <w:r>
        <w:rPr>
          <w:rFonts w:eastAsia="黑体"/>
          <w:color w:val="000000"/>
          <w:sz w:val="30"/>
          <w:szCs w:val="32"/>
        </w:rPr>
        <w:t>8.1</w:t>
      </w:r>
      <w:r>
        <w:rPr>
          <w:rFonts w:hint="eastAsia" w:eastAsia="仿宋_GB2312"/>
          <w:sz w:val="30"/>
          <w:szCs w:val="32"/>
        </w:rPr>
        <w:t>发包人供应的材料承包人不得收取采保费 ，承包人应提前7天以书面形式向发包人提交材料供应计划，并附材料清单（须包含材料品种、规格、型号、数量等信息），书面通知必须经发包人现场代表签字方可有效。因承包人报送材料计划不及时所造成的工期延误、费用损失由承包人承担。</w:t>
      </w:r>
    </w:p>
    <w:p w14:paraId="50E6B209">
      <w:pPr>
        <w:spacing w:after="120" w:line="360" w:lineRule="auto"/>
        <w:ind w:firstLine="600" w:firstLineChars="200"/>
        <w:rPr>
          <w:rFonts w:eastAsia="仿宋_GB2312"/>
          <w:sz w:val="30"/>
          <w:szCs w:val="32"/>
        </w:rPr>
      </w:pPr>
      <w:r>
        <w:rPr>
          <w:rFonts w:eastAsia="仿宋_GB2312"/>
          <w:sz w:val="30"/>
          <w:szCs w:val="32"/>
        </w:rPr>
        <w:t>8.2</w:t>
      </w:r>
      <w:r>
        <w:rPr>
          <w:rFonts w:hint="eastAsia" w:eastAsia="仿宋_GB2312"/>
          <w:sz w:val="30"/>
          <w:szCs w:val="32"/>
        </w:rPr>
        <w:t>承包人负责采购的材料设备，在使用推荐品牌前必须报发包人同意后方可使用，原则上使用发包人推荐品牌，并在采购前十四日内将所采购材料设备的厂家、技术参数、品牌、质量等级等指标以书面形式通知发包人，发包人收到承包人的书面报告后十四日内予以确认，经发包人认质、封样后承包人方可采购进场；承包人向发包人提供的产品合格证明文件及出厂证明文件必须为原件。</w:t>
      </w:r>
    </w:p>
    <w:p w14:paraId="1C4A3140">
      <w:pPr>
        <w:spacing w:after="120" w:line="360" w:lineRule="auto"/>
        <w:ind w:firstLine="600" w:firstLineChars="200"/>
        <w:rPr>
          <w:rFonts w:eastAsia="仿宋_GB2312"/>
          <w:sz w:val="30"/>
          <w:szCs w:val="32"/>
        </w:rPr>
      </w:pPr>
      <w:r>
        <w:rPr>
          <w:rFonts w:hint="eastAsia" w:eastAsia="仿宋_GB2312"/>
          <w:sz w:val="30"/>
          <w:szCs w:val="32"/>
        </w:rPr>
        <w:t>承包人采购的钢材须属于以下品牌之一：河钢集团有限公司、山西正大制管有限公司、陕西友发钢管有限公司、陕西钢铁集团有限公司、昆明钢铁控股有限公司、河北敬业精密制管有限公司、福建宁德正上管业科技有限公司、广西北港新材料有限公司、山西晋南钢铁集团有限公司、天津钢管集团股份有限公司、山东盛阳金属科技股份有限公司、青山控股集团有限公司、浦项(张家港) 不锈钢股份有限公司、山西太钢不锈钢股份有限公司、宁波宝新不锈钢有限公司、烟台东方不锈钢工业有限公司、山东泰山钢铁集团、中国宝武钢铁集团有限公司、酒泉钢铁(集团)有限责任公司、河北新武安钢铁集团有限公司、唐山正丰钢铁有限公司、唐山钢铁集团有限责任公司、马鞍山钢铁股份有限公司、内蒙古包钢钢联股份有限公司、河北津西钢铁集团股份有限公司、广西柳州钢铁集团有限公司、涟源钢铁集团有限公司、天津方聚汇源钢管有限公司、邯郸正大制管集团股份有限公司、四川振鸿钢制品有限公司、重庆三钢钢业有限责任公司、江阴华润制钢有限公司、天津友发钢管集团股份有限公司、天津利达钢管集团有限公司、青拓集团有限公司、武钢集团有限公司、邯郸钢铁集团有限责任公司、太原钢铁(集团)有限公司、攀钢集团有限公司、江苏沙钢集团有限公司、莱芜钢铁集团有限公司、济钢集团有限公司、安阳钢铁集团有限责任公司、包头钢铁 (集团) 有限责任公司、重庆钢铁 (集团)有限责任公司、北京建龙重工集团有限公司、湖南钢铁集团有限公司、中信泰富钢铁贸易有限公司、山东钢铁集团有限公司、上海德龙钢铁集团有限公司、首钢集团有限公司、鞍山钢铁集团有限公司、河钢集团有限公司、马钢（集团）控股有限公司、本溪钢铁（集团）有限责任公司、四川省达州钢铁集团有限责任公司、成渝钒钛科技有限公司、泸州鑫阳钒钛钢铁有限公司、重庆永航钢铁集团有限公司或相当于同等档次品牌。</w:t>
      </w:r>
    </w:p>
    <w:p w14:paraId="6E53A313">
      <w:pPr>
        <w:spacing w:after="120" w:line="360" w:lineRule="auto"/>
        <w:ind w:firstLine="600" w:firstLineChars="200"/>
        <w:rPr>
          <w:rFonts w:eastAsia="仿宋_GB2312"/>
          <w:sz w:val="30"/>
          <w:szCs w:val="32"/>
        </w:rPr>
      </w:pPr>
      <w:r>
        <w:rPr>
          <w:rFonts w:hint="eastAsia" w:eastAsia="仿宋_GB2312"/>
          <w:sz w:val="30"/>
          <w:szCs w:val="32"/>
        </w:rPr>
        <w:t>承包人采购的电缆须属于以下品牌之一：昆明电缆集团股份有限公司、安徽天康(集团)股份有限公司、上海起帆电缆股份有限公司、宝胜集团有限公司、青岛汉缆股份有限公司、江苏上上电缆集团有限公司、远东电缆有限公司、上海熊猫线缆股份有限公司、东莞市民兴电缆有限公司、特变电工(德阳)电缆股份有限公司、宝胜科技创新股份有限公司、正泰集团股份有限公司、德力西集团有限公司、金龙羽集团股份有限公司、金杯电工股份有限公司、上海胜华电缆科技集团有限公司、亨通集团有限公司、山东阳谷电缆集团有限公司、无锡江南电缆有限公司、江西金一电缆有限公司、重庆三峡电缆(集团)有限公司、渝丰科技股份有限公司、四川鑫电电缆有限公司、安徽江淮电缆集团有限公司、上海沪安电缆(集团)有限公司、绿宝电缆(集团)有限公司、金杯电工(成都)有限公司、重庆泰山电缆有限公司、重庆鸽牌电线电缆有限公司或相当于同等档次品牌。</w:t>
      </w:r>
    </w:p>
    <w:p w14:paraId="5E56CD6B">
      <w:pPr>
        <w:spacing w:after="120" w:line="360" w:lineRule="auto"/>
        <w:ind w:firstLine="600" w:firstLineChars="200"/>
        <w:rPr>
          <w:rFonts w:eastAsia="仿宋_GB2312"/>
          <w:sz w:val="30"/>
          <w:szCs w:val="32"/>
        </w:rPr>
      </w:pPr>
      <w:r>
        <w:rPr>
          <w:rFonts w:hint="eastAsia" w:eastAsia="仿宋_GB2312"/>
          <w:sz w:val="30"/>
          <w:szCs w:val="32"/>
        </w:rPr>
        <w:t>承包人采购的油漆须属于以下品牌之一：重庆三峡油漆股份有限公司、郑州双塔涂料有限公司、湖南湘江涂料集团有限公司、江苏兰陵化工集团有限公司、江苏云松防腐材料有限公司、陕西宝塔山油漆股份有限公司、南方牌油漆（广东珠江化工涂料有限公司）或相当于同等档次品牌。</w:t>
      </w:r>
    </w:p>
    <w:p w14:paraId="69247404">
      <w:pPr>
        <w:spacing w:after="120" w:line="360" w:lineRule="auto"/>
        <w:ind w:firstLine="600" w:firstLineChars="200"/>
        <w:rPr>
          <w:rFonts w:eastAsia="仿宋_GB2312"/>
          <w:sz w:val="30"/>
          <w:szCs w:val="32"/>
        </w:rPr>
      </w:pPr>
      <w:r>
        <w:rPr>
          <w:rFonts w:hint="eastAsia" w:eastAsia="仿宋_GB2312"/>
          <w:sz w:val="30"/>
          <w:szCs w:val="32"/>
        </w:rPr>
        <w:t>承包人采购的碳钢或不锈钢管件法兰须属于以下品牌之一：河北洲际重工有限公司，河北广浩管件集团，河北海浩高压法兰管件集团，河北圣天管件集团有限公司、江苏武进不锈股份有限公司或相当于同等档次品牌。</w:t>
      </w:r>
    </w:p>
    <w:p w14:paraId="0A941699">
      <w:pPr>
        <w:spacing w:after="120" w:line="360" w:lineRule="auto"/>
        <w:ind w:firstLine="600" w:firstLineChars="200"/>
        <w:rPr>
          <w:rFonts w:eastAsia="仿宋_GB2312"/>
          <w:sz w:val="30"/>
          <w:szCs w:val="32"/>
        </w:rPr>
      </w:pPr>
      <w:r>
        <w:rPr>
          <w:rFonts w:hint="eastAsia" w:eastAsia="仿宋_GB2312"/>
          <w:sz w:val="30"/>
          <w:szCs w:val="32"/>
        </w:rPr>
        <w:t>如确需采购以上品牌以外的材料，须经发包人书面同意，否则相关材料不允许用于本工程，已用于本工程的限期整改，逾期未整改完毕，发包人有权单方解除合同，不承担违约责任。如发包人选择解除合同，承包人应于发包人解除合同之日起5日内向发包人支付合同金额10%的违约金，逾期支付，承包人应额外向发包人支付未付金额0.5‰/天的逾期违约金直至完全支付时。如发包人选择不解除合同，发包人有权按照本合同招标控制价中对应清单中材料单价的50%乘以对应材料的数量对承包人扣除违约金。如该材料属于另行认质核价的材料，实际用于现场的材料品牌与核价的品牌不一致，发包人有权按照核价单价的50%乘以对应材料的数量对承包人扣除违约金。</w:t>
      </w:r>
    </w:p>
    <w:p w14:paraId="2F67CD44">
      <w:pPr>
        <w:spacing w:after="120" w:line="360" w:lineRule="auto"/>
        <w:ind w:firstLine="600" w:firstLineChars="200"/>
        <w:rPr>
          <w:rFonts w:eastAsia="仿宋_GB2312"/>
          <w:sz w:val="30"/>
          <w:szCs w:val="32"/>
        </w:rPr>
      </w:pPr>
      <w:r>
        <w:rPr>
          <w:rFonts w:eastAsia="仿宋_GB2312"/>
          <w:sz w:val="30"/>
          <w:szCs w:val="32"/>
        </w:rPr>
        <w:t>8.3</w:t>
      </w:r>
      <w:r>
        <w:rPr>
          <w:rFonts w:hint="eastAsia" w:eastAsia="仿宋_GB2312"/>
          <w:sz w:val="30"/>
          <w:szCs w:val="32"/>
        </w:rPr>
        <w:t>发包人供应材料到工程所在地发包人厂区内任何地点，承包人负责材料到场后不分昼夜的随到随卸，并负责材料入库堆放整齐，卸货及材料场内转运费用由承包人承担。承包人需与发包人对甲供材移交清单共同签字确认，否则以发包人所提供材料供应商送货清单为准。甲供材移交承包人时，随材料到场的相关资料一并移交承包人，由承包人整理保管，最终作为竣工资料移交发包人，如承包人管理不善导致资料遗失或移交资料不完善，按专用条款3.1条关于逾期提交竣工资料相关违约条款执行。</w:t>
      </w:r>
    </w:p>
    <w:p w14:paraId="6B630F3A">
      <w:pPr>
        <w:spacing w:after="120" w:line="360" w:lineRule="auto"/>
        <w:ind w:firstLine="600" w:firstLineChars="200"/>
        <w:rPr>
          <w:rFonts w:eastAsia="黑体"/>
          <w:color w:val="000000"/>
          <w:sz w:val="30"/>
          <w:szCs w:val="32"/>
        </w:rPr>
      </w:pPr>
      <w:r>
        <w:rPr>
          <w:rFonts w:eastAsia="黑体"/>
          <w:color w:val="000000"/>
          <w:sz w:val="30"/>
          <w:szCs w:val="32"/>
        </w:rPr>
        <w:t>8</w:t>
      </w:r>
      <w:bookmarkStart w:id="253" w:name="_Toc280868654"/>
      <w:bookmarkStart w:id="254" w:name="_Toc297120467"/>
      <w:bookmarkStart w:id="255" w:name="_Toc312677493"/>
      <w:bookmarkStart w:id="256" w:name="_Toc297216186"/>
      <w:bookmarkStart w:id="257" w:name="_Toc296346668"/>
      <w:bookmarkStart w:id="258" w:name="_Toc292559372"/>
      <w:bookmarkStart w:id="259" w:name="_Toc296503167"/>
      <w:bookmarkStart w:id="260" w:name="_Toc304295556"/>
      <w:bookmarkStart w:id="261" w:name="_Toc300934979"/>
      <w:bookmarkStart w:id="262" w:name="_Toc303539136"/>
      <w:bookmarkStart w:id="263" w:name="_Toc296944506"/>
      <w:bookmarkStart w:id="264" w:name="_Toc296890995"/>
      <w:bookmarkStart w:id="265" w:name="_Toc292559877"/>
      <w:bookmarkStart w:id="266" w:name="_Toc297123527"/>
      <w:bookmarkStart w:id="267" w:name="_Toc296347166"/>
      <w:bookmarkStart w:id="268" w:name="_Toc312678019"/>
      <w:bookmarkStart w:id="269" w:name="_Toc297048353"/>
      <w:bookmarkStart w:id="270" w:name="_Toc296891207"/>
      <w:bookmarkStart w:id="271" w:name="_Toc280868656"/>
      <w:bookmarkStart w:id="272" w:name="_Toc280868655"/>
      <w:bookmarkStart w:id="273" w:name="_Toc267251424"/>
      <w:r>
        <w:rPr>
          <w:rFonts w:eastAsia="黑体"/>
          <w:color w:val="000000"/>
          <w:sz w:val="30"/>
          <w:szCs w:val="32"/>
        </w:rPr>
        <w:t>.4材料与工程设备的保管与使用</w:t>
      </w:r>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14:paraId="2CD91904">
      <w:pPr>
        <w:spacing w:line="360" w:lineRule="auto"/>
        <w:ind w:firstLine="600" w:firstLineChars="200"/>
        <w:jc w:val="left"/>
        <w:rPr>
          <w:rFonts w:eastAsia="仿宋_GB2312"/>
          <w:sz w:val="30"/>
          <w:szCs w:val="32"/>
        </w:rPr>
      </w:pPr>
      <w:r>
        <w:rPr>
          <w:rFonts w:eastAsia="仿宋_GB2312"/>
          <w:sz w:val="30"/>
          <w:szCs w:val="32"/>
        </w:rPr>
        <w:t>8</w:t>
      </w:r>
      <w:bookmarkStart w:id="274" w:name="_Toc292559373"/>
      <w:bookmarkStart w:id="275" w:name="_Toc292559878"/>
      <w:bookmarkStart w:id="276" w:name="_Toc297216187"/>
      <w:bookmarkStart w:id="277" w:name="_Toc303539137"/>
      <w:bookmarkStart w:id="278" w:name="_Toc312677494"/>
      <w:bookmarkStart w:id="279" w:name="_Toc296503168"/>
      <w:bookmarkStart w:id="280" w:name="_Toc297048354"/>
      <w:bookmarkStart w:id="281" w:name="_Toc296890996"/>
      <w:bookmarkStart w:id="282" w:name="_Toc296346669"/>
      <w:bookmarkStart w:id="283" w:name="_Toc297123528"/>
      <w:bookmarkStart w:id="284" w:name="_Toc300934980"/>
      <w:bookmarkStart w:id="285" w:name="_Toc296347167"/>
      <w:bookmarkStart w:id="286" w:name="_Toc318581173"/>
      <w:bookmarkStart w:id="287" w:name="_Toc312678020"/>
      <w:bookmarkStart w:id="288" w:name="_Toc297120468"/>
      <w:bookmarkStart w:id="289" w:name="_Toc296891208"/>
      <w:bookmarkStart w:id="290" w:name="_Toc296944507"/>
      <w:bookmarkStart w:id="291" w:name="_Toc304295557"/>
      <w:r>
        <w:rPr>
          <w:rFonts w:eastAsia="仿宋_GB2312"/>
          <w:sz w:val="30"/>
          <w:szCs w:val="32"/>
        </w:rPr>
        <w:t>.4.1发包人供应的材料设备的保管费用的承担：</w:t>
      </w:r>
      <w:r>
        <w:rPr>
          <w:rFonts w:hint="eastAsia" w:eastAsia="仿宋_GB2312"/>
          <w:sz w:val="30"/>
          <w:szCs w:val="32"/>
          <w:u w:val="single"/>
        </w:rPr>
        <w:t>由承包人承担</w:t>
      </w:r>
      <w:r>
        <w:rPr>
          <w:rFonts w:eastAsia="仿宋_GB2312"/>
          <w:sz w:val="30"/>
          <w:szCs w:val="32"/>
          <w:u w:val="single"/>
        </w:rPr>
        <w:t xml:space="preserve">  </w:t>
      </w:r>
      <w:r>
        <w:rPr>
          <w:rFonts w:eastAsia="仿宋_GB2312"/>
          <w:sz w:val="30"/>
          <w:szCs w:val="32"/>
        </w:rPr>
        <w:t>。</w:t>
      </w:r>
      <w:bookmarkEnd w:id="274"/>
      <w:bookmarkEnd w:id="275"/>
    </w:p>
    <w:p w14:paraId="4DE08732">
      <w:pPr>
        <w:spacing w:after="120" w:line="360" w:lineRule="auto"/>
        <w:ind w:firstLine="600" w:firstLineChars="200"/>
        <w:outlineLvl w:val="0"/>
        <w:rPr>
          <w:rFonts w:eastAsia="黑体"/>
          <w:color w:val="000000"/>
          <w:sz w:val="30"/>
          <w:szCs w:val="32"/>
        </w:rPr>
      </w:pPr>
      <w:r>
        <w:rPr>
          <w:rFonts w:eastAsia="黑体"/>
          <w:color w:val="000000"/>
          <w:sz w:val="30"/>
          <w:szCs w:val="32"/>
        </w:rPr>
        <w:t>8.8 施工设备和临时设施</w:t>
      </w:r>
    </w:p>
    <w:p w14:paraId="5A9A6DBA">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8.8.1 承包人提供的施工设备和临时设施</w:t>
      </w:r>
    </w:p>
    <w:p w14:paraId="3D05BCDB">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关于修建临时设施费用承担的约定：</w:t>
      </w:r>
      <w:r>
        <w:rPr>
          <w:rFonts w:hint="eastAsia" w:eastAsia="仿宋_GB2312"/>
          <w:sz w:val="30"/>
          <w:szCs w:val="32"/>
          <w:u w:val="single"/>
        </w:rPr>
        <w:t>由承包人承担；</w:t>
      </w:r>
      <w:r>
        <w:rPr>
          <w:rFonts w:eastAsia="仿宋_GB2312"/>
          <w:sz w:val="30"/>
          <w:szCs w:val="32"/>
          <w:u w:val="single"/>
        </w:rPr>
        <w:t>需要临时占地的，应由</w:t>
      </w:r>
      <w:r>
        <w:rPr>
          <w:rFonts w:hint="eastAsia" w:eastAsia="仿宋_GB2312"/>
          <w:sz w:val="30"/>
          <w:szCs w:val="32"/>
          <w:u w:val="single"/>
        </w:rPr>
        <w:t>承包人</w:t>
      </w:r>
      <w:r>
        <w:rPr>
          <w:rFonts w:eastAsia="仿宋_GB2312"/>
          <w:sz w:val="30"/>
          <w:szCs w:val="32"/>
          <w:u w:val="single"/>
        </w:rPr>
        <w:t xml:space="preserve">办理申请手续并承担相应费用   </w:t>
      </w:r>
      <w:r>
        <w:rPr>
          <w:rFonts w:eastAsia="仿宋_GB2312"/>
          <w:sz w:val="30"/>
          <w:szCs w:val="32"/>
        </w:rPr>
        <w:t>。</w:t>
      </w:r>
    </w:p>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14:paraId="4CFF953D">
      <w:pPr>
        <w:pStyle w:val="5"/>
        <w:spacing w:before="120" w:after="120" w:line="360" w:lineRule="auto"/>
        <w:rPr>
          <w:rFonts w:ascii="Times New Roman" w:hAnsi="Times New Roman" w:eastAsia="黑体"/>
          <w:b w:val="0"/>
          <w:color w:val="000000"/>
          <w:sz w:val="32"/>
          <w:szCs w:val="32"/>
        </w:rPr>
      </w:pPr>
      <w:bookmarkStart w:id="292" w:name="_Toc351203641"/>
      <w:r>
        <w:rPr>
          <w:rFonts w:ascii="Times New Roman" w:hAnsi="Times New Roman" w:eastAsia="黑体"/>
          <w:b w:val="0"/>
          <w:color w:val="000000"/>
          <w:sz w:val="32"/>
          <w:szCs w:val="32"/>
        </w:rPr>
        <w:t>9</w:t>
      </w:r>
      <w:bookmarkEnd w:id="271"/>
      <w:bookmarkEnd w:id="272"/>
      <w:bookmarkEnd w:id="273"/>
      <w:bookmarkStart w:id="293" w:name="_Toc312678021"/>
      <w:bookmarkStart w:id="294" w:name="_Toc300934982"/>
      <w:bookmarkStart w:id="295" w:name="_Toc304295559"/>
      <w:bookmarkStart w:id="296" w:name="_Toc297123533"/>
      <w:bookmarkStart w:id="297" w:name="_Toc303539139"/>
      <w:bookmarkStart w:id="298" w:name="_Toc312677495"/>
      <w:bookmarkStart w:id="299" w:name="_Toc297216192"/>
      <w:bookmarkStart w:id="300" w:name="_Toc296503173"/>
      <w:bookmarkStart w:id="301" w:name="_Toc296891001"/>
      <w:bookmarkStart w:id="302" w:name="_Toc296346674"/>
      <w:bookmarkStart w:id="303" w:name="_Toc296944512"/>
      <w:bookmarkStart w:id="304" w:name="_Toc297048359"/>
      <w:bookmarkStart w:id="305" w:name="_Toc267251428"/>
      <w:bookmarkStart w:id="306" w:name="_Toc297120473"/>
      <w:bookmarkStart w:id="307" w:name="_Toc267251427"/>
      <w:bookmarkStart w:id="308" w:name="_Toc292559883"/>
      <w:bookmarkStart w:id="309" w:name="_Toc296347172"/>
      <w:bookmarkStart w:id="310" w:name="_Toc292559378"/>
      <w:bookmarkStart w:id="311" w:name="_Toc296891213"/>
      <w:r>
        <w:rPr>
          <w:rFonts w:ascii="Times New Roman" w:hAnsi="Times New Roman" w:eastAsia="黑体"/>
          <w:b w:val="0"/>
          <w:color w:val="000000"/>
          <w:sz w:val="32"/>
          <w:szCs w:val="32"/>
        </w:rPr>
        <w:t>. 试验与检验</w:t>
      </w:r>
      <w:bookmarkEnd w:id="292"/>
    </w:p>
    <w:bookmarkEnd w:id="293"/>
    <w:bookmarkEnd w:id="294"/>
    <w:bookmarkEnd w:id="295"/>
    <w:bookmarkEnd w:id="296"/>
    <w:bookmarkEnd w:id="297"/>
    <w:bookmarkEnd w:id="298"/>
    <w:bookmarkEnd w:id="299"/>
    <w:p w14:paraId="4A3FE447">
      <w:pPr>
        <w:spacing w:after="120" w:line="360" w:lineRule="auto"/>
        <w:ind w:firstLine="600" w:firstLineChars="200"/>
        <w:rPr>
          <w:rFonts w:eastAsia="黑体"/>
          <w:color w:val="000000"/>
          <w:sz w:val="30"/>
          <w:szCs w:val="32"/>
        </w:rPr>
      </w:pPr>
      <w:r>
        <w:rPr>
          <w:rFonts w:eastAsia="黑体"/>
          <w:color w:val="000000"/>
          <w:sz w:val="30"/>
          <w:szCs w:val="32"/>
        </w:rPr>
        <w:t>9</w:t>
      </w:r>
      <w:bookmarkStart w:id="312" w:name="_Toc312677496"/>
      <w:bookmarkStart w:id="313" w:name="_Toc304295560"/>
      <w:bookmarkStart w:id="314" w:name="_Toc297216193"/>
      <w:bookmarkStart w:id="315" w:name="_Toc300934983"/>
      <w:bookmarkStart w:id="316" w:name="_Toc297123534"/>
      <w:bookmarkStart w:id="317" w:name="_Toc312678022"/>
      <w:bookmarkStart w:id="318" w:name="_Toc303539140"/>
      <w:r>
        <w:rPr>
          <w:rFonts w:eastAsia="黑体"/>
          <w:color w:val="000000"/>
          <w:sz w:val="30"/>
          <w:szCs w:val="32"/>
        </w:rPr>
        <w:t>.1试验设备与试验人员</w:t>
      </w:r>
    </w:p>
    <w:bookmarkEnd w:id="312"/>
    <w:bookmarkEnd w:id="313"/>
    <w:bookmarkEnd w:id="314"/>
    <w:bookmarkEnd w:id="315"/>
    <w:bookmarkEnd w:id="316"/>
    <w:bookmarkEnd w:id="317"/>
    <w:bookmarkEnd w:id="318"/>
    <w:p w14:paraId="4C32510C">
      <w:pPr>
        <w:spacing w:line="360" w:lineRule="auto"/>
        <w:ind w:firstLine="600" w:firstLineChars="200"/>
        <w:jc w:val="left"/>
        <w:rPr>
          <w:rFonts w:eastAsia="仿宋_GB2312"/>
          <w:sz w:val="30"/>
          <w:szCs w:val="32"/>
        </w:rPr>
      </w:pPr>
      <w:r>
        <w:rPr>
          <w:rFonts w:eastAsia="仿宋_GB2312"/>
          <w:sz w:val="30"/>
          <w:szCs w:val="32"/>
        </w:rPr>
        <w:t>9</w:t>
      </w:r>
      <w:bookmarkStart w:id="319" w:name="_Toc304295561"/>
      <w:bookmarkStart w:id="320" w:name="_Toc312677497"/>
      <w:bookmarkStart w:id="321" w:name="_Toc303539141"/>
      <w:bookmarkStart w:id="322" w:name="_Toc300934984"/>
      <w:bookmarkStart w:id="323" w:name="_Toc312678023"/>
      <w:bookmarkStart w:id="324" w:name="_Toc297123535"/>
      <w:bookmarkStart w:id="325" w:name="_Toc297216194"/>
      <w:bookmarkStart w:id="326" w:name="_Toc318581174"/>
      <w:r>
        <w:rPr>
          <w:rFonts w:eastAsia="仿宋_GB2312"/>
          <w:sz w:val="30"/>
          <w:szCs w:val="32"/>
        </w:rPr>
        <w:t>.1.2 试验设备</w:t>
      </w:r>
    </w:p>
    <w:p w14:paraId="12A02278">
      <w:pPr>
        <w:spacing w:line="360" w:lineRule="auto"/>
        <w:jc w:val="left"/>
        <w:rPr>
          <w:rFonts w:eastAsia="仿宋_GB2312"/>
          <w:sz w:val="30"/>
          <w:szCs w:val="32"/>
        </w:rPr>
      </w:pPr>
      <w:r>
        <w:rPr>
          <w:rFonts w:eastAsia="仿宋_GB2312"/>
          <w:sz w:val="30"/>
          <w:szCs w:val="32"/>
        </w:rPr>
        <w:t>施工现场需要配置的试验场所、</w:t>
      </w:r>
      <w:r>
        <w:rPr>
          <w:rFonts w:hint="eastAsia" w:eastAsia="仿宋_GB2312"/>
          <w:sz w:val="30"/>
          <w:szCs w:val="32"/>
        </w:rPr>
        <w:t>配备的实验设备及其他实验条件</w:t>
      </w:r>
      <w:bookmarkEnd w:id="319"/>
      <w:bookmarkEnd w:id="320"/>
      <w:bookmarkEnd w:id="321"/>
      <w:bookmarkEnd w:id="322"/>
      <w:bookmarkEnd w:id="323"/>
      <w:bookmarkEnd w:id="324"/>
      <w:bookmarkEnd w:id="325"/>
      <w:bookmarkStart w:id="327" w:name="_Toc303539142"/>
      <w:bookmarkStart w:id="328" w:name="_Toc297123536"/>
      <w:bookmarkStart w:id="329" w:name="_Toc312678024"/>
      <w:bookmarkStart w:id="330" w:name="_Toc312677498"/>
      <w:bookmarkStart w:id="331" w:name="_Toc300934985"/>
      <w:bookmarkStart w:id="332" w:name="_Toc297216195"/>
      <w:bookmarkStart w:id="333" w:name="_Toc304295562"/>
      <w:r>
        <w:rPr>
          <w:rFonts w:eastAsia="仿宋_GB2312"/>
          <w:sz w:val="30"/>
          <w:szCs w:val="32"/>
        </w:rPr>
        <w:t>：</w:t>
      </w:r>
      <w:r>
        <w:rPr>
          <w:rFonts w:hint="eastAsia" w:eastAsia="仿宋_GB2312"/>
          <w:sz w:val="30"/>
          <w:szCs w:val="32"/>
          <w:u w:val="single"/>
        </w:rPr>
        <w:t>须满足检验试验相关需求</w:t>
      </w:r>
      <w:r>
        <w:rPr>
          <w:rFonts w:eastAsia="仿宋_GB2312"/>
          <w:sz w:val="30"/>
          <w:szCs w:val="32"/>
          <w:u w:val="single"/>
        </w:rPr>
        <w:t xml:space="preserve">  </w:t>
      </w:r>
      <w:r>
        <w:rPr>
          <w:rFonts w:eastAsia="仿宋_GB2312"/>
          <w:sz w:val="30"/>
          <w:szCs w:val="32"/>
        </w:rPr>
        <w:t>。</w:t>
      </w:r>
      <w:r>
        <w:rPr>
          <w:rFonts w:hint="eastAsia" w:eastAsia="仿宋_GB2312"/>
          <w:sz w:val="30"/>
          <w:szCs w:val="32"/>
        </w:rPr>
        <w:t xml:space="preserve"> </w:t>
      </w:r>
    </w:p>
    <w:p w14:paraId="39840ACF">
      <w:pPr>
        <w:spacing w:line="360" w:lineRule="auto"/>
        <w:jc w:val="left"/>
        <w:rPr>
          <w:rFonts w:eastAsia="仿宋_GB2312"/>
          <w:sz w:val="30"/>
          <w:szCs w:val="32"/>
        </w:rPr>
      </w:pPr>
      <w:r>
        <w:rPr>
          <w:rFonts w:eastAsia="仿宋_GB2312"/>
          <w:sz w:val="30"/>
          <w:szCs w:val="32"/>
        </w:rPr>
        <w:t xml:space="preserve">    9.5</w:t>
      </w:r>
      <w:r>
        <w:rPr>
          <w:rFonts w:hint="eastAsia" w:eastAsia="仿宋_GB2312"/>
          <w:sz w:val="30"/>
          <w:szCs w:val="32"/>
        </w:rPr>
        <w:t>本工程中不属于承包人需承担的特殊检验相关手续由承包人负责办理，承包人凭特殊检验费发票、特殊检验报告单及发包人出具的相关书面委托书向发包人报销。</w:t>
      </w:r>
    </w:p>
    <w:bookmarkEnd w:id="326"/>
    <w:bookmarkEnd w:id="327"/>
    <w:bookmarkEnd w:id="328"/>
    <w:bookmarkEnd w:id="329"/>
    <w:bookmarkEnd w:id="330"/>
    <w:bookmarkEnd w:id="331"/>
    <w:bookmarkEnd w:id="332"/>
    <w:bookmarkEnd w:id="333"/>
    <w:p w14:paraId="5811F588">
      <w:pPr>
        <w:pStyle w:val="5"/>
        <w:spacing w:before="120" w:after="120" w:line="360" w:lineRule="auto"/>
        <w:rPr>
          <w:rFonts w:ascii="Times New Roman" w:hAnsi="Times New Roman" w:eastAsia="黑体"/>
          <w:b w:val="0"/>
          <w:color w:val="000000"/>
          <w:sz w:val="32"/>
          <w:szCs w:val="32"/>
        </w:rPr>
      </w:pPr>
      <w:bookmarkStart w:id="334" w:name="_Toc351203642"/>
      <w:r>
        <w:rPr>
          <w:rFonts w:ascii="Times New Roman" w:hAnsi="Times New Roman" w:eastAsia="黑体"/>
          <w:b w:val="0"/>
          <w:color w:val="000000"/>
          <w:sz w:val="32"/>
          <w:szCs w:val="32"/>
        </w:rPr>
        <w:t>1</w:t>
      </w:r>
      <w:bookmarkEnd w:id="300"/>
      <w:bookmarkEnd w:id="301"/>
      <w:bookmarkEnd w:id="302"/>
      <w:bookmarkEnd w:id="303"/>
      <w:bookmarkEnd w:id="304"/>
      <w:bookmarkEnd w:id="305"/>
      <w:bookmarkEnd w:id="306"/>
      <w:bookmarkEnd w:id="307"/>
      <w:bookmarkEnd w:id="308"/>
      <w:bookmarkEnd w:id="309"/>
      <w:bookmarkEnd w:id="310"/>
      <w:bookmarkEnd w:id="311"/>
      <w:bookmarkStart w:id="335" w:name="_Toc296891233"/>
      <w:bookmarkStart w:id="336" w:name="_Toc296347192"/>
      <w:bookmarkStart w:id="337" w:name="_Toc303539146"/>
      <w:bookmarkStart w:id="338" w:name="_Toc297048379"/>
      <w:bookmarkStart w:id="339" w:name="_Toc296944532"/>
      <w:bookmarkStart w:id="340" w:name="_Toc297216199"/>
      <w:bookmarkStart w:id="341" w:name="_Toc304295566"/>
      <w:bookmarkStart w:id="342" w:name="_Toc297120493"/>
      <w:bookmarkStart w:id="343" w:name="_Toc300934989"/>
      <w:bookmarkStart w:id="344" w:name="_Toc292559398"/>
      <w:bookmarkStart w:id="345" w:name="_Toc296503193"/>
      <w:bookmarkStart w:id="346" w:name="_Toc296891021"/>
      <w:bookmarkStart w:id="347" w:name="_Toc296346694"/>
      <w:bookmarkStart w:id="348" w:name="_Toc297123540"/>
      <w:bookmarkStart w:id="349" w:name="_Toc292559903"/>
      <w:bookmarkStart w:id="350" w:name="_Toc312678025"/>
      <w:bookmarkStart w:id="351" w:name="_Toc312677499"/>
      <w:bookmarkStart w:id="352" w:name="_Toc267251437"/>
      <w:bookmarkStart w:id="353" w:name="_Toc267251439"/>
      <w:bookmarkStart w:id="354" w:name="_Toc267251435"/>
      <w:bookmarkStart w:id="355" w:name="_Toc267251441"/>
      <w:bookmarkStart w:id="356" w:name="_Toc267251440"/>
      <w:bookmarkStart w:id="357" w:name="_Toc267251433"/>
      <w:bookmarkStart w:id="358" w:name="_Toc267251442"/>
      <w:r>
        <w:rPr>
          <w:rFonts w:ascii="Times New Roman" w:hAnsi="Times New Roman" w:eastAsia="黑体"/>
          <w:b w:val="0"/>
          <w:color w:val="000000"/>
          <w:sz w:val="32"/>
          <w:szCs w:val="32"/>
        </w:rPr>
        <w:t>0. 变更</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bookmarkEnd w:id="350"/>
    <w:bookmarkEnd w:id="351"/>
    <w:p w14:paraId="71D8F5E9">
      <w:pPr>
        <w:spacing w:after="120" w:line="360" w:lineRule="auto"/>
        <w:ind w:firstLine="600" w:firstLineChars="200"/>
        <w:rPr>
          <w:rFonts w:eastAsia="黑体"/>
          <w:color w:val="000000"/>
          <w:sz w:val="30"/>
          <w:szCs w:val="32"/>
        </w:rPr>
      </w:pPr>
      <w:r>
        <w:rPr>
          <w:rFonts w:eastAsia="黑体"/>
          <w:color w:val="000000"/>
          <w:sz w:val="30"/>
          <w:szCs w:val="32"/>
        </w:rPr>
        <w:t>1</w:t>
      </w:r>
      <w:bookmarkStart w:id="359" w:name="_Toc304295567"/>
      <w:bookmarkStart w:id="360" w:name="_Toc296503194"/>
      <w:bookmarkStart w:id="361" w:name="_Toc297120494"/>
      <w:bookmarkStart w:id="362" w:name="_Toc296346695"/>
      <w:bookmarkStart w:id="363" w:name="_Toc296347193"/>
      <w:bookmarkStart w:id="364" w:name="_Toc297048380"/>
      <w:bookmarkStart w:id="365" w:name="_Toc300934990"/>
      <w:bookmarkStart w:id="366" w:name="_Toc297123541"/>
      <w:bookmarkStart w:id="367" w:name="_Toc296891234"/>
      <w:bookmarkStart w:id="368" w:name="_Toc296944533"/>
      <w:bookmarkStart w:id="369" w:name="_Toc292559904"/>
      <w:bookmarkStart w:id="370" w:name="_Toc297216200"/>
      <w:bookmarkStart w:id="371" w:name="_Toc303539147"/>
      <w:bookmarkStart w:id="372" w:name="_Toc292559399"/>
      <w:bookmarkStart w:id="373" w:name="_Toc312678026"/>
      <w:bookmarkStart w:id="374" w:name="_Toc312677500"/>
      <w:bookmarkStart w:id="375" w:name="_Toc296891022"/>
      <w:r>
        <w:rPr>
          <w:rFonts w:eastAsia="黑体"/>
          <w:color w:val="000000"/>
          <w:sz w:val="30"/>
          <w:szCs w:val="32"/>
        </w:rPr>
        <w:t>0.1变更的范围</w:t>
      </w:r>
    </w:p>
    <w:p w14:paraId="224F67E5">
      <w:pPr>
        <w:spacing w:line="360" w:lineRule="auto"/>
        <w:ind w:firstLine="600"/>
        <w:jc w:val="left"/>
        <w:rPr>
          <w:rFonts w:eastAsia="仿宋_GB2312"/>
          <w:color w:val="000000"/>
          <w:sz w:val="30"/>
          <w:szCs w:val="32"/>
        </w:rPr>
      </w:pPr>
      <w:r>
        <w:rPr>
          <w:rFonts w:eastAsia="仿宋_GB2312"/>
          <w:color w:val="000000"/>
          <w:sz w:val="30"/>
          <w:szCs w:val="32"/>
        </w:rPr>
        <w:t>关于变更的范围的约定：</w:t>
      </w:r>
      <w:r>
        <w:rPr>
          <w:rFonts w:hint="eastAsia" w:eastAsia="仿宋_GB2312"/>
          <w:color w:val="000000"/>
          <w:sz w:val="30"/>
          <w:szCs w:val="32"/>
          <w:u w:val="single"/>
        </w:rPr>
        <w:t xml:space="preserve">根据工程建设的需要双方协商确定，承包人不得擅自变更    </w:t>
      </w:r>
      <w:r>
        <w:rPr>
          <w:rFonts w:eastAsia="仿宋_GB2312"/>
          <w:color w:val="000000"/>
          <w:sz w:val="30"/>
          <w:szCs w:val="32"/>
        </w:rPr>
        <w:t>。</w:t>
      </w:r>
    </w:p>
    <w:p w14:paraId="3E3EDC49">
      <w:pPr>
        <w:pStyle w:val="8"/>
        <w:ind w:left="63" w:right="63" w:firstLine="600" w:firstLineChars="200"/>
      </w:pPr>
      <w:r>
        <w:rPr>
          <w:rFonts w:hint="eastAsia" w:eastAsia="仿宋_GB2312"/>
          <w:color w:val="000000"/>
          <w:sz w:val="30"/>
          <w:szCs w:val="32"/>
        </w:rPr>
        <w:t>承包人必须严格按照发包人提供的已完善审批程序的变更资料实施，如未按照变更资料实施或未收到变更资料擅自实施，则发包人不予认可该部分费用，不支付该部分款项。（发包人设计变更审批制度详见附件6）。</w:t>
      </w:r>
    </w:p>
    <w:p w14:paraId="5AEC4A50">
      <w:pPr>
        <w:spacing w:line="360" w:lineRule="auto"/>
        <w:ind w:firstLine="600"/>
        <w:jc w:val="left"/>
        <w:rPr>
          <w:rFonts w:eastAsia="仿宋_GB2312"/>
          <w:color w:val="000000"/>
          <w:sz w:val="30"/>
          <w:szCs w:val="32"/>
        </w:rPr>
      </w:pPr>
      <w:r>
        <w:rPr>
          <w:rFonts w:eastAsia="仿宋_GB2312"/>
          <w:color w:val="000000"/>
          <w:sz w:val="30"/>
          <w:szCs w:val="32"/>
        </w:rPr>
        <w:t>10.2</w:t>
      </w:r>
      <w:r>
        <w:rPr>
          <w:rFonts w:hint="eastAsia" w:eastAsia="仿宋_GB2312"/>
          <w:color w:val="000000"/>
          <w:sz w:val="30"/>
          <w:szCs w:val="32"/>
        </w:rPr>
        <w:t>变更权</w:t>
      </w:r>
    </w:p>
    <w:p w14:paraId="2C49217E">
      <w:pPr>
        <w:spacing w:line="360" w:lineRule="auto"/>
        <w:ind w:firstLine="600"/>
        <w:jc w:val="left"/>
        <w:rPr>
          <w:rFonts w:eastAsia="仿宋_GB2312"/>
          <w:color w:val="000000"/>
          <w:sz w:val="30"/>
          <w:szCs w:val="32"/>
        </w:rPr>
      </w:pPr>
      <w:r>
        <w:rPr>
          <w:rFonts w:hint="eastAsia" w:eastAsia="仿宋_GB2312"/>
          <w:color w:val="000000"/>
          <w:sz w:val="30"/>
          <w:szCs w:val="32"/>
        </w:rPr>
        <w:t>10.2.1任何变更的经济签证、核定单、变更、工程联系单、洽商等文件须由监理人、发包人现场代表或经授权的对口专业负责人、预决算人员、发包人项目办主管/分管领导共同签字并加盖部门公章后才能生效；</w:t>
      </w:r>
    </w:p>
    <w:p w14:paraId="6A110ABD">
      <w:pPr>
        <w:spacing w:line="360" w:lineRule="auto"/>
        <w:ind w:firstLine="600"/>
        <w:jc w:val="left"/>
        <w:rPr>
          <w:rFonts w:eastAsia="仿宋_GB2312"/>
          <w:color w:val="000000"/>
          <w:sz w:val="30"/>
          <w:szCs w:val="32"/>
        </w:rPr>
      </w:pPr>
      <w:r>
        <w:rPr>
          <w:rFonts w:eastAsia="仿宋_GB2312"/>
          <w:color w:val="000000"/>
          <w:sz w:val="30"/>
          <w:szCs w:val="32"/>
        </w:rPr>
        <w:t>10.2.2</w:t>
      </w:r>
      <w:r>
        <w:rPr>
          <w:rFonts w:hint="eastAsia" w:eastAsia="仿宋_GB2312"/>
          <w:color w:val="000000"/>
          <w:sz w:val="30"/>
          <w:szCs w:val="32"/>
        </w:rPr>
        <w:t>本工程的所有经济签证承包人须按照发包人《工程经济资料管理办法》执行。所有经济签证应注明工程名称、单位工程（单项工程、分部工程、分项工程）签证部位、施工简图（无法画图的应注明增减工作量）、签证日期、费用发生原因等；</w:t>
      </w:r>
    </w:p>
    <w:p w14:paraId="7B8AFAA4">
      <w:pPr>
        <w:spacing w:line="360" w:lineRule="auto"/>
        <w:ind w:firstLine="600"/>
        <w:jc w:val="left"/>
        <w:rPr>
          <w:rFonts w:eastAsia="仿宋_GB2312"/>
          <w:color w:val="000000"/>
          <w:sz w:val="30"/>
          <w:szCs w:val="32"/>
        </w:rPr>
      </w:pPr>
      <w:r>
        <w:rPr>
          <w:rFonts w:eastAsia="仿宋_GB2312"/>
          <w:color w:val="000000"/>
          <w:sz w:val="30"/>
          <w:szCs w:val="32"/>
        </w:rPr>
        <w:t>10.2.3</w:t>
      </w:r>
      <w:r>
        <w:rPr>
          <w:rFonts w:hint="eastAsia" w:eastAsia="仿宋_GB2312"/>
          <w:color w:val="000000"/>
          <w:sz w:val="30"/>
          <w:szCs w:val="32"/>
        </w:rPr>
        <w:t>本工程的所有经济签证必须在签证工作内容完成后七日内办理，否则视为承包人放弃对此签证单进行结算。</w:t>
      </w:r>
    </w:p>
    <w:p w14:paraId="1261B866">
      <w:pPr>
        <w:spacing w:after="120" w:line="360" w:lineRule="auto"/>
        <w:ind w:firstLine="600" w:firstLineChars="200"/>
        <w:outlineLvl w:val="0"/>
        <w:rPr>
          <w:rFonts w:eastAsia="黑体"/>
          <w:color w:val="000000"/>
          <w:sz w:val="30"/>
          <w:szCs w:val="32"/>
        </w:rPr>
      </w:pPr>
      <w:r>
        <w:rPr>
          <w:rFonts w:eastAsia="黑体"/>
          <w:color w:val="000000"/>
          <w:sz w:val="30"/>
          <w:szCs w:val="32"/>
        </w:rPr>
        <w:t>10.4 变更估价</w:t>
      </w:r>
    </w:p>
    <w:p w14:paraId="0C2FA600">
      <w:pPr>
        <w:spacing w:line="360" w:lineRule="auto"/>
        <w:ind w:firstLine="600" w:firstLineChars="200"/>
        <w:jc w:val="left"/>
        <w:rPr>
          <w:rFonts w:eastAsia="仿宋_GB2312"/>
          <w:sz w:val="30"/>
          <w:szCs w:val="32"/>
        </w:rPr>
      </w:pPr>
      <w:r>
        <w:rPr>
          <w:rFonts w:hint="eastAsia" w:eastAsia="仿宋_GB2312"/>
          <w:sz w:val="30"/>
          <w:szCs w:val="32"/>
        </w:rPr>
        <w:t>10.4.1 变更估价原则</w:t>
      </w:r>
    </w:p>
    <w:p w14:paraId="1765BB6F">
      <w:pPr>
        <w:spacing w:line="360" w:lineRule="auto"/>
        <w:ind w:firstLine="600" w:firstLineChars="200"/>
        <w:jc w:val="left"/>
        <w:rPr>
          <w:rFonts w:eastAsia="仿宋_GB2312"/>
          <w:color w:val="000000"/>
          <w:sz w:val="30"/>
          <w:szCs w:val="32"/>
        </w:rPr>
      </w:pPr>
      <w:r>
        <w:rPr>
          <w:rFonts w:eastAsia="仿宋_GB2312"/>
          <w:color w:val="000000"/>
          <w:sz w:val="30"/>
          <w:szCs w:val="32"/>
        </w:rPr>
        <w:t xml:space="preserve">关于变更估价的约定: </w:t>
      </w:r>
      <w:r>
        <w:rPr>
          <w:rFonts w:eastAsia="仿宋_GB2312"/>
          <w:color w:val="000000"/>
          <w:sz w:val="30"/>
          <w:szCs w:val="32"/>
          <w:u w:val="single"/>
        </w:rPr>
        <w:t xml:space="preserve"> </w:t>
      </w:r>
      <w:r>
        <w:rPr>
          <w:rFonts w:hint="eastAsia" w:eastAsia="仿宋_GB2312"/>
          <w:color w:val="000000"/>
          <w:sz w:val="30"/>
          <w:szCs w:val="32"/>
          <w:u w:val="single"/>
        </w:rPr>
        <w:t>按专用条款14.5条执行</w:t>
      </w:r>
      <w:r>
        <w:rPr>
          <w:rFonts w:eastAsia="仿宋_GB2312"/>
          <w:color w:val="000000"/>
          <w:sz w:val="30"/>
          <w:szCs w:val="32"/>
          <w:u w:val="single"/>
        </w:rPr>
        <w:t xml:space="preserve">     </w:t>
      </w:r>
      <w:r>
        <w:rPr>
          <w:rFonts w:eastAsia="仿宋_GB2312"/>
          <w:color w:val="000000"/>
          <w:sz w:val="30"/>
          <w:szCs w:val="32"/>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14:paraId="7528BEEB">
      <w:pPr>
        <w:spacing w:after="120" w:line="360" w:lineRule="auto"/>
        <w:ind w:firstLine="600" w:firstLineChars="200"/>
        <w:rPr>
          <w:rFonts w:eastAsia="黑体"/>
          <w:color w:val="000000"/>
          <w:sz w:val="30"/>
          <w:szCs w:val="32"/>
        </w:rPr>
      </w:pPr>
      <w:r>
        <w:rPr>
          <w:rFonts w:eastAsia="黑体"/>
          <w:color w:val="000000"/>
          <w:sz w:val="30"/>
          <w:szCs w:val="32"/>
        </w:rPr>
        <w:t>10.8 暂列金额</w:t>
      </w:r>
    </w:p>
    <w:p w14:paraId="589D1DFF">
      <w:pPr>
        <w:autoSpaceDE w:val="0"/>
        <w:autoSpaceDN w:val="0"/>
        <w:adjustRightInd w:val="0"/>
        <w:spacing w:line="360" w:lineRule="auto"/>
        <w:jc w:val="left"/>
        <w:rPr>
          <w:rFonts w:eastAsia="仿宋_GB2312"/>
          <w:color w:val="000000"/>
          <w:kern w:val="0"/>
          <w:sz w:val="30"/>
          <w:szCs w:val="32"/>
        </w:rPr>
      </w:pPr>
      <w:r>
        <w:rPr>
          <w:rFonts w:hint="eastAsia" w:eastAsia="仿宋_GB2312"/>
          <w:color w:val="000000"/>
          <w:kern w:val="0"/>
          <w:sz w:val="30"/>
          <w:szCs w:val="32"/>
        </w:rPr>
        <w:t>合同当事人关于暂列金额使用的约定：</w:t>
      </w:r>
      <w:r>
        <w:rPr>
          <w:rFonts w:eastAsia="仿宋_GB2312"/>
          <w:sz w:val="30"/>
          <w:szCs w:val="32"/>
          <w:u w:val="single"/>
        </w:rPr>
        <w:t xml:space="preserve"> </w:t>
      </w:r>
      <w:r>
        <w:rPr>
          <w:rFonts w:hint="eastAsia" w:eastAsia="仿宋_GB2312"/>
          <w:sz w:val="30"/>
          <w:szCs w:val="32"/>
          <w:u w:val="single"/>
        </w:rPr>
        <w:t xml:space="preserve">按通用合同条款执行   </w:t>
      </w:r>
      <w:r>
        <w:rPr>
          <w:rFonts w:hint="eastAsia" w:eastAsia="仿宋_GB2312"/>
          <w:color w:val="000000"/>
          <w:kern w:val="0"/>
          <w:sz w:val="30"/>
          <w:szCs w:val="32"/>
        </w:rPr>
        <w:t>。</w:t>
      </w:r>
    </w:p>
    <w:p w14:paraId="1F077A2D">
      <w:pPr>
        <w:pStyle w:val="5"/>
        <w:spacing w:before="120" w:after="120" w:line="360" w:lineRule="auto"/>
        <w:rPr>
          <w:rFonts w:ascii="Times New Roman" w:hAnsi="Times New Roman" w:eastAsia="黑体"/>
          <w:b w:val="0"/>
          <w:color w:val="000000"/>
          <w:sz w:val="32"/>
          <w:szCs w:val="32"/>
        </w:rPr>
      </w:pPr>
      <w:bookmarkStart w:id="376" w:name="_Toc351203643"/>
      <w:r>
        <w:rPr>
          <w:rFonts w:ascii="Times New Roman" w:hAnsi="Times New Roman" w:eastAsia="黑体"/>
          <w:b w:val="0"/>
          <w:color w:val="000000"/>
          <w:sz w:val="32"/>
          <w:szCs w:val="32"/>
        </w:rPr>
        <w:t>11. 价格调整</w:t>
      </w:r>
      <w:bookmarkEnd w:id="376"/>
    </w:p>
    <w:p w14:paraId="26DA3BB7">
      <w:pPr>
        <w:spacing w:after="120" w:line="360" w:lineRule="auto"/>
        <w:ind w:firstLine="600" w:firstLineChars="200"/>
        <w:rPr>
          <w:rFonts w:eastAsia="黑体"/>
          <w:color w:val="000000"/>
          <w:sz w:val="30"/>
          <w:szCs w:val="32"/>
        </w:rPr>
      </w:pPr>
      <w:bookmarkStart w:id="377" w:name="_Toc296347200"/>
      <w:bookmarkStart w:id="378" w:name="_Toc297216209"/>
      <w:bookmarkStart w:id="379" w:name="_Toc297048387"/>
      <w:bookmarkStart w:id="380" w:name="_Toc300935000"/>
      <w:bookmarkStart w:id="381" w:name="_Toc312678039"/>
      <w:bookmarkStart w:id="382" w:name="_Toc296891029"/>
      <w:bookmarkStart w:id="383" w:name="_Toc292559911"/>
      <w:bookmarkStart w:id="384" w:name="_Toc296346702"/>
      <w:bookmarkStart w:id="385" w:name="_Toc296944540"/>
      <w:bookmarkStart w:id="386" w:name="_Toc296503201"/>
      <w:bookmarkStart w:id="387" w:name="_Toc297123550"/>
      <w:bookmarkStart w:id="388" w:name="_Toc292559406"/>
      <w:bookmarkStart w:id="389" w:name="_Toc303539157"/>
      <w:bookmarkStart w:id="390" w:name="_Toc296891241"/>
      <w:bookmarkStart w:id="391" w:name="_Toc304295577"/>
      <w:bookmarkStart w:id="392" w:name="_Toc297120501"/>
      <w:r>
        <w:rPr>
          <w:rFonts w:eastAsia="黑体"/>
          <w:color w:val="000000"/>
          <w:sz w:val="30"/>
          <w:szCs w:val="32"/>
        </w:rPr>
        <w:t>11.1 市场价格波动引起的调整</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14:paraId="0583E09D">
      <w:pPr>
        <w:spacing w:line="360" w:lineRule="auto"/>
        <w:ind w:firstLine="600"/>
        <w:jc w:val="left"/>
        <w:rPr>
          <w:rFonts w:eastAsia="仿宋_GB2312"/>
          <w:color w:val="000000"/>
          <w:sz w:val="30"/>
          <w:szCs w:val="32"/>
        </w:rPr>
      </w:pPr>
      <w:r>
        <w:rPr>
          <w:rFonts w:hint="eastAsia" w:eastAsia="仿宋_GB2312"/>
          <w:color w:val="000000"/>
          <w:sz w:val="30"/>
          <w:szCs w:val="32"/>
        </w:rPr>
        <w:t>市场价格波动是否调整合同价格的约定：</w:t>
      </w:r>
    </w:p>
    <w:p w14:paraId="2DC30B52">
      <w:pPr>
        <w:spacing w:line="360" w:lineRule="auto"/>
        <w:ind w:firstLine="600"/>
        <w:jc w:val="left"/>
        <w:rPr>
          <w:rFonts w:eastAsia="仿宋_GB2312"/>
          <w:color w:val="000000"/>
          <w:sz w:val="30"/>
          <w:szCs w:val="32"/>
        </w:rPr>
      </w:pPr>
      <w:r>
        <w:rPr>
          <w:rFonts w:hint="eastAsia" w:eastAsia="仿宋_GB2312"/>
          <w:color w:val="000000"/>
          <w:sz w:val="30"/>
          <w:szCs w:val="32"/>
        </w:rPr>
        <w:t>对施工期间主要材料价格变化幅度超过5%以上的部分的结算价格进行调整。主要材料价格变化幅度未超过（含）5%，主要材料结算价格按中标材料价确定；除主要材料外的其余材料及设备均由投标人自主报价并采购，投标人在报价时应充分考虑整个施工期内材料、设备的涨价因素，不因市场价格的变化而调整。</w:t>
      </w:r>
    </w:p>
    <w:p w14:paraId="318A658E">
      <w:pPr>
        <w:spacing w:line="360" w:lineRule="auto"/>
        <w:ind w:firstLine="600"/>
        <w:jc w:val="left"/>
        <w:rPr>
          <w:rFonts w:eastAsia="仿宋_GB2312"/>
          <w:color w:val="000000"/>
          <w:sz w:val="30"/>
          <w:szCs w:val="32"/>
        </w:rPr>
      </w:pPr>
      <w:r>
        <w:rPr>
          <w:rFonts w:hint="eastAsia" w:eastAsia="仿宋_GB2312"/>
          <w:color w:val="000000"/>
          <w:sz w:val="30"/>
          <w:szCs w:val="32"/>
        </w:rPr>
        <w:t>a.主要材料范围界定：《重庆工程造价信息》中各区县主要材料信息价中公布的 长寿区全部材料和重庆市材料信息价中公布的钢材。</w:t>
      </w:r>
    </w:p>
    <w:p w14:paraId="6FC63149">
      <w:pPr>
        <w:spacing w:line="360" w:lineRule="auto"/>
        <w:ind w:firstLine="600"/>
        <w:jc w:val="left"/>
        <w:rPr>
          <w:rFonts w:eastAsia="仿宋_GB2312"/>
          <w:color w:val="000000"/>
          <w:sz w:val="30"/>
          <w:szCs w:val="32"/>
        </w:rPr>
      </w:pPr>
      <w:r>
        <w:rPr>
          <w:rFonts w:hint="eastAsia" w:eastAsia="仿宋_GB2312"/>
          <w:color w:val="000000"/>
          <w:sz w:val="30"/>
          <w:szCs w:val="32"/>
        </w:rPr>
        <w:t>b.主要材料价格依据：以《重庆工程造价信息》中各区县主要材料信息价中公布的 长寿区材料价格和重庆市材料信息价中公布的钢材价格为准。</w:t>
      </w:r>
    </w:p>
    <w:p w14:paraId="040E33C4">
      <w:pPr>
        <w:spacing w:line="360" w:lineRule="auto"/>
        <w:ind w:firstLine="600"/>
        <w:jc w:val="left"/>
        <w:rPr>
          <w:rFonts w:eastAsia="仿宋_GB2312"/>
          <w:color w:val="000000"/>
          <w:sz w:val="30"/>
          <w:szCs w:val="32"/>
        </w:rPr>
      </w:pPr>
      <w:r>
        <w:rPr>
          <w:rFonts w:hint="eastAsia" w:eastAsia="仿宋_GB2312"/>
          <w:color w:val="000000"/>
          <w:sz w:val="30"/>
          <w:szCs w:val="32"/>
        </w:rPr>
        <w:t>c.主要材料价格变化幅度 D=（施工期间材料价格算术平均值 B―    2025年 12 月公布的主要材料价格 C）÷ 2025 年 12 月公布的主要材料价格 C×100%。施工期间是指在合同协议书约定的承包人完成工程所需的期限，包括按照合同约定所作的期限变更；</w:t>
      </w:r>
    </w:p>
    <w:p w14:paraId="55DF919D">
      <w:pPr>
        <w:spacing w:line="360" w:lineRule="auto"/>
        <w:ind w:firstLine="600"/>
        <w:jc w:val="left"/>
        <w:rPr>
          <w:rFonts w:eastAsia="仿宋_GB2312"/>
          <w:color w:val="000000"/>
          <w:sz w:val="30"/>
          <w:szCs w:val="32"/>
        </w:rPr>
      </w:pPr>
      <w:r>
        <w:rPr>
          <w:rFonts w:hint="eastAsia" w:eastAsia="仿宋_GB2312"/>
          <w:color w:val="000000"/>
          <w:sz w:val="30"/>
          <w:szCs w:val="32"/>
        </w:rPr>
        <w:t>d.主要材料结算价格调整：D&gt;5%，调整后的主要材料结算价格=调差基准价 A＋C×（D―5%）；D＜-5%，调整后的主要材料结算价格=调差基准价 A＋C×（D＋5%）</w:t>
      </w:r>
    </w:p>
    <w:p w14:paraId="1B640EDA">
      <w:pPr>
        <w:spacing w:line="360" w:lineRule="auto"/>
        <w:ind w:firstLine="600"/>
        <w:jc w:val="left"/>
        <w:rPr>
          <w:rFonts w:eastAsia="仿宋_GB2312"/>
          <w:color w:val="000000"/>
          <w:sz w:val="30"/>
          <w:szCs w:val="32"/>
        </w:rPr>
      </w:pPr>
      <w:r>
        <w:rPr>
          <w:rFonts w:hint="eastAsia" w:eastAsia="仿宋_GB2312"/>
          <w:color w:val="000000"/>
          <w:sz w:val="30"/>
          <w:szCs w:val="32"/>
        </w:rPr>
        <w:t>注： （1）调差基准价 A：中标材料价格与  2025 年 12 月公布的主要材料价格比较，取较小值</w:t>
      </w:r>
    </w:p>
    <w:p w14:paraId="73B8CC07">
      <w:pPr>
        <w:spacing w:line="360" w:lineRule="auto"/>
        <w:ind w:firstLine="600"/>
        <w:jc w:val="left"/>
        <w:rPr>
          <w:rFonts w:eastAsia="仿宋_GB2312"/>
          <w:color w:val="000000"/>
          <w:sz w:val="30"/>
          <w:szCs w:val="32"/>
        </w:rPr>
      </w:pPr>
      <w:r>
        <w:rPr>
          <w:rFonts w:hint="eastAsia" w:eastAsia="仿宋_GB2312"/>
          <w:color w:val="000000"/>
          <w:sz w:val="30"/>
          <w:szCs w:val="32"/>
        </w:rPr>
        <w:t>（2）承包人的投标文件中同一规格型号的材料出现不同价格的，取较低值</w:t>
      </w:r>
    </w:p>
    <w:p w14:paraId="3FD39AA0">
      <w:pPr>
        <w:spacing w:line="360" w:lineRule="auto"/>
        <w:ind w:firstLine="600"/>
        <w:jc w:val="left"/>
        <w:rPr>
          <w:rFonts w:eastAsia="仿宋_GB2312"/>
          <w:color w:val="000000"/>
          <w:sz w:val="30"/>
          <w:szCs w:val="32"/>
        </w:rPr>
      </w:pPr>
      <w:r>
        <w:rPr>
          <w:rFonts w:hint="eastAsia" w:eastAsia="仿宋_GB2312"/>
          <w:color w:val="000000"/>
          <w:sz w:val="30"/>
          <w:szCs w:val="32"/>
        </w:rPr>
        <w:t>（3）主要材料消耗量：中标人投标文件中的主要材料消耗量与重庆市 2018计价定额及配套文件中的主要材料消耗量相比，取较小值</w:t>
      </w:r>
    </w:p>
    <w:p w14:paraId="3530A777">
      <w:pPr>
        <w:spacing w:line="360" w:lineRule="auto"/>
        <w:ind w:firstLine="600"/>
        <w:jc w:val="left"/>
        <w:rPr>
          <w:rFonts w:eastAsia="仿宋_GB2312"/>
          <w:color w:val="000000"/>
          <w:kern w:val="0"/>
          <w:sz w:val="30"/>
          <w:szCs w:val="32"/>
        </w:rPr>
      </w:pPr>
      <w:r>
        <w:rPr>
          <w:rFonts w:hint="eastAsia" w:eastAsia="仿宋_GB2312"/>
          <w:color w:val="000000"/>
          <w:sz w:val="30"/>
          <w:szCs w:val="32"/>
        </w:rPr>
        <w:t>（4）因承包人原因导致工期延误的，在合同原定竣工时间之后，材料价格相比 2025 年 12 月公布的材料价格增加的，不予纳入施工期间材料价格算术平均值的计算；材料价格相比 2025 年 12 月公布的材料价格降低的，纳入施工期间材料价格算术平均值的计算。</w:t>
      </w:r>
    </w:p>
    <w:bookmarkEnd w:id="352"/>
    <w:bookmarkEnd w:id="353"/>
    <w:bookmarkEnd w:id="354"/>
    <w:bookmarkEnd w:id="355"/>
    <w:bookmarkEnd w:id="356"/>
    <w:bookmarkEnd w:id="357"/>
    <w:p w14:paraId="17F94EA4">
      <w:pPr>
        <w:pStyle w:val="5"/>
        <w:spacing w:before="120" w:after="120" w:line="360" w:lineRule="auto"/>
        <w:rPr>
          <w:rFonts w:ascii="Times New Roman" w:hAnsi="Times New Roman" w:eastAsia="黑体"/>
          <w:b w:val="0"/>
          <w:color w:val="000000"/>
          <w:sz w:val="32"/>
          <w:szCs w:val="32"/>
        </w:rPr>
      </w:pPr>
      <w:bookmarkStart w:id="393" w:name="_Toc297048391"/>
      <w:bookmarkStart w:id="394" w:name="_Toc296891245"/>
      <w:bookmarkStart w:id="395" w:name="_Toc296503205"/>
      <w:bookmarkStart w:id="396" w:name="_Toc292559915"/>
      <w:bookmarkStart w:id="397" w:name="_Toc296346706"/>
      <w:bookmarkStart w:id="398" w:name="_Toc296891033"/>
      <w:bookmarkStart w:id="399" w:name="_Toc297120505"/>
      <w:bookmarkStart w:id="400" w:name="_Toc292559410"/>
      <w:bookmarkStart w:id="401" w:name="_Toc296347204"/>
      <w:bookmarkStart w:id="402" w:name="_Toc296944544"/>
      <w:bookmarkStart w:id="403" w:name="_Toc351203644"/>
      <w:bookmarkStart w:id="404" w:name="_Toc303539159"/>
      <w:bookmarkStart w:id="405" w:name="_Toc300935002"/>
      <w:bookmarkStart w:id="406" w:name="_Toc304295579"/>
      <w:bookmarkStart w:id="407" w:name="_Toc297123552"/>
      <w:bookmarkStart w:id="408" w:name="_Toc312678040"/>
      <w:bookmarkStart w:id="409" w:name="_Toc297216211"/>
      <w:r>
        <w:rPr>
          <w:rFonts w:ascii="Times New Roman" w:hAnsi="Times New Roman" w:eastAsia="黑体"/>
          <w:b w:val="0"/>
          <w:color w:val="000000"/>
          <w:sz w:val="32"/>
          <w:szCs w:val="32"/>
        </w:rPr>
        <w:t xml:space="preserve">12. </w:t>
      </w:r>
      <w:bookmarkEnd w:id="393"/>
      <w:bookmarkEnd w:id="394"/>
      <w:bookmarkEnd w:id="395"/>
      <w:bookmarkEnd w:id="396"/>
      <w:bookmarkEnd w:id="397"/>
      <w:bookmarkEnd w:id="398"/>
      <w:bookmarkEnd w:id="399"/>
      <w:bookmarkEnd w:id="400"/>
      <w:bookmarkEnd w:id="401"/>
      <w:bookmarkEnd w:id="402"/>
      <w:r>
        <w:rPr>
          <w:rFonts w:ascii="Times New Roman" w:hAnsi="Times New Roman" w:eastAsia="黑体"/>
          <w:b w:val="0"/>
          <w:color w:val="000000"/>
          <w:sz w:val="32"/>
          <w:szCs w:val="32"/>
        </w:rPr>
        <w:t>合同价格、计量与支付</w:t>
      </w:r>
      <w:bookmarkEnd w:id="403"/>
    </w:p>
    <w:bookmarkEnd w:id="404"/>
    <w:bookmarkEnd w:id="405"/>
    <w:bookmarkEnd w:id="406"/>
    <w:bookmarkEnd w:id="407"/>
    <w:bookmarkEnd w:id="408"/>
    <w:bookmarkEnd w:id="409"/>
    <w:p w14:paraId="517AA975">
      <w:pPr>
        <w:spacing w:after="120" w:line="360" w:lineRule="auto"/>
        <w:ind w:firstLine="600" w:firstLineChars="200"/>
        <w:rPr>
          <w:rFonts w:eastAsia="黑体"/>
          <w:color w:val="000000"/>
          <w:sz w:val="30"/>
          <w:szCs w:val="32"/>
          <w:u w:val="single"/>
        </w:rPr>
      </w:pPr>
      <w:bookmarkStart w:id="410" w:name="_Toc267251461"/>
      <w:bookmarkStart w:id="411" w:name="_Toc292559411"/>
      <w:bookmarkStart w:id="412" w:name="_Toc292559916"/>
      <w:bookmarkStart w:id="413" w:name="_Toc296347205"/>
      <w:bookmarkStart w:id="414" w:name="_Toc296891034"/>
      <w:bookmarkStart w:id="415" w:name="_Toc297120506"/>
      <w:bookmarkStart w:id="416" w:name="_Toc297048392"/>
      <w:bookmarkStart w:id="417" w:name="_Toc296346707"/>
      <w:bookmarkStart w:id="418" w:name="_Toc296503206"/>
      <w:bookmarkStart w:id="419" w:name="_Toc296891246"/>
      <w:bookmarkStart w:id="420" w:name="_Toc296944545"/>
      <w:bookmarkStart w:id="421" w:name="_Toc304295580"/>
      <w:bookmarkStart w:id="422" w:name="_Toc300935003"/>
      <w:bookmarkStart w:id="423" w:name="_Toc297216212"/>
      <w:bookmarkStart w:id="424" w:name="_Toc312678041"/>
      <w:bookmarkStart w:id="425" w:name="_Toc303539160"/>
      <w:bookmarkStart w:id="426" w:name="_Toc297123553"/>
      <w:r>
        <w:rPr>
          <w:rFonts w:eastAsia="黑体"/>
          <w:color w:val="000000"/>
          <w:sz w:val="30"/>
          <w:szCs w:val="32"/>
        </w:rPr>
        <w:t>12.1 合</w:t>
      </w:r>
      <w:bookmarkEnd w:id="410"/>
      <w:bookmarkEnd w:id="411"/>
      <w:bookmarkEnd w:id="412"/>
      <w:r>
        <w:rPr>
          <w:rFonts w:eastAsia="黑体"/>
          <w:color w:val="000000"/>
          <w:sz w:val="30"/>
          <w:szCs w:val="32"/>
        </w:rPr>
        <w:t>同价</w:t>
      </w:r>
      <w:bookmarkEnd w:id="413"/>
      <w:bookmarkEnd w:id="414"/>
      <w:bookmarkEnd w:id="415"/>
      <w:bookmarkEnd w:id="416"/>
      <w:bookmarkEnd w:id="417"/>
      <w:bookmarkEnd w:id="418"/>
      <w:bookmarkEnd w:id="419"/>
      <w:bookmarkEnd w:id="420"/>
      <w:r>
        <w:rPr>
          <w:rFonts w:eastAsia="黑体"/>
          <w:color w:val="000000"/>
          <w:sz w:val="30"/>
          <w:szCs w:val="32"/>
        </w:rPr>
        <w:t>格形式：</w:t>
      </w:r>
      <w:r>
        <w:rPr>
          <w:rFonts w:hint="eastAsia" w:eastAsia="黑体"/>
          <w:color w:val="000000"/>
          <w:sz w:val="30"/>
          <w:szCs w:val="32"/>
          <w:u w:val="single"/>
        </w:rPr>
        <w:t>暂估总价合同  。</w:t>
      </w:r>
    </w:p>
    <w:bookmarkEnd w:id="421"/>
    <w:bookmarkEnd w:id="422"/>
    <w:bookmarkEnd w:id="423"/>
    <w:bookmarkEnd w:id="424"/>
    <w:bookmarkEnd w:id="425"/>
    <w:bookmarkEnd w:id="426"/>
    <w:p w14:paraId="1EF41EEF">
      <w:pPr>
        <w:spacing w:after="120" w:line="360" w:lineRule="auto"/>
        <w:ind w:firstLine="750" w:firstLineChars="250"/>
        <w:rPr>
          <w:rFonts w:eastAsia="仿宋_GB2312"/>
          <w:color w:val="000000"/>
          <w:sz w:val="30"/>
          <w:szCs w:val="32"/>
        </w:rPr>
      </w:pPr>
      <w:r>
        <w:rPr>
          <w:rFonts w:hint="eastAsia" w:eastAsia="仿宋_GB2312"/>
          <w:color w:val="000000"/>
          <w:sz w:val="30"/>
          <w:szCs w:val="32"/>
        </w:rPr>
        <w:t>合同</w:t>
      </w:r>
      <w:r>
        <w:rPr>
          <w:rFonts w:eastAsia="仿宋_GB2312"/>
          <w:color w:val="000000"/>
          <w:sz w:val="30"/>
          <w:szCs w:val="32"/>
        </w:rPr>
        <w:t>风险范围</w:t>
      </w:r>
      <w:r>
        <w:rPr>
          <w:rFonts w:hint="eastAsia" w:eastAsia="仿宋_GB2312"/>
          <w:color w:val="000000"/>
          <w:sz w:val="30"/>
          <w:szCs w:val="32"/>
        </w:rPr>
        <w:t>包含但不限于</w:t>
      </w:r>
      <w:r>
        <w:rPr>
          <w:rFonts w:eastAsia="仿宋_GB2312"/>
          <w:color w:val="000000"/>
          <w:sz w:val="30"/>
          <w:szCs w:val="32"/>
        </w:rPr>
        <w:t>：</w:t>
      </w:r>
    </w:p>
    <w:p w14:paraId="361974E9">
      <w:pPr>
        <w:spacing w:after="120" w:line="360" w:lineRule="auto"/>
        <w:ind w:firstLine="750" w:firstLineChars="250"/>
        <w:rPr>
          <w:rFonts w:eastAsia="仿宋_GB2312"/>
          <w:color w:val="000000"/>
          <w:sz w:val="30"/>
          <w:szCs w:val="32"/>
        </w:rPr>
      </w:pPr>
      <w:r>
        <w:rPr>
          <w:rFonts w:hint="eastAsia" w:eastAsia="仿宋_GB2312"/>
          <w:color w:val="000000"/>
          <w:sz w:val="30"/>
          <w:szCs w:val="32"/>
        </w:rPr>
        <w:t>1、 合同期内人工、材料、机械、设备价格变动或其他因素调整、变动；</w:t>
      </w:r>
    </w:p>
    <w:p w14:paraId="206357D6">
      <w:pPr>
        <w:spacing w:after="120" w:line="360" w:lineRule="auto"/>
        <w:ind w:firstLine="750" w:firstLineChars="250"/>
        <w:rPr>
          <w:rFonts w:eastAsia="仿宋_GB2312"/>
          <w:color w:val="000000"/>
          <w:sz w:val="30"/>
          <w:szCs w:val="32"/>
        </w:rPr>
      </w:pPr>
      <w:r>
        <w:rPr>
          <w:rFonts w:hint="eastAsia" w:eastAsia="仿宋_GB2312"/>
          <w:color w:val="000000"/>
          <w:sz w:val="30"/>
          <w:szCs w:val="32"/>
        </w:rPr>
        <w:t>2、 在限定的工期内完成施工项目及整项工程并达到合同规定的质量标准所需要的费用，隐含的为完成该项目而必须发生的费用；</w:t>
      </w:r>
    </w:p>
    <w:p w14:paraId="5D8A1E12">
      <w:pPr>
        <w:spacing w:after="120" w:line="360" w:lineRule="auto"/>
        <w:ind w:firstLine="750" w:firstLineChars="250"/>
        <w:rPr>
          <w:rFonts w:eastAsia="仿宋_GB2312"/>
          <w:color w:val="000000"/>
          <w:sz w:val="30"/>
          <w:szCs w:val="32"/>
        </w:rPr>
      </w:pPr>
      <w:r>
        <w:rPr>
          <w:rFonts w:hint="eastAsia" w:eastAsia="仿宋_GB2312"/>
          <w:color w:val="000000"/>
          <w:sz w:val="30"/>
          <w:szCs w:val="32"/>
        </w:rPr>
        <w:t>3、一个月内临时停水、停电在工作时间24小时以内的停工、窝工损失；</w:t>
      </w:r>
    </w:p>
    <w:p w14:paraId="04E5584D">
      <w:pPr>
        <w:spacing w:after="120" w:line="360" w:lineRule="auto"/>
        <w:ind w:firstLine="750" w:firstLineChars="250"/>
        <w:rPr>
          <w:rFonts w:eastAsia="仿宋_GB2312"/>
          <w:color w:val="000000"/>
          <w:sz w:val="30"/>
          <w:szCs w:val="32"/>
        </w:rPr>
      </w:pPr>
      <w:r>
        <w:rPr>
          <w:rFonts w:hint="eastAsia" w:eastAsia="仿宋_GB2312"/>
          <w:color w:val="000000"/>
          <w:sz w:val="30"/>
          <w:szCs w:val="32"/>
        </w:rPr>
        <w:t>4、发包人供应材料设备不及时，造成的停、窝工每月在工作时间24小时以内的损失；</w:t>
      </w:r>
    </w:p>
    <w:p w14:paraId="5D9091B4">
      <w:pPr>
        <w:spacing w:after="120" w:line="360" w:lineRule="auto"/>
        <w:ind w:firstLine="750" w:firstLineChars="250"/>
        <w:rPr>
          <w:rFonts w:eastAsia="仿宋_GB2312"/>
          <w:color w:val="000000"/>
          <w:sz w:val="30"/>
          <w:szCs w:val="32"/>
        </w:rPr>
      </w:pPr>
      <w:r>
        <w:rPr>
          <w:rFonts w:hint="eastAsia" w:eastAsia="仿宋_GB2312"/>
          <w:color w:val="000000"/>
          <w:sz w:val="30"/>
          <w:szCs w:val="32"/>
        </w:rPr>
        <w:t>5、材料的理论重量与实际重量的差；材料颜色、规格的变动(但不包括钢材)；</w:t>
      </w:r>
    </w:p>
    <w:p w14:paraId="7FA7EEED">
      <w:pPr>
        <w:spacing w:after="120" w:line="360" w:lineRule="auto"/>
        <w:ind w:firstLine="750" w:firstLineChars="250"/>
        <w:rPr>
          <w:rFonts w:eastAsia="仿宋_GB2312"/>
          <w:color w:val="000000"/>
          <w:sz w:val="30"/>
          <w:szCs w:val="32"/>
        </w:rPr>
      </w:pPr>
      <w:r>
        <w:rPr>
          <w:rFonts w:hint="eastAsia" w:eastAsia="仿宋_GB2312"/>
          <w:color w:val="000000"/>
          <w:sz w:val="30"/>
          <w:szCs w:val="32"/>
        </w:rPr>
        <w:t>发生以上事件所延误的工期和增加的费用由承包人承担。</w:t>
      </w:r>
    </w:p>
    <w:p w14:paraId="17352AE9">
      <w:pPr>
        <w:spacing w:after="120" w:line="360" w:lineRule="auto"/>
        <w:ind w:firstLine="600" w:firstLineChars="200"/>
        <w:rPr>
          <w:rFonts w:eastAsia="黑体"/>
          <w:color w:val="000000"/>
          <w:sz w:val="30"/>
          <w:szCs w:val="32"/>
        </w:rPr>
      </w:pPr>
      <w:bookmarkStart w:id="427" w:name="_Toc297123554"/>
      <w:bookmarkStart w:id="428" w:name="_Toc297216213"/>
      <w:bookmarkStart w:id="429" w:name="_Toc303539161"/>
      <w:bookmarkStart w:id="430" w:name="_Toc312678042"/>
      <w:bookmarkStart w:id="431" w:name="_Toc300935004"/>
      <w:bookmarkStart w:id="432" w:name="_Toc304295581"/>
      <w:bookmarkStart w:id="433" w:name="_Toc296503207"/>
      <w:bookmarkStart w:id="434" w:name="_Toc292559412"/>
      <w:bookmarkStart w:id="435" w:name="_Toc292559917"/>
      <w:bookmarkStart w:id="436" w:name="_Toc297048393"/>
      <w:bookmarkStart w:id="437" w:name="_Toc296891247"/>
      <w:bookmarkStart w:id="438" w:name="_Toc296346708"/>
      <w:bookmarkStart w:id="439" w:name="_Toc296347206"/>
      <w:bookmarkStart w:id="440" w:name="_Toc296891035"/>
      <w:bookmarkStart w:id="441" w:name="_Toc296944546"/>
      <w:bookmarkStart w:id="442" w:name="_Toc297120507"/>
      <w:r>
        <w:rPr>
          <w:rFonts w:eastAsia="黑体"/>
          <w:color w:val="000000"/>
          <w:sz w:val="30"/>
          <w:szCs w:val="32"/>
        </w:rPr>
        <w:t>12.2 预付款</w:t>
      </w:r>
    </w:p>
    <w:bookmarkEnd w:id="427"/>
    <w:bookmarkEnd w:id="428"/>
    <w:bookmarkEnd w:id="429"/>
    <w:bookmarkEnd w:id="430"/>
    <w:bookmarkEnd w:id="431"/>
    <w:bookmarkEnd w:id="432"/>
    <w:p w14:paraId="675A0D1A">
      <w:pPr>
        <w:spacing w:line="360" w:lineRule="auto"/>
        <w:ind w:firstLine="600" w:firstLineChars="200"/>
        <w:jc w:val="left"/>
        <w:rPr>
          <w:rFonts w:eastAsia="仿宋_GB2312"/>
          <w:color w:val="000000"/>
          <w:sz w:val="30"/>
          <w:szCs w:val="32"/>
        </w:rPr>
      </w:pPr>
      <w:r>
        <w:rPr>
          <w:rFonts w:eastAsia="仿宋_GB2312"/>
          <w:color w:val="000000"/>
          <w:sz w:val="30"/>
          <w:szCs w:val="32"/>
        </w:rPr>
        <w:t>12.2.1 预付款的支付</w:t>
      </w:r>
    </w:p>
    <w:p w14:paraId="174C6B47">
      <w:pPr>
        <w:spacing w:line="360" w:lineRule="auto"/>
        <w:ind w:firstLine="600" w:firstLineChars="200"/>
        <w:jc w:val="left"/>
        <w:rPr>
          <w:rFonts w:eastAsia="仿宋_GB2312"/>
          <w:color w:val="000000"/>
          <w:sz w:val="30"/>
          <w:szCs w:val="32"/>
        </w:rPr>
      </w:pPr>
      <w:r>
        <w:rPr>
          <w:rFonts w:eastAsia="仿宋_GB2312"/>
          <w:color w:val="000000"/>
          <w:sz w:val="30"/>
          <w:szCs w:val="32"/>
        </w:rPr>
        <w:t>预付款支付比例或金额：</w:t>
      </w:r>
      <w:r>
        <w:rPr>
          <w:rFonts w:eastAsia="仿宋_GB2312"/>
          <w:color w:val="000000"/>
          <w:sz w:val="30"/>
          <w:szCs w:val="32"/>
          <w:u w:val="single"/>
        </w:rPr>
        <w:t xml:space="preserve"> </w:t>
      </w:r>
      <w:r>
        <w:rPr>
          <w:rFonts w:hint="eastAsia" w:eastAsia="仿宋_GB2312"/>
          <w:color w:val="000000"/>
          <w:sz w:val="30"/>
          <w:szCs w:val="32"/>
          <w:u w:val="single"/>
        </w:rPr>
        <w:t>不支付预付款</w:t>
      </w:r>
      <w:r>
        <w:rPr>
          <w:rFonts w:eastAsia="仿宋_GB2312"/>
          <w:color w:val="000000"/>
          <w:sz w:val="30"/>
          <w:szCs w:val="32"/>
          <w:u w:val="single"/>
        </w:rPr>
        <w:t xml:space="preserve">  </w:t>
      </w:r>
      <w:r>
        <w:rPr>
          <w:rFonts w:eastAsia="仿宋_GB2312"/>
          <w:color w:val="000000"/>
          <w:sz w:val="30"/>
          <w:szCs w:val="32"/>
        </w:rPr>
        <w:t>。</w:t>
      </w:r>
    </w:p>
    <w:bookmarkEnd w:id="433"/>
    <w:bookmarkEnd w:id="434"/>
    <w:bookmarkEnd w:id="435"/>
    <w:bookmarkEnd w:id="436"/>
    <w:bookmarkEnd w:id="437"/>
    <w:bookmarkEnd w:id="438"/>
    <w:bookmarkEnd w:id="439"/>
    <w:bookmarkEnd w:id="440"/>
    <w:bookmarkEnd w:id="441"/>
    <w:bookmarkEnd w:id="442"/>
    <w:p w14:paraId="2127D43B">
      <w:pPr>
        <w:spacing w:after="120" w:line="360" w:lineRule="auto"/>
        <w:ind w:firstLine="600" w:firstLineChars="200"/>
        <w:rPr>
          <w:rFonts w:eastAsia="黑体"/>
          <w:color w:val="000000"/>
          <w:sz w:val="30"/>
          <w:szCs w:val="32"/>
        </w:rPr>
      </w:pPr>
      <w:r>
        <w:rPr>
          <w:rFonts w:eastAsia="黑体"/>
          <w:color w:val="000000"/>
          <w:sz w:val="30"/>
          <w:szCs w:val="32"/>
        </w:rPr>
        <w:t>12.3 计量</w:t>
      </w:r>
    </w:p>
    <w:p w14:paraId="499B6250">
      <w:pPr>
        <w:spacing w:line="360" w:lineRule="auto"/>
        <w:ind w:firstLine="600" w:firstLineChars="200"/>
        <w:jc w:val="left"/>
        <w:rPr>
          <w:rFonts w:eastAsia="仿宋_GB2312"/>
          <w:color w:val="000000"/>
          <w:sz w:val="30"/>
          <w:szCs w:val="32"/>
        </w:rPr>
      </w:pPr>
      <w:r>
        <w:rPr>
          <w:rFonts w:eastAsia="仿宋_GB2312"/>
          <w:color w:val="000000"/>
          <w:sz w:val="30"/>
          <w:szCs w:val="32"/>
        </w:rPr>
        <w:t>12.3.1 计量原则</w:t>
      </w:r>
    </w:p>
    <w:p w14:paraId="745308D1">
      <w:pPr>
        <w:spacing w:line="360" w:lineRule="auto"/>
        <w:ind w:firstLine="600" w:firstLineChars="200"/>
        <w:jc w:val="left"/>
        <w:rPr>
          <w:rFonts w:eastAsia="仿宋_GB2312"/>
          <w:color w:val="000000"/>
          <w:sz w:val="30"/>
          <w:szCs w:val="32"/>
        </w:rPr>
      </w:pPr>
      <w:r>
        <w:rPr>
          <w:rFonts w:eastAsia="仿宋_GB2312"/>
          <w:color w:val="000000"/>
          <w:sz w:val="30"/>
          <w:szCs w:val="32"/>
        </w:rPr>
        <w:t>工程量计算规则：</w:t>
      </w:r>
      <w:r>
        <w:rPr>
          <w:rFonts w:hint="eastAsia" w:eastAsia="仿宋_GB2312"/>
          <w:color w:val="000000"/>
          <w:sz w:val="30"/>
          <w:szCs w:val="32"/>
          <w:u w:val="single"/>
        </w:rPr>
        <w:t>《重庆市建设工程工程量计算规则》、《重庆市房屋建筑与装饰工程计价定额》（CQ</w:t>
      </w:r>
      <w:r>
        <w:rPr>
          <w:rFonts w:eastAsia="仿宋_GB2312"/>
          <w:color w:val="000000"/>
          <w:sz w:val="30"/>
          <w:szCs w:val="32"/>
          <w:u w:val="single"/>
        </w:rPr>
        <w:t>JZZS</w:t>
      </w:r>
      <w:r>
        <w:rPr>
          <w:rFonts w:hint="eastAsia" w:eastAsia="仿宋_GB2312"/>
          <w:color w:val="000000"/>
          <w:sz w:val="30"/>
          <w:szCs w:val="32"/>
          <w:u w:val="single"/>
        </w:rPr>
        <w:t>DE-2018）、《重庆市市政工程计价定额》（CQSZDE-20</w:t>
      </w:r>
      <w:r>
        <w:rPr>
          <w:rFonts w:eastAsia="仿宋_GB2312"/>
          <w:color w:val="000000"/>
          <w:sz w:val="30"/>
          <w:szCs w:val="32"/>
          <w:u w:val="single"/>
        </w:rPr>
        <w:t>1</w:t>
      </w:r>
      <w:r>
        <w:rPr>
          <w:rFonts w:hint="eastAsia" w:eastAsia="仿宋_GB2312"/>
          <w:color w:val="000000"/>
          <w:sz w:val="30"/>
          <w:szCs w:val="32"/>
          <w:u w:val="single"/>
        </w:rPr>
        <w:t>8）、《重庆市通用安装工程计价定额》（CQAZDE-2018）、《重庆市房屋修缮工程计价定额》（C</w:t>
      </w:r>
      <w:r>
        <w:rPr>
          <w:rFonts w:eastAsia="仿宋_GB2312"/>
          <w:color w:val="000000"/>
          <w:sz w:val="30"/>
          <w:szCs w:val="32"/>
          <w:u w:val="single"/>
        </w:rPr>
        <w:t>QXSDE-2018）、《</w:t>
      </w:r>
      <w:r>
        <w:rPr>
          <w:rFonts w:hint="eastAsia" w:eastAsia="仿宋_GB2312"/>
          <w:color w:val="000000"/>
          <w:sz w:val="30"/>
          <w:szCs w:val="32"/>
          <w:u w:val="single"/>
        </w:rPr>
        <w:t>重庆市绿色建筑工程计价定额》（C</w:t>
      </w:r>
      <w:r>
        <w:rPr>
          <w:rFonts w:eastAsia="仿宋_GB2312"/>
          <w:color w:val="000000"/>
          <w:sz w:val="30"/>
          <w:szCs w:val="32"/>
          <w:u w:val="single"/>
        </w:rPr>
        <w:t>QLSJZDE-2018）、</w:t>
      </w:r>
      <w:r>
        <w:rPr>
          <w:rFonts w:hint="eastAsia" w:eastAsia="仿宋_GB2312"/>
          <w:color w:val="000000"/>
          <w:sz w:val="30"/>
          <w:szCs w:val="32"/>
          <w:u w:val="single"/>
        </w:rPr>
        <w:t>《重庆市建设工程费用定额》（CQFYDE-2018）及相关配套文件明确的计量规则执行</w:t>
      </w:r>
      <w:r>
        <w:rPr>
          <w:rFonts w:eastAsia="仿宋_GB2312"/>
          <w:color w:val="000000"/>
          <w:sz w:val="30"/>
          <w:szCs w:val="32"/>
          <w:u w:val="single"/>
        </w:rPr>
        <w:t xml:space="preserve">    </w:t>
      </w:r>
      <w:r>
        <w:rPr>
          <w:rFonts w:eastAsia="仿宋_GB2312"/>
          <w:color w:val="000000"/>
          <w:sz w:val="30"/>
          <w:szCs w:val="32"/>
        </w:rPr>
        <w:t>。</w:t>
      </w:r>
    </w:p>
    <w:p w14:paraId="3C9BEB19">
      <w:pPr>
        <w:spacing w:line="360" w:lineRule="auto"/>
        <w:ind w:firstLine="600" w:firstLineChars="200"/>
        <w:jc w:val="left"/>
        <w:rPr>
          <w:rFonts w:eastAsia="仿宋_GB2312"/>
          <w:color w:val="000000"/>
          <w:sz w:val="30"/>
          <w:szCs w:val="32"/>
        </w:rPr>
      </w:pPr>
      <w:r>
        <w:rPr>
          <w:rFonts w:eastAsia="仿宋_GB2312"/>
          <w:color w:val="000000"/>
          <w:sz w:val="30"/>
          <w:szCs w:val="32"/>
        </w:rPr>
        <w:t>12.3.2 计量周期</w:t>
      </w:r>
    </w:p>
    <w:p w14:paraId="65904347">
      <w:pPr>
        <w:spacing w:line="360" w:lineRule="auto"/>
        <w:ind w:firstLine="600" w:firstLineChars="200"/>
        <w:jc w:val="left"/>
        <w:rPr>
          <w:rFonts w:eastAsia="仿宋_GB2312"/>
          <w:color w:val="000000"/>
          <w:sz w:val="30"/>
          <w:szCs w:val="32"/>
        </w:rPr>
      </w:pPr>
      <w:r>
        <w:rPr>
          <w:rFonts w:eastAsia="仿宋_GB2312"/>
          <w:color w:val="000000"/>
          <w:sz w:val="30"/>
          <w:szCs w:val="32"/>
        </w:rPr>
        <w:t>关于计量周期的约定：</w:t>
      </w:r>
      <w:r>
        <w:rPr>
          <w:rFonts w:eastAsia="仿宋_GB2312"/>
          <w:color w:val="000000"/>
          <w:sz w:val="30"/>
          <w:szCs w:val="32"/>
          <w:u w:val="single"/>
        </w:rPr>
        <w:t xml:space="preserve">  工程量的计量按月进行</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64FB13E2">
      <w:pPr>
        <w:spacing w:after="120" w:line="360" w:lineRule="auto"/>
        <w:ind w:firstLine="600" w:firstLineChars="200"/>
        <w:rPr>
          <w:rFonts w:eastAsia="黑体"/>
          <w:color w:val="000000"/>
          <w:sz w:val="30"/>
          <w:szCs w:val="32"/>
        </w:rPr>
      </w:pPr>
      <w:r>
        <w:rPr>
          <w:rFonts w:eastAsia="黑体"/>
          <w:color w:val="000000"/>
          <w:sz w:val="30"/>
          <w:szCs w:val="32"/>
        </w:rPr>
        <w:t>12.4 工程进度款支付</w:t>
      </w:r>
    </w:p>
    <w:p w14:paraId="1302E8B3">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本工程不支付进度款</w:t>
      </w:r>
      <w:r>
        <w:rPr>
          <w:rFonts w:eastAsia="仿宋_GB2312"/>
          <w:color w:val="000000"/>
          <w:sz w:val="30"/>
          <w:szCs w:val="32"/>
        </w:rPr>
        <w:t>。</w:t>
      </w:r>
      <w:r>
        <w:rPr>
          <w:rFonts w:eastAsia="仿宋_GB2312"/>
          <w:color w:val="000000"/>
          <w:sz w:val="30"/>
          <w:szCs w:val="32"/>
        </w:rPr>
        <w:tab/>
      </w:r>
    </w:p>
    <w:p w14:paraId="4F7B4B7B">
      <w:pPr>
        <w:spacing w:line="360" w:lineRule="auto"/>
        <w:ind w:firstLine="600" w:firstLineChars="200"/>
        <w:jc w:val="left"/>
        <w:rPr>
          <w:rFonts w:eastAsia="黑体"/>
          <w:color w:val="000000"/>
          <w:sz w:val="30"/>
          <w:szCs w:val="32"/>
        </w:rPr>
      </w:pPr>
      <w:r>
        <w:rPr>
          <w:rFonts w:eastAsia="黑体"/>
          <w:color w:val="000000"/>
          <w:sz w:val="30"/>
          <w:szCs w:val="32"/>
        </w:rPr>
        <w:t>12.6 工程</w:t>
      </w:r>
      <w:r>
        <w:rPr>
          <w:rFonts w:hint="eastAsia" w:eastAsia="黑体"/>
          <w:color w:val="000000"/>
          <w:sz w:val="30"/>
          <w:szCs w:val="32"/>
        </w:rPr>
        <w:t>款支付方式</w:t>
      </w:r>
    </w:p>
    <w:p w14:paraId="48BA7AD7">
      <w:pPr>
        <w:spacing w:line="360" w:lineRule="auto"/>
        <w:ind w:firstLine="600" w:firstLineChars="200"/>
        <w:jc w:val="left"/>
        <w:rPr>
          <w:rFonts w:eastAsia="仿宋_GB2312"/>
          <w:color w:val="000000"/>
          <w:sz w:val="30"/>
          <w:szCs w:val="32"/>
          <w:highlight w:val="yellow"/>
        </w:rPr>
      </w:pPr>
      <w:r>
        <w:rPr>
          <w:rFonts w:hint="eastAsia" w:eastAsia="仿宋_GB2312"/>
          <w:sz w:val="30"/>
          <w:szCs w:val="32"/>
        </w:rPr>
        <w:t>发包人的支付方式约定为银行承兑汇票或电汇付款（银行转账）</w:t>
      </w:r>
      <w:r>
        <w:commentReference w:id="0"/>
      </w:r>
    </w:p>
    <w:bookmarkEnd w:id="358"/>
    <w:p w14:paraId="7F1407F5">
      <w:pPr>
        <w:pStyle w:val="5"/>
        <w:spacing w:before="120" w:after="120" w:line="360" w:lineRule="auto"/>
        <w:rPr>
          <w:rFonts w:ascii="Times New Roman" w:hAnsi="Times New Roman" w:eastAsia="黑体"/>
          <w:b w:val="0"/>
          <w:color w:val="000000"/>
          <w:sz w:val="32"/>
          <w:szCs w:val="32"/>
        </w:rPr>
      </w:pPr>
      <w:bookmarkStart w:id="443" w:name="_Toc351203645"/>
      <w:bookmarkStart w:id="444" w:name="_Toc296503219"/>
      <w:bookmarkStart w:id="445" w:name="_Toc292559424"/>
      <w:bookmarkStart w:id="446" w:name="_Toc296891259"/>
      <w:bookmarkStart w:id="447" w:name="_Toc297123564"/>
      <w:bookmarkStart w:id="448" w:name="_Toc296891047"/>
      <w:bookmarkStart w:id="449" w:name="_Toc296944558"/>
      <w:bookmarkStart w:id="450" w:name="_Toc304295593"/>
      <w:bookmarkStart w:id="451" w:name="_Toc300935015"/>
      <w:bookmarkStart w:id="452" w:name="_Toc292559929"/>
      <w:bookmarkStart w:id="453" w:name="_Toc297216223"/>
      <w:bookmarkStart w:id="454" w:name="_Toc296346720"/>
      <w:bookmarkStart w:id="455" w:name="_Toc303539172"/>
      <w:bookmarkStart w:id="456" w:name="_Toc297120519"/>
      <w:bookmarkStart w:id="457" w:name="_Toc297048405"/>
      <w:bookmarkStart w:id="458" w:name="_Toc312678053"/>
      <w:bookmarkStart w:id="459" w:name="_Toc296347218"/>
      <w:r>
        <w:rPr>
          <w:rFonts w:ascii="Times New Roman" w:hAnsi="Times New Roman" w:eastAsia="黑体"/>
          <w:b w:val="0"/>
          <w:color w:val="000000"/>
          <w:sz w:val="32"/>
          <w:szCs w:val="32"/>
        </w:rPr>
        <w:t>13.</w:t>
      </w:r>
      <w:r>
        <w:rPr>
          <w:rFonts w:hint="eastAsia" w:ascii="Times New Roman" w:hAnsi="Times New Roman" w:eastAsia="黑体"/>
          <w:b w:val="0"/>
          <w:color w:val="000000"/>
          <w:sz w:val="32"/>
          <w:szCs w:val="32"/>
        </w:rPr>
        <w:t xml:space="preserve"> </w:t>
      </w:r>
      <w:r>
        <w:rPr>
          <w:rFonts w:ascii="Times New Roman" w:hAnsi="Times New Roman" w:eastAsia="黑体"/>
          <w:b w:val="0"/>
          <w:color w:val="000000"/>
          <w:sz w:val="32"/>
          <w:szCs w:val="32"/>
        </w:rPr>
        <w:t>验收和工程试车</w:t>
      </w:r>
      <w:bookmarkEnd w:id="443"/>
    </w:p>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14:paraId="131E6074">
      <w:pPr>
        <w:spacing w:after="120" w:line="360" w:lineRule="auto"/>
        <w:ind w:firstLine="600" w:firstLineChars="200"/>
        <w:rPr>
          <w:rFonts w:eastAsia="黑体"/>
          <w:color w:val="000000"/>
          <w:sz w:val="30"/>
          <w:szCs w:val="32"/>
        </w:rPr>
      </w:pPr>
      <w:r>
        <w:rPr>
          <w:rFonts w:eastAsia="黑体"/>
          <w:color w:val="000000"/>
          <w:sz w:val="30"/>
          <w:szCs w:val="32"/>
        </w:rPr>
        <w:t>13.1 分部分项工程验收</w:t>
      </w:r>
    </w:p>
    <w:p w14:paraId="27AB0DA5">
      <w:pPr>
        <w:spacing w:line="360" w:lineRule="auto"/>
        <w:ind w:firstLine="600" w:firstLineChars="200"/>
        <w:jc w:val="left"/>
        <w:rPr>
          <w:rFonts w:eastAsia="仿宋_GB2312"/>
          <w:sz w:val="30"/>
          <w:szCs w:val="32"/>
        </w:rPr>
      </w:pPr>
      <w:r>
        <w:rPr>
          <w:rFonts w:eastAsia="仿宋_GB2312"/>
          <w:sz w:val="30"/>
          <w:szCs w:val="32"/>
        </w:rPr>
        <w:t>13.1.2监理人不能按时进行验收时，应提前</w:t>
      </w:r>
      <w:r>
        <w:rPr>
          <w:rFonts w:eastAsia="仿宋_GB2312"/>
          <w:sz w:val="30"/>
          <w:szCs w:val="32"/>
          <w:u w:val="single"/>
        </w:rPr>
        <w:t xml:space="preserve">  24  </w:t>
      </w:r>
      <w:r>
        <w:rPr>
          <w:rFonts w:eastAsia="仿宋_GB2312"/>
          <w:sz w:val="30"/>
          <w:szCs w:val="32"/>
        </w:rPr>
        <w:t>小时提交书面延期要求。</w:t>
      </w:r>
    </w:p>
    <w:p w14:paraId="51ADD0B8">
      <w:pPr>
        <w:spacing w:line="360" w:lineRule="auto"/>
        <w:ind w:firstLine="600" w:firstLineChars="200"/>
        <w:jc w:val="left"/>
        <w:rPr>
          <w:rFonts w:eastAsia="仿宋_GB2312"/>
          <w:b/>
          <w:color w:val="000000"/>
          <w:sz w:val="30"/>
          <w:szCs w:val="32"/>
        </w:rPr>
      </w:pPr>
      <w:r>
        <w:rPr>
          <w:rFonts w:eastAsia="仿宋_GB2312"/>
          <w:sz w:val="30"/>
          <w:szCs w:val="32"/>
        </w:rPr>
        <w:t>关于延期最长不得超过：</w:t>
      </w:r>
      <w:r>
        <w:rPr>
          <w:rFonts w:eastAsia="仿宋_GB2312"/>
          <w:sz w:val="30"/>
          <w:szCs w:val="32"/>
          <w:u w:val="single"/>
        </w:rPr>
        <w:t xml:space="preserve">   48   </w:t>
      </w:r>
      <w:r>
        <w:rPr>
          <w:rFonts w:eastAsia="仿宋_GB2312"/>
          <w:sz w:val="30"/>
          <w:szCs w:val="32"/>
        </w:rPr>
        <w:t>小时。</w:t>
      </w:r>
    </w:p>
    <w:p w14:paraId="4339003F">
      <w:pPr>
        <w:spacing w:after="120" w:line="360" w:lineRule="auto"/>
        <w:ind w:firstLine="600" w:firstLineChars="200"/>
        <w:rPr>
          <w:rFonts w:eastAsia="黑体"/>
          <w:color w:val="000000"/>
          <w:sz w:val="30"/>
          <w:szCs w:val="32"/>
        </w:rPr>
      </w:pPr>
      <w:bookmarkStart w:id="460" w:name="_Toc300935016"/>
      <w:bookmarkStart w:id="461" w:name="_Toc297216224"/>
      <w:bookmarkStart w:id="462" w:name="_Toc292559933"/>
      <w:bookmarkStart w:id="463" w:name="_Toc297120523"/>
      <w:bookmarkStart w:id="464" w:name="_Toc296891051"/>
      <w:bookmarkStart w:id="465" w:name="_Toc296891263"/>
      <w:bookmarkStart w:id="466" w:name="_Toc297123565"/>
      <w:bookmarkStart w:id="467" w:name="_Toc292559428"/>
      <w:bookmarkStart w:id="468" w:name="_Toc296503223"/>
      <w:bookmarkStart w:id="469" w:name="_Toc296347222"/>
      <w:bookmarkStart w:id="470" w:name="_Toc312678056"/>
      <w:bookmarkStart w:id="471" w:name="_Toc296346724"/>
      <w:bookmarkStart w:id="472" w:name="_Toc297048409"/>
      <w:bookmarkStart w:id="473" w:name="_Toc296944562"/>
      <w:bookmarkStart w:id="474" w:name="_Toc303539173"/>
      <w:bookmarkStart w:id="475" w:name="_Toc304295596"/>
      <w:bookmarkStart w:id="476" w:name="_Toc267251473"/>
      <w:bookmarkStart w:id="477" w:name="_Toc267251474"/>
      <w:bookmarkStart w:id="478" w:name="_Toc267251476"/>
      <w:bookmarkStart w:id="479" w:name="_Toc267251471"/>
      <w:bookmarkStart w:id="480" w:name="_Toc267251475"/>
      <w:bookmarkStart w:id="481" w:name="_Toc267251470"/>
      <w:bookmarkStart w:id="482" w:name="_Toc267251472"/>
      <w:r>
        <w:rPr>
          <w:rFonts w:eastAsia="黑体"/>
          <w:color w:val="000000"/>
          <w:sz w:val="30"/>
          <w:szCs w:val="32"/>
        </w:rPr>
        <w:t>13.2 竣工验收</w:t>
      </w:r>
    </w:p>
    <w:p w14:paraId="2C797553">
      <w:pPr>
        <w:spacing w:line="360" w:lineRule="auto"/>
        <w:ind w:firstLine="600" w:firstLineChars="200"/>
        <w:jc w:val="left"/>
        <w:rPr>
          <w:rFonts w:eastAsia="仿宋_GB2312"/>
          <w:color w:val="000000"/>
          <w:sz w:val="30"/>
          <w:szCs w:val="32"/>
        </w:rPr>
      </w:pPr>
      <w:r>
        <w:rPr>
          <w:rFonts w:eastAsia="仿宋_GB2312"/>
          <w:color w:val="000000"/>
          <w:sz w:val="30"/>
          <w:szCs w:val="32"/>
        </w:rPr>
        <w:t>13.2.1</w:t>
      </w:r>
      <w:r>
        <w:rPr>
          <w:rFonts w:hint="eastAsia" w:eastAsia="仿宋_GB2312"/>
          <w:color w:val="000000"/>
          <w:sz w:val="30"/>
          <w:szCs w:val="32"/>
        </w:rPr>
        <w:t>竣工资料</w:t>
      </w:r>
    </w:p>
    <w:p w14:paraId="1EAC628F">
      <w:pPr>
        <w:spacing w:after="120" w:line="360" w:lineRule="auto"/>
        <w:ind w:firstLine="600" w:firstLineChars="200"/>
        <w:rPr>
          <w:rFonts w:ascii="宋体" w:hAnsi="宋体"/>
          <w:color w:val="000000"/>
          <w:szCs w:val="21"/>
        </w:rPr>
      </w:pPr>
      <w:r>
        <w:rPr>
          <w:rFonts w:hint="eastAsia" w:eastAsia="仿宋_GB2312"/>
          <w:color w:val="000000"/>
          <w:kern w:val="0"/>
          <w:sz w:val="30"/>
          <w:szCs w:val="32"/>
        </w:rPr>
        <w:t>竣工资料内容：</w:t>
      </w:r>
      <w:r>
        <w:rPr>
          <w:rFonts w:hint="eastAsia" w:eastAsia="仿宋_GB2312"/>
          <w:color w:val="000000"/>
          <w:sz w:val="30"/>
          <w:szCs w:val="32"/>
          <w:u w:val="single"/>
        </w:rPr>
        <w:t xml:space="preserve">   建设工程档案验收所需的所有资料  </w:t>
      </w:r>
      <w:r>
        <w:rPr>
          <w:rFonts w:hint="eastAsia" w:eastAsia="仿宋_GB2312"/>
          <w:color w:val="000000"/>
          <w:sz w:val="30"/>
          <w:szCs w:val="32"/>
        </w:rPr>
        <w:t>。</w:t>
      </w:r>
    </w:p>
    <w:p w14:paraId="4928A461">
      <w:pPr>
        <w:spacing w:line="360" w:lineRule="auto"/>
        <w:ind w:firstLine="600" w:firstLineChars="200"/>
        <w:jc w:val="left"/>
        <w:rPr>
          <w:rFonts w:eastAsia="仿宋_GB2312"/>
          <w:color w:val="000000"/>
          <w:sz w:val="30"/>
          <w:szCs w:val="32"/>
        </w:rPr>
      </w:pPr>
      <w:r>
        <w:rPr>
          <w:rFonts w:hint="eastAsia" w:eastAsia="仿宋_GB2312"/>
          <w:color w:val="000000"/>
          <w:kern w:val="0"/>
          <w:sz w:val="30"/>
          <w:szCs w:val="32"/>
        </w:rPr>
        <w:t>竣工资料份数：</w:t>
      </w:r>
      <w:r>
        <w:rPr>
          <w:rFonts w:hint="eastAsia" w:eastAsia="仿宋_GB2312"/>
          <w:color w:val="000000"/>
          <w:sz w:val="30"/>
          <w:szCs w:val="32"/>
          <w:u w:val="single"/>
        </w:rPr>
        <w:t xml:space="preserve"> 竣工验收后承包人向发包人提交验收合格的完整的竣工图和工程竣工技术档案资料一式三份，电子文档及竣工图三份</w:t>
      </w:r>
      <w:r>
        <w:rPr>
          <w:rFonts w:hint="eastAsia" w:eastAsia="仿宋_GB2312"/>
          <w:color w:val="000000"/>
          <w:sz w:val="30"/>
          <w:szCs w:val="32"/>
        </w:rPr>
        <w:t>。</w:t>
      </w:r>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14:paraId="551F5B73">
      <w:pPr>
        <w:spacing w:line="360" w:lineRule="auto"/>
        <w:ind w:firstLine="600" w:firstLineChars="200"/>
        <w:jc w:val="left"/>
        <w:rPr>
          <w:rFonts w:eastAsia="仿宋_GB2312"/>
          <w:color w:val="000000"/>
          <w:sz w:val="30"/>
          <w:szCs w:val="32"/>
        </w:rPr>
      </w:pPr>
      <w:bookmarkStart w:id="483" w:name="_Toc280868704"/>
      <w:bookmarkStart w:id="484" w:name="_Toc280868705"/>
      <w:bookmarkStart w:id="485" w:name="_Toc280868706"/>
      <w:bookmarkStart w:id="486" w:name="_Toc280868707"/>
      <w:bookmarkStart w:id="487" w:name="_Toc280868708"/>
      <w:bookmarkStart w:id="488" w:name="_Toc280868709"/>
      <w:r>
        <w:rPr>
          <w:rFonts w:eastAsia="仿宋_GB2312"/>
          <w:color w:val="000000"/>
          <w:sz w:val="30"/>
          <w:szCs w:val="32"/>
        </w:rPr>
        <w:t>13.2.2竣工验收程序</w:t>
      </w:r>
    </w:p>
    <w:bookmarkEnd w:id="483"/>
    <w:p w14:paraId="605BD70F">
      <w:pPr>
        <w:rPr>
          <w:rFonts w:eastAsia="仿宋_GB2312"/>
          <w:color w:val="000000"/>
          <w:sz w:val="30"/>
          <w:szCs w:val="32"/>
        </w:rPr>
      </w:pPr>
      <w:r>
        <w:rPr>
          <w:rFonts w:eastAsia="仿宋_GB2312"/>
          <w:color w:val="000000"/>
          <w:kern w:val="0"/>
          <w:sz w:val="30"/>
          <w:szCs w:val="32"/>
        </w:rPr>
        <w:t>关于竣工验收程序的约定：</w:t>
      </w:r>
      <w:r>
        <w:rPr>
          <w:rFonts w:eastAsia="仿宋_GB2312"/>
          <w:color w:val="000000"/>
          <w:sz w:val="30"/>
          <w:szCs w:val="32"/>
          <w:u w:val="single"/>
        </w:rPr>
        <w:t xml:space="preserve"> </w:t>
      </w:r>
      <w:r>
        <w:rPr>
          <w:rFonts w:hint="eastAsia" w:eastAsia="仿宋_GB2312"/>
          <w:color w:val="000000"/>
          <w:kern w:val="0"/>
          <w:sz w:val="30"/>
          <w:szCs w:val="32"/>
          <w:u w:val="single"/>
        </w:rPr>
        <w:t>按住房城乡建设部关于印发《房屋建筑和市政基础设施工程竣工验收规定》的通知（建质〔2013〕171号）文件执行</w:t>
      </w:r>
      <w:r>
        <w:rPr>
          <w:rFonts w:eastAsia="仿宋_GB2312"/>
          <w:color w:val="000000"/>
          <w:sz w:val="30"/>
          <w:szCs w:val="32"/>
          <w:u w:val="single"/>
        </w:rPr>
        <w:t xml:space="preserve"> </w:t>
      </w:r>
      <w:r>
        <w:rPr>
          <w:rFonts w:eastAsia="仿宋_GB2312"/>
          <w:color w:val="000000"/>
          <w:sz w:val="30"/>
          <w:szCs w:val="32"/>
        </w:rPr>
        <w:t>。</w:t>
      </w:r>
    </w:p>
    <w:p w14:paraId="67A36813">
      <w:pPr>
        <w:spacing w:line="360" w:lineRule="auto"/>
        <w:ind w:firstLine="600" w:firstLineChars="200"/>
        <w:jc w:val="left"/>
        <w:rPr>
          <w:rFonts w:eastAsia="仿宋_GB2312"/>
          <w:color w:val="000000"/>
          <w:sz w:val="30"/>
          <w:szCs w:val="32"/>
        </w:rPr>
      </w:pPr>
      <w:r>
        <w:rPr>
          <w:rFonts w:eastAsia="仿宋_GB2312"/>
          <w:color w:val="000000"/>
          <w:kern w:val="0"/>
          <w:sz w:val="30"/>
          <w:szCs w:val="32"/>
        </w:rPr>
        <w:t>发包人不按照本项约定组织竣工验收、颁发工程接收证书的违约金的计算方法：</w:t>
      </w:r>
      <w:r>
        <w:rPr>
          <w:rFonts w:eastAsia="仿宋_GB2312"/>
          <w:color w:val="000000"/>
          <w:sz w:val="30"/>
          <w:szCs w:val="32"/>
          <w:u w:val="single"/>
        </w:rPr>
        <w:t xml:space="preserve">  每逾期一天，应以签约合同价</w:t>
      </w:r>
      <w:r>
        <w:rPr>
          <w:rFonts w:hint="eastAsia" w:eastAsia="仿宋_GB2312"/>
          <w:color w:val="000000"/>
          <w:sz w:val="30"/>
          <w:szCs w:val="32"/>
          <w:u w:val="single"/>
        </w:rPr>
        <w:t>扣除已支付工程款</w:t>
      </w:r>
      <w:r>
        <w:rPr>
          <w:rFonts w:eastAsia="仿宋_GB2312"/>
          <w:color w:val="000000"/>
          <w:sz w:val="30"/>
          <w:szCs w:val="32"/>
          <w:u w:val="single"/>
        </w:rPr>
        <w:t xml:space="preserve">为基数，按照中国人民银行发布的同期同类贷款基准利率支付违约金   </w:t>
      </w:r>
      <w:r>
        <w:rPr>
          <w:rFonts w:eastAsia="仿宋_GB2312"/>
          <w:color w:val="000000"/>
          <w:sz w:val="30"/>
          <w:szCs w:val="32"/>
        </w:rPr>
        <w:t>。</w:t>
      </w:r>
    </w:p>
    <w:bookmarkEnd w:id="484"/>
    <w:p w14:paraId="2A6F5F0E">
      <w:pPr>
        <w:spacing w:line="360" w:lineRule="auto"/>
        <w:ind w:firstLine="600" w:firstLineChars="200"/>
        <w:jc w:val="left"/>
        <w:rPr>
          <w:rFonts w:eastAsia="仿宋_GB2312"/>
          <w:color w:val="000000"/>
          <w:sz w:val="30"/>
          <w:szCs w:val="32"/>
        </w:rPr>
      </w:pPr>
      <w:r>
        <w:rPr>
          <w:rFonts w:eastAsia="仿宋_GB2312"/>
          <w:color w:val="000000"/>
          <w:sz w:val="30"/>
          <w:szCs w:val="32"/>
        </w:rPr>
        <w:t>13.2.5移交、接收全部与部分工程</w:t>
      </w:r>
    </w:p>
    <w:bookmarkEnd w:id="485"/>
    <w:p w14:paraId="368EEA62">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承包人向发包人移交工程的期限：</w:t>
      </w:r>
      <w:r>
        <w:rPr>
          <w:rFonts w:eastAsia="仿宋_GB2312"/>
          <w:color w:val="000000"/>
          <w:sz w:val="30"/>
          <w:szCs w:val="32"/>
          <w:u w:val="single"/>
        </w:rPr>
        <w:t xml:space="preserve"> </w:t>
      </w:r>
      <w:r>
        <w:rPr>
          <w:rFonts w:hint="eastAsia" w:eastAsia="仿宋_GB2312"/>
          <w:color w:val="000000"/>
          <w:sz w:val="30"/>
          <w:szCs w:val="32"/>
          <w:u w:val="single"/>
        </w:rPr>
        <w:t>通过工程竣工验收后，承包人应在28天内，同发包人办理工程移交手续</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rPr>
        <w:t>。</w:t>
      </w:r>
    </w:p>
    <w:p w14:paraId="20725ECE">
      <w:pPr>
        <w:spacing w:line="360" w:lineRule="auto"/>
        <w:ind w:firstLine="600" w:firstLineChars="200"/>
        <w:jc w:val="left"/>
        <w:rPr>
          <w:rFonts w:eastAsia="仿宋_GB2312"/>
          <w:color w:val="000000"/>
          <w:sz w:val="30"/>
          <w:szCs w:val="32"/>
          <w:u w:val="single"/>
        </w:rPr>
      </w:pPr>
      <w:r>
        <w:rPr>
          <w:rFonts w:eastAsia="仿宋_GB2312"/>
          <w:color w:val="000000"/>
          <w:kern w:val="0"/>
          <w:sz w:val="30"/>
          <w:szCs w:val="32"/>
        </w:rPr>
        <w:t>发包人未按本合同约定接收全部或部分工程的，违约金的计算方法为：</w:t>
      </w:r>
      <w:r>
        <w:rPr>
          <w:rFonts w:hint="eastAsia" w:eastAsia="仿宋_GB2312"/>
          <w:color w:val="000000"/>
          <w:sz w:val="30"/>
          <w:szCs w:val="32"/>
          <w:u w:val="single"/>
        </w:rPr>
        <w:t xml:space="preserve">由双方确定与此相关的工程照管与养护费用补偿额  </w:t>
      </w:r>
      <w:r>
        <w:rPr>
          <w:rFonts w:eastAsia="仿宋_GB2312"/>
          <w:color w:val="000000"/>
          <w:sz w:val="30"/>
          <w:szCs w:val="32"/>
          <w:u w:val="single"/>
        </w:rPr>
        <w:t xml:space="preserve">  </w:t>
      </w:r>
      <w:r>
        <w:rPr>
          <w:rFonts w:eastAsia="仿宋_GB2312"/>
          <w:color w:val="000000"/>
          <w:sz w:val="30"/>
          <w:szCs w:val="32"/>
        </w:rPr>
        <w:t>。</w:t>
      </w:r>
    </w:p>
    <w:bookmarkEnd w:id="486"/>
    <w:p w14:paraId="3F3102C0">
      <w:pPr>
        <w:spacing w:line="360" w:lineRule="auto"/>
        <w:ind w:firstLine="600" w:firstLineChars="200"/>
        <w:jc w:val="left"/>
        <w:rPr>
          <w:rFonts w:eastAsia="仿宋_GB2312"/>
          <w:color w:val="000000"/>
          <w:sz w:val="30"/>
          <w:szCs w:val="32"/>
        </w:rPr>
      </w:pPr>
      <w:r>
        <w:rPr>
          <w:rFonts w:eastAsia="仿宋_GB2312"/>
          <w:color w:val="000000"/>
          <w:sz w:val="30"/>
          <w:szCs w:val="32"/>
        </w:rPr>
        <w:t>承包人未按时移交工程的，违约金的计算方法为：</w:t>
      </w:r>
      <w:r>
        <w:rPr>
          <w:rFonts w:hint="eastAsia" w:eastAsia="仿宋_GB2312"/>
          <w:color w:val="000000"/>
          <w:sz w:val="30"/>
          <w:szCs w:val="32"/>
          <w:u w:val="single"/>
        </w:rPr>
        <w:t>按专用合同条款7.5.2执行</w:t>
      </w:r>
      <w:r>
        <w:rPr>
          <w:rFonts w:eastAsia="仿宋_GB2312"/>
          <w:color w:val="000000"/>
          <w:sz w:val="30"/>
          <w:szCs w:val="32"/>
          <w:u w:val="single"/>
        </w:rPr>
        <w:t xml:space="preserve">  </w:t>
      </w:r>
      <w:r>
        <w:rPr>
          <w:rFonts w:eastAsia="仿宋_GB2312"/>
          <w:color w:val="000000"/>
          <w:sz w:val="30"/>
          <w:szCs w:val="32"/>
        </w:rPr>
        <w:t>。</w:t>
      </w:r>
    </w:p>
    <w:bookmarkEnd w:id="487"/>
    <w:p w14:paraId="49AFAC55">
      <w:pPr>
        <w:spacing w:after="120" w:line="360" w:lineRule="auto"/>
        <w:ind w:firstLine="600" w:firstLineChars="200"/>
        <w:outlineLvl w:val="0"/>
        <w:rPr>
          <w:rFonts w:eastAsia="黑体"/>
          <w:color w:val="000000"/>
          <w:sz w:val="30"/>
          <w:szCs w:val="32"/>
        </w:rPr>
      </w:pPr>
      <w:r>
        <w:rPr>
          <w:rFonts w:eastAsia="黑体"/>
          <w:color w:val="000000"/>
          <w:sz w:val="30"/>
          <w:szCs w:val="32"/>
        </w:rPr>
        <w:t>13.6 竣工退场</w:t>
      </w:r>
    </w:p>
    <w:p w14:paraId="4FFC5B2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13.6.1 竣工退场</w:t>
      </w:r>
    </w:p>
    <w:p w14:paraId="261F2F9A">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承包人完成竣工退场的期限：</w:t>
      </w:r>
      <w:r>
        <w:rPr>
          <w:rFonts w:hint="eastAsia" w:eastAsia="仿宋_GB2312"/>
          <w:color w:val="000000"/>
          <w:sz w:val="30"/>
          <w:szCs w:val="32"/>
          <w:u w:val="single"/>
        </w:rPr>
        <w:t>颁发工程接收证书后7天内</w:t>
      </w:r>
      <w:r>
        <w:rPr>
          <w:rFonts w:eastAsia="仿宋_GB2312"/>
          <w:color w:val="000000"/>
          <w:sz w:val="30"/>
          <w:szCs w:val="32"/>
          <w:u w:val="single"/>
        </w:rPr>
        <w:t xml:space="preserve"> </w:t>
      </w:r>
      <w:r>
        <w:rPr>
          <w:rFonts w:eastAsia="仿宋_GB2312"/>
          <w:color w:val="000000"/>
          <w:kern w:val="0"/>
          <w:sz w:val="30"/>
          <w:szCs w:val="32"/>
        </w:rPr>
        <w:t>。</w:t>
      </w:r>
    </w:p>
    <w:p w14:paraId="66EEF815">
      <w:pPr>
        <w:pStyle w:val="5"/>
        <w:spacing w:before="120" w:after="120" w:line="360" w:lineRule="auto"/>
        <w:rPr>
          <w:rFonts w:ascii="Times New Roman" w:hAnsi="Times New Roman" w:eastAsia="黑体"/>
          <w:b w:val="0"/>
          <w:color w:val="000000"/>
          <w:sz w:val="32"/>
          <w:szCs w:val="32"/>
        </w:rPr>
      </w:pPr>
      <w:bookmarkStart w:id="489" w:name="_Toc351203646"/>
      <w:r>
        <w:rPr>
          <w:rFonts w:ascii="Times New Roman" w:hAnsi="Times New Roman" w:eastAsia="黑体"/>
          <w:b w:val="0"/>
          <w:color w:val="000000"/>
          <w:sz w:val="32"/>
          <w:szCs w:val="32"/>
        </w:rPr>
        <w:t>14. 竣工结算</w:t>
      </w:r>
      <w:bookmarkEnd w:id="489"/>
    </w:p>
    <w:p w14:paraId="1E1A802A">
      <w:pPr>
        <w:spacing w:after="120" w:line="360" w:lineRule="auto"/>
        <w:ind w:firstLine="600" w:firstLineChars="200"/>
        <w:rPr>
          <w:rFonts w:eastAsia="黑体"/>
          <w:color w:val="000000"/>
          <w:sz w:val="30"/>
          <w:szCs w:val="32"/>
        </w:rPr>
      </w:pPr>
      <w:r>
        <w:rPr>
          <w:rFonts w:eastAsia="黑体"/>
          <w:color w:val="000000"/>
          <w:sz w:val="30"/>
          <w:szCs w:val="32"/>
        </w:rPr>
        <w:t>14.1 竣工</w:t>
      </w:r>
      <w:r>
        <w:rPr>
          <w:rFonts w:hint="eastAsia" w:eastAsia="黑体"/>
          <w:color w:val="000000"/>
          <w:sz w:val="30"/>
          <w:szCs w:val="32"/>
        </w:rPr>
        <w:t>结算</w:t>
      </w:r>
      <w:r>
        <w:rPr>
          <w:rFonts w:eastAsia="黑体"/>
          <w:color w:val="000000"/>
          <w:sz w:val="30"/>
          <w:szCs w:val="32"/>
        </w:rPr>
        <w:t>申请</w:t>
      </w:r>
    </w:p>
    <w:p w14:paraId="4972825F">
      <w:pPr>
        <w:spacing w:line="360" w:lineRule="auto"/>
        <w:ind w:firstLine="600" w:firstLineChars="200"/>
        <w:jc w:val="left"/>
        <w:rPr>
          <w:rFonts w:eastAsia="仿宋_GB2312"/>
          <w:color w:val="000000"/>
          <w:sz w:val="30"/>
          <w:szCs w:val="32"/>
        </w:rPr>
      </w:pPr>
      <w:r>
        <w:rPr>
          <w:rFonts w:eastAsia="仿宋_GB2312"/>
          <w:sz w:val="30"/>
          <w:szCs w:val="32"/>
        </w:rPr>
        <w:t>承包人提交竣工</w:t>
      </w:r>
      <w:r>
        <w:rPr>
          <w:rFonts w:hint="eastAsia" w:eastAsia="仿宋_GB2312"/>
          <w:sz w:val="30"/>
          <w:szCs w:val="32"/>
        </w:rPr>
        <w:t>结算</w:t>
      </w:r>
      <w:r>
        <w:rPr>
          <w:rFonts w:eastAsia="仿宋_GB2312"/>
          <w:sz w:val="30"/>
          <w:szCs w:val="32"/>
        </w:rPr>
        <w:t>申请单的期限：</w:t>
      </w:r>
      <w:r>
        <w:rPr>
          <w:rFonts w:eastAsia="仿宋_GB2312"/>
          <w:color w:val="000000"/>
          <w:sz w:val="30"/>
          <w:szCs w:val="32"/>
          <w:u w:val="single"/>
        </w:rPr>
        <w:t xml:space="preserve"> </w:t>
      </w:r>
      <w:r>
        <w:rPr>
          <w:rFonts w:hint="eastAsia" w:eastAsia="仿宋_GB2312"/>
          <w:color w:val="000000"/>
          <w:sz w:val="30"/>
          <w:szCs w:val="32"/>
          <w:u w:val="single"/>
        </w:rPr>
        <w:t>竣工验收合格后60日历天内</w:t>
      </w:r>
      <w:r>
        <w:rPr>
          <w:rFonts w:eastAsia="仿宋_GB2312"/>
          <w:color w:val="000000"/>
          <w:sz w:val="30"/>
          <w:szCs w:val="32"/>
          <w:u w:val="single"/>
        </w:rPr>
        <w:t xml:space="preserve">  </w:t>
      </w:r>
      <w:r>
        <w:rPr>
          <w:rFonts w:eastAsia="仿宋_GB2312"/>
          <w:color w:val="000000"/>
          <w:sz w:val="30"/>
          <w:szCs w:val="32"/>
        </w:rPr>
        <w:t>。</w:t>
      </w:r>
    </w:p>
    <w:p w14:paraId="6452CD01">
      <w:pPr>
        <w:spacing w:line="360" w:lineRule="auto"/>
        <w:ind w:firstLine="600" w:firstLineChars="200"/>
        <w:jc w:val="left"/>
        <w:rPr>
          <w:rFonts w:eastAsia="仿宋_GB2312"/>
          <w:color w:val="000000"/>
          <w:sz w:val="30"/>
          <w:szCs w:val="32"/>
        </w:rPr>
      </w:pPr>
      <w:r>
        <w:rPr>
          <w:rFonts w:hint="eastAsia" w:eastAsia="仿宋_GB2312"/>
          <w:sz w:val="30"/>
          <w:szCs w:val="32"/>
        </w:rPr>
        <w:t>承包人提交竣工付款申请单的份数：</w:t>
      </w:r>
      <w:r>
        <w:rPr>
          <w:rFonts w:eastAsia="仿宋_GB2312"/>
          <w:color w:val="000000"/>
          <w:sz w:val="30"/>
          <w:szCs w:val="32"/>
          <w:u w:val="single"/>
        </w:rPr>
        <w:t xml:space="preserve">  </w:t>
      </w:r>
      <w:r>
        <w:rPr>
          <w:rFonts w:hint="eastAsia" w:eastAsia="仿宋_GB2312"/>
          <w:color w:val="000000"/>
          <w:sz w:val="30"/>
          <w:szCs w:val="32"/>
          <w:u w:val="single"/>
        </w:rPr>
        <w:t>三份</w:t>
      </w:r>
      <w:r>
        <w:rPr>
          <w:rFonts w:eastAsia="仿宋_GB2312"/>
          <w:color w:val="000000"/>
          <w:sz w:val="30"/>
          <w:szCs w:val="32"/>
          <w:u w:val="single"/>
        </w:rPr>
        <w:t xml:space="preserve">      </w:t>
      </w:r>
      <w:r>
        <w:rPr>
          <w:rFonts w:eastAsia="仿宋_GB2312"/>
          <w:color w:val="000000"/>
          <w:sz w:val="30"/>
          <w:szCs w:val="32"/>
        </w:rPr>
        <w:t>。</w:t>
      </w:r>
    </w:p>
    <w:p w14:paraId="21CE54E5">
      <w:pPr>
        <w:spacing w:line="360" w:lineRule="auto"/>
        <w:ind w:firstLine="600" w:firstLineChars="200"/>
        <w:jc w:val="left"/>
        <w:rPr>
          <w:rFonts w:eastAsia="仿宋_GB2312"/>
          <w:color w:val="000000"/>
          <w:sz w:val="30"/>
          <w:szCs w:val="32"/>
        </w:rPr>
      </w:pPr>
      <w:r>
        <w:rPr>
          <w:rFonts w:eastAsia="仿宋_GB2312"/>
          <w:color w:val="000000"/>
          <w:sz w:val="30"/>
          <w:szCs w:val="32"/>
        </w:rPr>
        <w:t>竣工</w:t>
      </w:r>
      <w:r>
        <w:rPr>
          <w:rFonts w:hint="eastAsia" w:eastAsia="仿宋_GB2312"/>
          <w:color w:val="000000"/>
          <w:sz w:val="30"/>
          <w:szCs w:val="32"/>
        </w:rPr>
        <w:t>结算</w:t>
      </w:r>
      <w:r>
        <w:rPr>
          <w:rFonts w:eastAsia="仿宋_GB2312"/>
          <w:color w:val="000000"/>
          <w:sz w:val="30"/>
          <w:szCs w:val="32"/>
        </w:rPr>
        <w:t>申请单应包括的内容：</w:t>
      </w:r>
      <w:r>
        <w:rPr>
          <w:rFonts w:eastAsia="仿宋_GB2312"/>
          <w:color w:val="000000"/>
          <w:sz w:val="30"/>
          <w:szCs w:val="32"/>
          <w:u w:val="single"/>
        </w:rPr>
        <w:t xml:space="preserve"> </w:t>
      </w:r>
      <w:r>
        <w:rPr>
          <w:rFonts w:hint="eastAsia" w:eastAsia="仿宋_GB2312"/>
          <w:color w:val="000000"/>
          <w:sz w:val="30"/>
          <w:szCs w:val="32"/>
          <w:u w:val="single"/>
        </w:rPr>
        <w:t>(1)竣工结算合同价格。(2)发包人已支付承包人的款项。(3)应扣留的质量保证金，已缴纳履约保证金的或提供其他工程质量担保方式的除外。(4)发包人应支付承包人的合同价款</w:t>
      </w:r>
      <w:r>
        <w:rPr>
          <w:rFonts w:eastAsia="仿宋_GB2312"/>
          <w:color w:val="000000"/>
          <w:sz w:val="30"/>
          <w:szCs w:val="32"/>
          <w:u w:val="single"/>
        </w:rPr>
        <w:t xml:space="preserve"> </w:t>
      </w:r>
      <w:r>
        <w:rPr>
          <w:rFonts w:eastAsia="仿宋_GB2312"/>
          <w:color w:val="000000"/>
          <w:sz w:val="30"/>
          <w:szCs w:val="32"/>
        </w:rPr>
        <w:t>。</w:t>
      </w:r>
    </w:p>
    <w:p w14:paraId="64F90266">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须向发包人一次性递交完整的竣工结算资料，并以发包人一次性签收的竣工结算资料办理竣工结算，承包人此后补交的任何竣工结算资料发包人均拒绝接受。在递交完整竣工结算资料时承包人应提供发包人和承包人双方签认的《交接验收证书》，否则发包人有权拒绝接收竣工结算资料。</w:t>
      </w:r>
    </w:p>
    <w:p w14:paraId="06E36436">
      <w:pPr>
        <w:spacing w:after="120" w:line="360" w:lineRule="auto"/>
        <w:ind w:firstLine="600" w:firstLineChars="200"/>
        <w:outlineLvl w:val="0"/>
        <w:rPr>
          <w:rFonts w:eastAsia="黑体"/>
          <w:color w:val="000000"/>
          <w:sz w:val="30"/>
          <w:szCs w:val="32"/>
        </w:rPr>
      </w:pPr>
      <w:r>
        <w:rPr>
          <w:rFonts w:eastAsia="黑体"/>
          <w:color w:val="000000"/>
          <w:sz w:val="30"/>
          <w:szCs w:val="32"/>
        </w:rPr>
        <w:t>14.2 竣工结算审核</w:t>
      </w:r>
    </w:p>
    <w:p w14:paraId="13A801E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1、竣工验收合格后，发包人收到承包人提交的完整的竣工结算报告及结算资料后</w:t>
      </w:r>
      <w:r>
        <w:rPr>
          <w:rFonts w:eastAsia="仿宋_GB2312"/>
          <w:color w:val="000000"/>
          <w:kern w:val="0"/>
          <w:sz w:val="30"/>
          <w:szCs w:val="32"/>
          <w:highlight w:val="yellow"/>
        </w:rPr>
        <w:t xml:space="preserve">  </w:t>
      </w:r>
      <w:r>
        <w:rPr>
          <w:rFonts w:hint="eastAsia" w:eastAsia="仿宋_GB2312"/>
          <w:color w:val="000000"/>
          <w:kern w:val="0"/>
          <w:sz w:val="30"/>
          <w:szCs w:val="32"/>
          <w:highlight w:val="yellow"/>
        </w:rPr>
        <w:t>60</w:t>
      </w:r>
      <w:r>
        <w:rPr>
          <w:rFonts w:eastAsia="仿宋_GB2312"/>
          <w:color w:val="000000"/>
          <w:kern w:val="0"/>
          <w:sz w:val="30"/>
          <w:szCs w:val="32"/>
          <w:highlight w:val="yellow"/>
        </w:rPr>
        <w:t xml:space="preserve"> </w:t>
      </w:r>
      <w:r>
        <w:rPr>
          <w:rFonts w:hint="eastAsia" w:eastAsia="仿宋_GB2312"/>
          <w:color w:val="000000"/>
          <w:sz w:val="30"/>
          <w:szCs w:val="32"/>
        </w:rPr>
        <w:t>天内进行核实，给予确认或者提出修改意见 ；</w:t>
      </w:r>
    </w:p>
    <w:p w14:paraId="41657066">
      <w:pPr>
        <w:spacing w:line="360" w:lineRule="auto"/>
        <w:ind w:firstLine="600" w:firstLineChars="200"/>
        <w:jc w:val="left"/>
        <w:rPr>
          <w:rFonts w:eastAsia="仿宋_GB2312"/>
          <w:color w:val="000000"/>
          <w:sz w:val="30"/>
          <w:szCs w:val="32"/>
        </w:rPr>
      </w:pPr>
      <w:r>
        <w:rPr>
          <w:rFonts w:hint="eastAsia" w:eastAsia="仿宋_GB2312"/>
          <w:color w:val="000000"/>
          <w:sz w:val="30"/>
          <w:szCs w:val="32"/>
        </w:rPr>
        <w:t>2、自工程竣工验收合格之日起60天内，承包人未能向发包人提交竣工结算报告及完整的结算资料，逾期提交一天，承包人承担2000元违约金；或虽提交了完整的结算资料，承包人的相关人员未按时配合发包人及造价咨询机构完成结算审核，造成工程竣工结算不能正常进行或工程竣工结算价款不能及时支付，发包人不承担相应责任，并经发包人书面通知催告后仍未配合，自发出书面通知催告七日后，每逾期一日，承包人承担2000元违约金；</w:t>
      </w:r>
    </w:p>
    <w:p w14:paraId="43128125">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w:t>
      </w:r>
      <w:r>
        <w:rPr>
          <w:rFonts w:eastAsia="仿宋_GB2312"/>
          <w:color w:val="000000"/>
          <w:sz w:val="30"/>
          <w:szCs w:val="32"/>
        </w:rPr>
        <w:t>发包人在收到承包人提交竣工结算</w:t>
      </w:r>
      <w:r>
        <w:rPr>
          <w:rFonts w:hint="eastAsia" w:eastAsia="仿宋_GB2312"/>
          <w:color w:val="000000"/>
          <w:sz w:val="30"/>
          <w:szCs w:val="32"/>
        </w:rPr>
        <w:t>报告及结算资料</w:t>
      </w:r>
      <w:r>
        <w:rPr>
          <w:rFonts w:eastAsia="仿宋_GB2312"/>
          <w:color w:val="000000"/>
          <w:sz w:val="30"/>
          <w:szCs w:val="32"/>
        </w:rPr>
        <w:t>后</w:t>
      </w:r>
      <w:r>
        <w:rPr>
          <w:rFonts w:eastAsia="仿宋_GB2312"/>
          <w:color w:val="000000"/>
          <w:kern w:val="0"/>
          <w:sz w:val="30"/>
          <w:szCs w:val="32"/>
          <w:highlight w:val="yellow"/>
        </w:rPr>
        <w:t xml:space="preserve">  </w:t>
      </w:r>
      <w:r>
        <w:rPr>
          <w:rFonts w:hint="eastAsia" w:eastAsia="仿宋_GB2312"/>
          <w:color w:val="000000"/>
          <w:kern w:val="0"/>
          <w:sz w:val="30"/>
          <w:szCs w:val="32"/>
          <w:highlight w:val="yellow"/>
        </w:rPr>
        <w:t>60</w:t>
      </w:r>
      <w:r>
        <w:rPr>
          <w:rFonts w:eastAsia="仿宋_GB2312"/>
          <w:color w:val="000000"/>
          <w:kern w:val="0"/>
          <w:sz w:val="30"/>
          <w:szCs w:val="32"/>
          <w:highlight w:val="yellow"/>
        </w:rPr>
        <w:t xml:space="preserve">  </w:t>
      </w:r>
      <w:r>
        <w:rPr>
          <w:rFonts w:eastAsia="仿宋_GB2312"/>
          <w:color w:val="000000"/>
          <w:sz w:val="30"/>
          <w:szCs w:val="32"/>
        </w:rPr>
        <w:t>天未完成审核</w:t>
      </w:r>
      <w:r>
        <w:rPr>
          <w:rFonts w:hint="eastAsia" w:eastAsia="仿宋_GB2312"/>
          <w:color w:val="000000"/>
          <w:sz w:val="30"/>
          <w:szCs w:val="32"/>
        </w:rPr>
        <w:t>又</w:t>
      </w:r>
      <w:r>
        <w:rPr>
          <w:rFonts w:eastAsia="仿宋_GB2312"/>
          <w:color w:val="000000"/>
          <w:sz w:val="30"/>
          <w:szCs w:val="32"/>
        </w:rPr>
        <w:t>未提出异议的，视为发包人认可承包人提交的竣工结算</w:t>
      </w:r>
      <w:r>
        <w:rPr>
          <w:rFonts w:hint="eastAsia" w:eastAsia="仿宋_GB2312"/>
          <w:color w:val="000000"/>
          <w:sz w:val="30"/>
          <w:szCs w:val="32"/>
        </w:rPr>
        <w:t>报告</w:t>
      </w:r>
      <w:r>
        <w:rPr>
          <w:rFonts w:eastAsia="仿宋_GB2312"/>
          <w:color w:val="000000"/>
          <w:sz w:val="30"/>
          <w:szCs w:val="32"/>
        </w:rPr>
        <w:t>，并自发包人收到承包人提交的竣工结算</w:t>
      </w:r>
      <w:r>
        <w:rPr>
          <w:rFonts w:hint="eastAsia" w:eastAsia="仿宋_GB2312"/>
          <w:color w:val="000000"/>
          <w:sz w:val="30"/>
          <w:szCs w:val="32"/>
        </w:rPr>
        <w:t>报告</w:t>
      </w:r>
      <w:r>
        <w:rPr>
          <w:rFonts w:eastAsia="仿宋_GB2312"/>
          <w:color w:val="000000"/>
          <w:sz w:val="30"/>
          <w:szCs w:val="32"/>
        </w:rPr>
        <w:t>后第</w:t>
      </w:r>
      <w:r>
        <w:rPr>
          <w:rFonts w:eastAsia="仿宋_GB2312"/>
          <w:color w:val="000000"/>
          <w:kern w:val="0"/>
          <w:sz w:val="30"/>
          <w:szCs w:val="32"/>
          <w:highlight w:val="yellow"/>
        </w:rPr>
        <w:t xml:space="preserve">  </w:t>
      </w:r>
      <w:r>
        <w:rPr>
          <w:rFonts w:hint="eastAsia" w:eastAsia="仿宋_GB2312"/>
          <w:color w:val="000000"/>
          <w:kern w:val="0"/>
          <w:sz w:val="30"/>
          <w:szCs w:val="32"/>
          <w:highlight w:val="yellow"/>
        </w:rPr>
        <w:t>60</w:t>
      </w:r>
      <w:r>
        <w:rPr>
          <w:rFonts w:eastAsia="仿宋_GB2312"/>
          <w:color w:val="000000"/>
          <w:kern w:val="0"/>
          <w:sz w:val="30"/>
          <w:szCs w:val="32"/>
          <w:highlight w:val="yellow"/>
        </w:rPr>
        <w:t xml:space="preserve">  </w:t>
      </w:r>
      <w:r>
        <w:rPr>
          <w:rFonts w:eastAsia="仿宋_GB2312"/>
          <w:color w:val="000000"/>
          <w:sz w:val="30"/>
          <w:szCs w:val="32"/>
        </w:rPr>
        <w:t>天起视为已</w:t>
      </w:r>
      <w:r>
        <w:rPr>
          <w:rFonts w:hint="eastAsia" w:eastAsia="仿宋_GB2312"/>
          <w:color w:val="000000"/>
          <w:sz w:val="30"/>
          <w:szCs w:val="32"/>
        </w:rPr>
        <w:t>签订结算定案表 ；</w:t>
      </w:r>
    </w:p>
    <w:p w14:paraId="798F9EE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4、</w:t>
      </w:r>
      <w:r>
        <w:rPr>
          <w:rFonts w:eastAsia="仿宋_GB2312"/>
          <w:color w:val="000000"/>
          <w:sz w:val="30"/>
          <w:szCs w:val="32"/>
        </w:rPr>
        <w:t>发包人应在</w:t>
      </w:r>
      <w:r>
        <w:rPr>
          <w:rFonts w:hint="eastAsia" w:eastAsia="仿宋_GB2312"/>
          <w:color w:val="000000"/>
          <w:sz w:val="30"/>
          <w:szCs w:val="32"/>
        </w:rPr>
        <w:t>签订结算定案表</w:t>
      </w:r>
      <w:r>
        <w:rPr>
          <w:rFonts w:eastAsia="仿宋_GB2312"/>
          <w:color w:val="000000"/>
          <w:sz w:val="30"/>
          <w:szCs w:val="32"/>
        </w:rPr>
        <w:t>后的</w:t>
      </w:r>
      <w:r>
        <w:rPr>
          <w:rFonts w:hint="eastAsia" w:eastAsia="仿宋_GB2312"/>
          <w:color w:val="000000"/>
          <w:sz w:val="30"/>
          <w:szCs w:val="32"/>
        </w:rPr>
        <w:t>28</w:t>
      </w:r>
      <w:r>
        <w:rPr>
          <w:rFonts w:eastAsia="仿宋_GB2312"/>
          <w:color w:val="000000"/>
          <w:sz w:val="30"/>
          <w:szCs w:val="32"/>
        </w:rPr>
        <w:t xml:space="preserve"> 天内，</w:t>
      </w:r>
      <w:r>
        <w:rPr>
          <w:rFonts w:hint="eastAsia" w:eastAsia="仿宋_GB2312"/>
          <w:color w:val="000000"/>
          <w:sz w:val="30"/>
          <w:szCs w:val="32"/>
        </w:rPr>
        <w:t>累计支付至竣工结算价款的</w:t>
      </w:r>
      <w:r>
        <w:rPr>
          <w:rFonts w:eastAsia="仿宋_GB2312"/>
          <w:color w:val="000000"/>
          <w:sz w:val="30"/>
          <w:szCs w:val="32"/>
        </w:rPr>
        <w:t>97%，余3%</w:t>
      </w:r>
      <w:r>
        <w:rPr>
          <w:rFonts w:hint="eastAsia" w:eastAsia="仿宋_GB2312"/>
          <w:color w:val="000000"/>
          <w:sz w:val="30"/>
          <w:szCs w:val="32"/>
        </w:rPr>
        <w:t>质保</w:t>
      </w:r>
      <w:r>
        <w:rPr>
          <w:rFonts w:eastAsia="仿宋_GB2312"/>
          <w:color w:val="000000"/>
          <w:sz w:val="30"/>
          <w:szCs w:val="32"/>
        </w:rPr>
        <w:t>金，待保修期满后一次性付清。</w:t>
      </w:r>
    </w:p>
    <w:p w14:paraId="1B16B0D6">
      <w:pPr>
        <w:spacing w:after="120" w:line="360" w:lineRule="auto"/>
        <w:ind w:firstLine="600" w:firstLineChars="200"/>
        <w:rPr>
          <w:rFonts w:eastAsia="黑体"/>
          <w:color w:val="000000"/>
          <w:sz w:val="30"/>
          <w:szCs w:val="32"/>
        </w:rPr>
      </w:pPr>
      <w:r>
        <w:rPr>
          <w:rFonts w:eastAsia="黑体"/>
          <w:color w:val="000000"/>
          <w:sz w:val="30"/>
          <w:szCs w:val="32"/>
        </w:rPr>
        <w:t>14.4 最终结清</w:t>
      </w:r>
    </w:p>
    <w:p w14:paraId="40EA2B11">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14.4.1 最终结清申请单</w:t>
      </w:r>
    </w:p>
    <w:p w14:paraId="5C175E8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承包人提交最终结清申请单的份数：</w:t>
      </w:r>
      <w:r>
        <w:rPr>
          <w:rFonts w:eastAsia="仿宋_GB2312"/>
          <w:color w:val="000000"/>
          <w:sz w:val="30"/>
          <w:szCs w:val="32"/>
          <w:u w:val="single"/>
        </w:rPr>
        <w:t xml:space="preserve">  </w:t>
      </w:r>
      <w:r>
        <w:rPr>
          <w:rFonts w:hint="eastAsia" w:eastAsia="仿宋_GB2312"/>
          <w:color w:val="000000"/>
          <w:sz w:val="30"/>
          <w:szCs w:val="32"/>
          <w:u w:val="single"/>
        </w:rPr>
        <w:t>三份</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4A7714DB">
      <w:pPr>
        <w:spacing w:line="360" w:lineRule="auto"/>
        <w:ind w:firstLine="600" w:firstLineChars="200"/>
        <w:jc w:val="left"/>
        <w:rPr>
          <w:rFonts w:eastAsia="仿宋_GB2312"/>
          <w:sz w:val="30"/>
          <w:szCs w:val="32"/>
        </w:rPr>
      </w:pPr>
      <w:r>
        <w:rPr>
          <w:rFonts w:eastAsia="仿宋_GB2312"/>
          <w:color w:val="000000"/>
          <w:kern w:val="0"/>
          <w:sz w:val="30"/>
          <w:szCs w:val="32"/>
        </w:rPr>
        <w:t>承包人提交最终结算申请单的期限：</w:t>
      </w:r>
      <w:r>
        <w:rPr>
          <w:rFonts w:eastAsia="仿宋_GB2312"/>
          <w:color w:val="000000"/>
          <w:sz w:val="30"/>
          <w:szCs w:val="32"/>
          <w:u w:val="single"/>
        </w:rPr>
        <w:t xml:space="preserve">  </w:t>
      </w:r>
      <w:r>
        <w:rPr>
          <w:rFonts w:hint="eastAsia" w:eastAsia="仿宋_GB2312"/>
          <w:color w:val="000000"/>
          <w:sz w:val="30"/>
          <w:szCs w:val="32"/>
          <w:u w:val="single"/>
        </w:rPr>
        <w:t>承包人应在缺陷责任期终止证书颁发后7天内，向发包人提交最终结清申请单，并提供相关证明材料</w:t>
      </w:r>
      <w:r>
        <w:rPr>
          <w:rFonts w:eastAsia="仿宋_GB2312"/>
          <w:color w:val="000000"/>
          <w:sz w:val="30"/>
          <w:szCs w:val="32"/>
        </w:rPr>
        <w:t>。</w:t>
      </w:r>
      <w:r>
        <w:rPr>
          <w:rFonts w:eastAsia="仿宋_GB2312"/>
          <w:sz w:val="30"/>
          <w:szCs w:val="32"/>
        </w:rPr>
        <w:t xml:space="preserve"> </w:t>
      </w:r>
    </w:p>
    <w:p w14:paraId="0056EBCB">
      <w:pPr>
        <w:spacing w:line="360" w:lineRule="auto"/>
        <w:ind w:firstLine="600" w:firstLineChars="200"/>
        <w:jc w:val="left"/>
        <w:rPr>
          <w:rFonts w:eastAsia="仿宋_GB2312"/>
          <w:sz w:val="30"/>
          <w:szCs w:val="32"/>
        </w:rPr>
      </w:pPr>
      <w:r>
        <w:rPr>
          <w:rFonts w:eastAsia="仿宋_GB2312"/>
          <w:sz w:val="30"/>
          <w:szCs w:val="32"/>
        </w:rPr>
        <w:t>14.4.2 最终结清证书和支付</w:t>
      </w:r>
    </w:p>
    <w:p w14:paraId="4103C4B1">
      <w:pPr>
        <w:spacing w:line="360" w:lineRule="auto"/>
        <w:ind w:firstLine="600" w:firstLineChars="200"/>
        <w:jc w:val="left"/>
        <w:rPr>
          <w:rFonts w:eastAsia="仿宋_GB2312"/>
          <w:sz w:val="30"/>
          <w:szCs w:val="32"/>
        </w:rPr>
      </w:pPr>
      <w:r>
        <w:rPr>
          <w:rFonts w:eastAsia="仿宋_GB2312"/>
          <w:sz w:val="30"/>
          <w:szCs w:val="32"/>
        </w:rPr>
        <w:t>（1）发包人完成最终结清申请单的</w:t>
      </w:r>
      <w:r>
        <w:rPr>
          <w:rFonts w:hint="eastAsia" w:eastAsia="仿宋_GB2312"/>
          <w:sz w:val="30"/>
          <w:szCs w:val="32"/>
        </w:rPr>
        <w:t>审批</w:t>
      </w:r>
      <w:r>
        <w:rPr>
          <w:rFonts w:eastAsia="仿宋_GB2312"/>
          <w:sz w:val="30"/>
          <w:szCs w:val="32"/>
        </w:rPr>
        <w:t>并颁发最终结清证书的期限：</w:t>
      </w:r>
      <w:r>
        <w:rPr>
          <w:rFonts w:eastAsia="仿宋_GB2312"/>
          <w:color w:val="000000"/>
          <w:sz w:val="30"/>
          <w:szCs w:val="32"/>
          <w:u w:val="single"/>
        </w:rPr>
        <w:t xml:space="preserve">  </w:t>
      </w:r>
      <w:r>
        <w:rPr>
          <w:rFonts w:hint="eastAsia" w:eastAsia="仿宋_GB2312"/>
          <w:color w:val="000000"/>
          <w:sz w:val="30"/>
          <w:szCs w:val="32"/>
          <w:u w:val="single"/>
        </w:rPr>
        <w:t xml:space="preserve">发包人应在收到承包人提交的最终结清申请单后14天内完成审批并向承包颁发最终结清证书 </w:t>
      </w:r>
      <w:r>
        <w:rPr>
          <w:rFonts w:eastAsia="仿宋_GB2312"/>
          <w:color w:val="000000"/>
          <w:sz w:val="30"/>
          <w:szCs w:val="32"/>
          <w:u w:val="single"/>
        </w:rPr>
        <w:t xml:space="preserve">    </w:t>
      </w:r>
      <w:r>
        <w:rPr>
          <w:rFonts w:eastAsia="仿宋_GB2312"/>
          <w:color w:val="000000"/>
          <w:sz w:val="30"/>
          <w:szCs w:val="32"/>
        </w:rPr>
        <w:t>。</w:t>
      </w:r>
    </w:p>
    <w:p w14:paraId="1968145A">
      <w:pPr>
        <w:spacing w:line="360" w:lineRule="auto"/>
        <w:ind w:firstLine="600" w:firstLineChars="200"/>
        <w:jc w:val="left"/>
        <w:rPr>
          <w:rFonts w:eastAsia="仿宋_GB2312"/>
          <w:color w:val="000000"/>
          <w:sz w:val="30"/>
          <w:szCs w:val="32"/>
        </w:rPr>
      </w:pPr>
      <w:r>
        <w:rPr>
          <w:rFonts w:eastAsia="仿宋_GB2312"/>
          <w:sz w:val="30"/>
          <w:szCs w:val="32"/>
        </w:rPr>
        <w:t>（2）发包人完成支付的期限：</w:t>
      </w:r>
      <w:r>
        <w:rPr>
          <w:rFonts w:eastAsia="仿宋_GB2312"/>
          <w:color w:val="000000"/>
          <w:sz w:val="30"/>
          <w:szCs w:val="32"/>
          <w:u w:val="single"/>
        </w:rPr>
        <w:t xml:space="preserve">   在颁发最终结清证书后28天内完成支付  </w:t>
      </w:r>
      <w:r>
        <w:rPr>
          <w:rFonts w:eastAsia="仿宋_GB2312"/>
          <w:color w:val="000000"/>
          <w:sz w:val="30"/>
          <w:szCs w:val="32"/>
        </w:rPr>
        <w:t>。</w:t>
      </w:r>
    </w:p>
    <w:p w14:paraId="4A5A6431">
      <w:pPr>
        <w:spacing w:line="360" w:lineRule="auto"/>
        <w:ind w:firstLine="600" w:firstLineChars="200"/>
        <w:jc w:val="left"/>
        <w:rPr>
          <w:rFonts w:eastAsia="仿宋_GB2312"/>
          <w:color w:val="000000"/>
          <w:sz w:val="30"/>
          <w:szCs w:val="32"/>
        </w:rPr>
      </w:pPr>
      <w:r>
        <w:rPr>
          <w:rFonts w:eastAsia="仿宋_GB2312"/>
          <w:color w:val="000000"/>
          <w:sz w:val="30"/>
          <w:szCs w:val="32"/>
        </w:rPr>
        <w:t>14.5</w:t>
      </w:r>
      <w:r>
        <w:rPr>
          <w:rFonts w:hint="eastAsia" w:eastAsia="仿宋_GB2312"/>
          <w:color w:val="000000"/>
          <w:sz w:val="30"/>
          <w:szCs w:val="32"/>
        </w:rPr>
        <w:t>竣工结算办理依据</w:t>
      </w:r>
    </w:p>
    <w:bookmarkEnd w:id="476"/>
    <w:bookmarkEnd w:id="477"/>
    <w:bookmarkEnd w:id="478"/>
    <w:bookmarkEnd w:id="479"/>
    <w:bookmarkEnd w:id="480"/>
    <w:bookmarkEnd w:id="481"/>
    <w:bookmarkEnd w:id="482"/>
    <w:bookmarkEnd w:id="488"/>
    <w:p w14:paraId="091C4751">
      <w:pPr>
        <w:spacing w:line="360" w:lineRule="auto"/>
        <w:ind w:firstLine="600" w:firstLineChars="200"/>
        <w:jc w:val="left"/>
        <w:rPr>
          <w:rFonts w:eastAsia="仿宋_GB2312"/>
          <w:sz w:val="30"/>
          <w:szCs w:val="32"/>
        </w:rPr>
      </w:pPr>
      <w:bookmarkStart w:id="490" w:name="_Toc351203647"/>
      <w:bookmarkStart w:id="491" w:name="_Toc267251483"/>
      <w:bookmarkStart w:id="492" w:name="_Toc267251484"/>
      <w:bookmarkStart w:id="493" w:name="_Toc267251482"/>
      <w:bookmarkStart w:id="494" w:name="_Toc267251485"/>
      <w:bookmarkStart w:id="495" w:name="_Toc267251489"/>
      <w:bookmarkStart w:id="496" w:name="_Toc267251486"/>
      <w:bookmarkStart w:id="497" w:name="_Toc267251488"/>
      <w:bookmarkStart w:id="498" w:name="_Toc267251490"/>
      <w:bookmarkStart w:id="499" w:name="_Toc267251491"/>
      <w:bookmarkStart w:id="500" w:name="_Toc267251498"/>
      <w:bookmarkStart w:id="501" w:name="_Toc267251492"/>
      <w:bookmarkStart w:id="502" w:name="_Toc267251497"/>
      <w:bookmarkStart w:id="503" w:name="_Toc267251494"/>
      <w:bookmarkStart w:id="504" w:name="_Toc267251501"/>
      <w:bookmarkStart w:id="505" w:name="_Toc267251495"/>
      <w:bookmarkStart w:id="506" w:name="_Toc267251503"/>
      <w:bookmarkStart w:id="507" w:name="_Toc267251499"/>
      <w:bookmarkStart w:id="508" w:name="_Toc267251496"/>
      <w:bookmarkStart w:id="509" w:name="_Toc267251493"/>
      <w:bookmarkStart w:id="510" w:name="_Toc267251502"/>
      <w:bookmarkStart w:id="511" w:name="_Toc267251506"/>
      <w:bookmarkStart w:id="512" w:name="_Toc267251504"/>
      <w:bookmarkStart w:id="513" w:name="_Toc267251507"/>
      <w:bookmarkStart w:id="514" w:name="_Toc267251508"/>
      <w:bookmarkStart w:id="515" w:name="_Toc267251515"/>
      <w:bookmarkStart w:id="516" w:name="_Toc267251510"/>
      <w:bookmarkStart w:id="517" w:name="_Toc267251513"/>
      <w:bookmarkStart w:id="518" w:name="_Toc267251511"/>
      <w:bookmarkStart w:id="519" w:name="_Toc267251509"/>
      <w:bookmarkStart w:id="520" w:name="_Toc267251514"/>
      <w:r>
        <w:rPr>
          <w:rFonts w:eastAsia="仿宋_GB2312"/>
          <w:color w:val="000000"/>
          <w:kern w:val="0"/>
          <w:sz w:val="30"/>
          <w:szCs w:val="32"/>
        </w:rPr>
        <w:t>14.5.1</w:t>
      </w:r>
      <w:r>
        <w:rPr>
          <w:rFonts w:hint="eastAsia" w:eastAsia="仿宋_GB2312"/>
          <w:color w:val="000000"/>
          <w:kern w:val="0"/>
          <w:sz w:val="30"/>
          <w:szCs w:val="32"/>
        </w:rPr>
        <w:t>本工程采用定额计价方式办理结算，按照《重庆市建设工程工程量计算规则》（CQJLGZ-2013）、《重庆市通用安装工程计价定额》（CQAZDE-2018）、《重庆市建设工程费用定额》（CQFYDE-2018）及相关配套文件执行。人工费调整按大渡口区和长寿区分别执行“重庆市工程造价信息”发布的2025年长寿区第四季度人工信息价格，未计价材料价格按合同签订日期《重庆工程造价信息》发布的项目所在地的信息价（厂商推荐价格和厂商推广价格除外）执行，如所在地区县没有相关材料信息价，则按主城区信息价（综合价格信息）执行，信息价缺项时由发包人结合市场价格进行批复确认，除零星机械台班、材料和经审批的特殊施工方案中明确的机械台班、材料按发包人核价执行，其余辅材及施工机具费不调差。</w:t>
      </w:r>
      <w:r>
        <w:rPr>
          <w:rFonts w:eastAsia="仿宋_GB2312"/>
          <w:sz w:val="30"/>
          <w:szCs w:val="32"/>
        </w:rPr>
        <w:t xml:space="preserve"> </w:t>
      </w:r>
    </w:p>
    <w:p w14:paraId="616FFD90">
      <w:pPr>
        <w:spacing w:line="360" w:lineRule="auto"/>
        <w:ind w:firstLine="600" w:firstLineChars="200"/>
        <w:jc w:val="left"/>
        <w:rPr>
          <w:rFonts w:eastAsia="仿宋_GB2312"/>
          <w:color w:val="000000"/>
          <w:sz w:val="30"/>
          <w:szCs w:val="32"/>
        </w:rPr>
      </w:pPr>
      <w:r>
        <w:rPr>
          <w:rFonts w:eastAsia="仿宋_GB2312"/>
          <w:sz w:val="30"/>
          <w:szCs w:val="32"/>
        </w:rPr>
        <w:t>14.5.2</w:t>
      </w:r>
      <w:r>
        <w:rPr>
          <w:rFonts w:hint="eastAsia" w:eastAsia="仿宋_GB2312"/>
          <w:sz w:val="30"/>
          <w:szCs w:val="32"/>
        </w:rPr>
        <w:t>本工程采取结算税前下浮</w:t>
      </w:r>
      <w:r>
        <w:rPr>
          <w:rFonts w:hint="eastAsia" w:eastAsia="仿宋_GB2312"/>
          <w:sz w:val="30"/>
          <w:szCs w:val="32"/>
          <w:u w:val="single"/>
        </w:rPr>
        <w:t xml:space="preserve"> </w:t>
      </w:r>
      <w:r>
        <w:rPr>
          <w:rFonts w:eastAsia="仿宋_GB2312"/>
          <w:sz w:val="30"/>
          <w:szCs w:val="32"/>
          <w:u w:val="single"/>
        </w:rPr>
        <w:t xml:space="preserve">    </w:t>
      </w:r>
      <w:r>
        <w:rPr>
          <w:rFonts w:hint="eastAsia" w:eastAsia="仿宋_GB2312"/>
          <w:sz w:val="30"/>
          <w:szCs w:val="32"/>
          <w:u w:val="single"/>
        </w:rPr>
        <w:t xml:space="preserve"> </w:t>
      </w:r>
      <w:r>
        <w:rPr>
          <w:rFonts w:hint="eastAsia" w:eastAsia="仿宋_GB2312"/>
          <w:sz w:val="30"/>
          <w:szCs w:val="32"/>
        </w:rPr>
        <w:t>（其中安全文明施工费、规费、已核价材料费、按实计算费用不参与下浮）。</w:t>
      </w:r>
    </w:p>
    <w:p w14:paraId="1A3EE59C">
      <w:pPr>
        <w:pStyle w:val="5"/>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15. 缺陷责任期与保修</w:t>
      </w:r>
      <w:bookmarkEnd w:id="490"/>
    </w:p>
    <w:p w14:paraId="58FE15C5">
      <w:pPr>
        <w:spacing w:after="120" w:line="360" w:lineRule="auto"/>
        <w:ind w:firstLine="600" w:firstLineChars="200"/>
        <w:rPr>
          <w:rFonts w:eastAsia="黑体"/>
          <w:color w:val="000000"/>
          <w:sz w:val="30"/>
          <w:szCs w:val="32"/>
        </w:rPr>
      </w:pPr>
      <w:r>
        <w:rPr>
          <w:rFonts w:eastAsia="黑体"/>
          <w:color w:val="000000"/>
          <w:sz w:val="30"/>
          <w:szCs w:val="32"/>
        </w:rPr>
        <w:t>15.2缺陷责任期</w:t>
      </w:r>
      <w:bookmarkEnd w:id="491"/>
    </w:p>
    <w:p w14:paraId="6246324B">
      <w:pPr>
        <w:spacing w:line="360" w:lineRule="auto"/>
        <w:ind w:firstLine="600" w:firstLineChars="200"/>
        <w:jc w:val="left"/>
        <w:rPr>
          <w:rFonts w:eastAsia="仿宋_GB2312"/>
          <w:color w:val="000000"/>
          <w:sz w:val="30"/>
          <w:szCs w:val="32"/>
        </w:rPr>
      </w:pPr>
      <w:r>
        <w:rPr>
          <w:rFonts w:eastAsia="仿宋_GB2312"/>
          <w:color w:val="000000"/>
          <w:sz w:val="30"/>
          <w:szCs w:val="32"/>
        </w:rPr>
        <w:t>缺陷责任期的具体期限：</w:t>
      </w:r>
      <w:r>
        <w:rPr>
          <w:rFonts w:eastAsia="仿宋_GB2312"/>
          <w:color w:val="000000"/>
          <w:sz w:val="30"/>
          <w:szCs w:val="32"/>
          <w:u w:val="single"/>
        </w:rPr>
        <w:t xml:space="preserve">  </w:t>
      </w:r>
      <w:r>
        <w:rPr>
          <w:rFonts w:hint="eastAsia" w:eastAsia="仿宋_GB2312"/>
          <w:color w:val="000000"/>
          <w:sz w:val="30"/>
          <w:szCs w:val="32"/>
          <w:u w:val="single"/>
        </w:rPr>
        <w:t>自工程通过竣工验收之日起计算24个月</w:t>
      </w:r>
      <w:r>
        <w:rPr>
          <w:rFonts w:eastAsia="仿宋_GB2312"/>
          <w:color w:val="000000"/>
          <w:sz w:val="30"/>
          <w:szCs w:val="32"/>
          <w:u w:val="single"/>
        </w:rPr>
        <w:t xml:space="preserve">  </w:t>
      </w:r>
      <w:r>
        <w:rPr>
          <w:rFonts w:eastAsia="仿宋_GB2312"/>
          <w:color w:val="000000"/>
          <w:sz w:val="30"/>
          <w:szCs w:val="32"/>
        </w:rPr>
        <w:t>。</w:t>
      </w:r>
    </w:p>
    <w:p w14:paraId="49B11175">
      <w:pPr>
        <w:spacing w:after="120" w:line="360" w:lineRule="auto"/>
        <w:ind w:firstLine="600" w:firstLineChars="200"/>
        <w:outlineLvl w:val="0"/>
        <w:rPr>
          <w:rFonts w:eastAsia="黑体"/>
          <w:color w:val="000000"/>
          <w:sz w:val="30"/>
          <w:szCs w:val="32"/>
        </w:rPr>
      </w:pPr>
      <w:r>
        <w:rPr>
          <w:rFonts w:eastAsia="黑体"/>
          <w:color w:val="000000"/>
          <w:sz w:val="30"/>
          <w:szCs w:val="32"/>
        </w:rPr>
        <w:t>15.3 质量保证金</w:t>
      </w:r>
    </w:p>
    <w:p w14:paraId="62A83A1C">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关于是否扣留质量保证金的约定：</w:t>
      </w:r>
      <w:r>
        <w:rPr>
          <w:rFonts w:eastAsia="仿宋_GB2312"/>
          <w:color w:val="000000"/>
          <w:sz w:val="30"/>
          <w:szCs w:val="32"/>
          <w:u w:val="single"/>
        </w:rPr>
        <w:t xml:space="preserve"> </w:t>
      </w:r>
      <w:r>
        <w:rPr>
          <w:rFonts w:hint="eastAsia" w:eastAsia="仿宋_GB2312"/>
          <w:color w:val="000000"/>
          <w:sz w:val="30"/>
          <w:szCs w:val="32"/>
          <w:u w:val="single"/>
        </w:rPr>
        <w:t>是</w:t>
      </w:r>
      <w:r>
        <w:rPr>
          <w:rFonts w:eastAsia="仿宋_GB2312"/>
          <w:color w:val="000000"/>
          <w:sz w:val="30"/>
          <w:szCs w:val="32"/>
          <w:u w:val="single"/>
        </w:rPr>
        <w:t xml:space="preserve">  </w:t>
      </w:r>
      <w:r>
        <w:rPr>
          <w:rFonts w:eastAsia="仿宋_GB2312"/>
          <w:color w:val="000000"/>
          <w:sz w:val="30"/>
          <w:szCs w:val="32"/>
        </w:rPr>
        <w:t>。</w:t>
      </w:r>
    </w:p>
    <w:p w14:paraId="6E123380">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在工程项目竣工前，承包人按专用合同条款第3.7条提供履约担保的，发包人不得同时预留工程质量保证金。</w:t>
      </w:r>
    </w:p>
    <w:p w14:paraId="22721866">
      <w:pPr>
        <w:spacing w:line="360" w:lineRule="auto"/>
        <w:ind w:firstLine="600" w:firstLineChars="200"/>
        <w:jc w:val="left"/>
        <w:outlineLvl w:val="0"/>
        <w:rPr>
          <w:rFonts w:eastAsia="仿宋_GB2312"/>
          <w:color w:val="000000"/>
          <w:sz w:val="30"/>
          <w:szCs w:val="32"/>
        </w:rPr>
      </w:pPr>
      <w:r>
        <w:rPr>
          <w:rFonts w:eastAsia="仿宋_GB2312"/>
          <w:color w:val="000000"/>
          <w:sz w:val="30"/>
          <w:szCs w:val="32"/>
        </w:rPr>
        <w:t xml:space="preserve">15.3.1 </w:t>
      </w:r>
      <w:r>
        <w:rPr>
          <w:rFonts w:hint="eastAsia" w:eastAsia="仿宋_GB2312"/>
          <w:color w:val="000000"/>
          <w:sz w:val="30"/>
          <w:szCs w:val="32"/>
        </w:rPr>
        <w:t>承包人提供</w:t>
      </w:r>
      <w:r>
        <w:rPr>
          <w:rFonts w:eastAsia="仿宋_GB2312"/>
          <w:color w:val="000000"/>
          <w:sz w:val="30"/>
          <w:szCs w:val="32"/>
        </w:rPr>
        <w:t>质量保证金的</w:t>
      </w:r>
      <w:r>
        <w:rPr>
          <w:rFonts w:hint="eastAsia" w:eastAsia="仿宋_GB2312"/>
          <w:color w:val="000000"/>
          <w:sz w:val="30"/>
          <w:szCs w:val="32"/>
        </w:rPr>
        <w:t>方</w:t>
      </w:r>
      <w:r>
        <w:rPr>
          <w:rFonts w:eastAsia="仿宋_GB2312"/>
          <w:color w:val="000000"/>
          <w:sz w:val="30"/>
          <w:szCs w:val="32"/>
        </w:rPr>
        <w:t>式</w:t>
      </w:r>
    </w:p>
    <w:p w14:paraId="50C42E80">
      <w:pPr>
        <w:spacing w:line="360" w:lineRule="auto"/>
        <w:ind w:firstLine="600" w:firstLineChars="200"/>
        <w:jc w:val="left"/>
        <w:rPr>
          <w:rFonts w:eastAsia="仿宋_GB2312"/>
          <w:color w:val="000000"/>
          <w:sz w:val="30"/>
          <w:szCs w:val="32"/>
        </w:rPr>
      </w:pPr>
      <w:r>
        <w:rPr>
          <w:rFonts w:eastAsia="仿宋_GB2312"/>
          <w:color w:val="000000"/>
          <w:sz w:val="30"/>
          <w:szCs w:val="32"/>
        </w:rPr>
        <w:t>质量保证金采用以下第</w:t>
      </w:r>
      <w:r>
        <w:rPr>
          <w:rFonts w:eastAsia="仿宋_GB2312"/>
          <w:color w:val="000000"/>
          <w:sz w:val="30"/>
          <w:szCs w:val="32"/>
          <w:u w:val="single"/>
        </w:rPr>
        <w:t xml:space="preserve"> </w:t>
      </w:r>
      <w:r>
        <w:rPr>
          <w:rFonts w:hint="eastAsia" w:eastAsia="仿宋_GB2312"/>
          <w:color w:val="000000"/>
          <w:sz w:val="30"/>
          <w:szCs w:val="32"/>
          <w:u w:val="single"/>
        </w:rPr>
        <w:t xml:space="preserve"> 2</w:t>
      </w:r>
      <w:r>
        <w:rPr>
          <w:rFonts w:eastAsia="仿宋_GB2312"/>
          <w:color w:val="000000"/>
          <w:sz w:val="30"/>
          <w:szCs w:val="32"/>
          <w:u w:val="single"/>
        </w:rPr>
        <w:t xml:space="preserve">  </w:t>
      </w:r>
      <w:r>
        <w:rPr>
          <w:rFonts w:eastAsia="仿宋_GB2312"/>
          <w:color w:val="000000"/>
          <w:sz w:val="30"/>
          <w:szCs w:val="32"/>
        </w:rPr>
        <w:t>种方式：</w:t>
      </w:r>
    </w:p>
    <w:p w14:paraId="1F935AD9">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（1）质量保证金保函，保证金额为：</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rPr>
        <w:t xml:space="preserve">； </w:t>
      </w:r>
    </w:p>
    <w:p w14:paraId="238219AD">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w:t>
      </w:r>
      <w:r>
        <w:rPr>
          <w:rFonts w:eastAsia="仿宋_GB2312"/>
          <w:color w:val="000000"/>
          <w:kern w:val="0"/>
          <w:sz w:val="30"/>
          <w:szCs w:val="32"/>
          <w:u w:val="single"/>
        </w:rPr>
        <w:t xml:space="preserve">  3  </w:t>
      </w:r>
      <w:r>
        <w:rPr>
          <w:rFonts w:eastAsia="仿宋_GB2312"/>
          <w:color w:val="000000"/>
          <w:kern w:val="0"/>
          <w:sz w:val="30"/>
          <w:szCs w:val="32"/>
        </w:rPr>
        <w:t>%的工程款；</w:t>
      </w:r>
    </w:p>
    <w:p w14:paraId="30E4D0CE">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（3）其他</w:t>
      </w:r>
      <w:r>
        <w:rPr>
          <w:rFonts w:hint="eastAsia" w:eastAsia="仿宋_GB2312"/>
          <w:color w:val="000000"/>
          <w:kern w:val="0"/>
          <w:sz w:val="30"/>
          <w:szCs w:val="32"/>
        </w:rPr>
        <w:t>方</w:t>
      </w:r>
      <w:r>
        <w:rPr>
          <w:rFonts w:eastAsia="仿宋_GB2312"/>
          <w:color w:val="000000"/>
          <w:kern w:val="0"/>
          <w:sz w:val="30"/>
          <w:szCs w:val="32"/>
        </w:rPr>
        <w:t>式:</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rPr>
        <w:t>。</w:t>
      </w:r>
    </w:p>
    <w:p w14:paraId="1F6B5C84">
      <w:pPr>
        <w:spacing w:line="360" w:lineRule="auto"/>
        <w:ind w:firstLine="600" w:firstLineChars="200"/>
        <w:jc w:val="left"/>
        <w:outlineLvl w:val="0"/>
        <w:rPr>
          <w:rFonts w:eastAsia="仿宋_GB2312"/>
          <w:color w:val="000000"/>
          <w:sz w:val="30"/>
          <w:szCs w:val="32"/>
        </w:rPr>
      </w:pPr>
      <w:r>
        <w:rPr>
          <w:rFonts w:eastAsia="仿宋_GB2312"/>
          <w:color w:val="000000"/>
          <w:sz w:val="30"/>
          <w:szCs w:val="32"/>
        </w:rPr>
        <w:t xml:space="preserve">15.3.2 质量保证金的扣留 </w:t>
      </w:r>
    </w:p>
    <w:p w14:paraId="22D2D602">
      <w:pPr>
        <w:spacing w:line="360" w:lineRule="auto"/>
        <w:ind w:firstLine="600" w:firstLineChars="200"/>
        <w:jc w:val="left"/>
        <w:rPr>
          <w:rFonts w:eastAsia="仿宋_GB2312"/>
          <w:color w:val="000000"/>
          <w:sz w:val="30"/>
          <w:szCs w:val="32"/>
        </w:rPr>
      </w:pPr>
      <w:r>
        <w:rPr>
          <w:rFonts w:eastAsia="仿宋_GB2312"/>
          <w:color w:val="000000"/>
          <w:sz w:val="30"/>
          <w:szCs w:val="32"/>
        </w:rPr>
        <w:t>质量保证金的扣留采取以下第</w:t>
      </w:r>
      <w:r>
        <w:rPr>
          <w:rFonts w:eastAsia="仿宋_GB2312"/>
          <w:color w:val="000000"/>
          <w:sz w:val="30"/>
          <w:szCs w:val="32"/>
          <w:u w:val="single"/>
        </w:rPr>
        <w:t xml:space="preserve"> </w:t>
      </w:r>
      <w:r>
        <w:rPr>
          <w:rFonts w:hint="eastAsia" w:eastAsia="仿宋_GB2312"/>
          <w:color w:val="000000"/>
          <w:sz w:val="30"/>
          <w:szCs w:val="32"/>
          <w:u w:val="single"/>
        </w:rPr>
        <w:t xml:space="preserve"> 2</w:t>
      </w:r>
      <w:r>
        <w:rPr>
          <w:rFonts w:eastAsia="仿宋_GB2312"/>
          <w:color w:val="000000"/>
          <w:sz w:val="30"/>
          <w:szCs w:val="32"/>
          <w:u w:val="single"/>
        </w:rPr>
        <w:t xml:space="preserve">  </w:t>
      </w:r>
      <w:r>
        <w:rPr>
          <w:rFonts w:eastAsia="仿宋_GB2312"/>
          <w:color w:val="000000"/>
          <w:sz w:val="30"/>
          <w:szCs w:val="32"/>
        </w:rPr>
        <w:t>种方式：</w:t>
      </w:r>
    </w:p>
    <w:p w14:paraId="2F0C10C2">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（1）在支付工程进度款时逐次扣留，在此情形下，质量保证金的计算基数不包括预付款的支付、扣回以及价格调整的金额；</w:t>
      </w:r>
    </w:p>
    <w:p w14:paraId="355166B3">
      <w:pPr>
        <w:autoSpaceDE w:val="0"/>
        <w:autoSpaceDN w:val="0"/>
        <w:adjustRightInd w:val="0"/>
        <w:spacing w:line="360" w:lineRule="auto"/>
        <w:ind w:firstLine="600" w:firstLineChars="200"/>
        <w:jc w:val="left"/>
        <w:outlineLvl w:val="0"/>
        <w:rPr>
          <w:rFonts w:eastAsia="仿宋_GB2312"/>
          <w:color w:val="000000"/>
          <w:kern w:val="0"/>
          <w:sz w:val="30"/>
          <w:szCs w:val="32"/>
        </w:rPr>
      </w:pPr>
      <w:r>
        <w:rPr>
          <w:rFonts w:eastAsia="仿宋_GB2312"/>
          <w:color w:val="000000"/>
          <w:kern w:val="0"/>
          <w:sz w:val="30"/>
          <w:szCs w:val="32"/>
        </w:rPr>
        <w:t>（2）工程竣工结算时一次性扣留质量保证金；</w:t>
      </w:r>
    </w:p>
    <w:p w14:paraId="5FDA1A87">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（3）其他扣留方式:</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rPr>
        <w:t>。</w:t>
      </w:r>
    </w:p>
    <w:p w14:paraId="0E165072">
      <w:pPr>
        <w:spacing w:line="360" w:lineRule="auto"/>
        <w:ind w:firstLine="600" w:firstLineChars="200"/>
        <w:jc w:val="left"/>
        <w:rPr>
          <w:rFonts w:eastAsia="仿宋_GB2312"/>
          <w:color w:val="000000"/>
          <w:kern w:val="0"/>
          <w:sz w:val="30"/>
          <w:szCs w:val="32"/>
          <w:u w:val="single"/>
        </w:rPr>
      </w:pPr>
      <w:r>
        <w:rPr>
          <w:rFonts w:eastAsia="仿宋_GB2312"/>
          <w:color w:val="000000"/>
          <w:sz w:val="30"/>
          <w:szCs w:val="32"/>
        </w:rPr>
        <w:t>关于质量保证金的补充约定：</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发包人退还质量保证金时仅退还本金，不另计利息   </w:t>
      </w:r>
      <w:r>
        <w:rPr>
          <w:rFonts w:eastAsia="仿宋_GB2312"/>
          <w:color w:val="000000"/>
          <w:kern w:val="0"/>
          <w:sz w:val="30"/>
          <w:szCs w:val="32"/>
        </w:rPr>
        <w:t>。</w:t>
      </w:r>
    </w:p>
    <w:bookmarkEnd w:id="492"/>
    <w:bookmarkEnd w:id="493"/>
    <w:p w14:paraId="5600737B">
      <w:pPr>
        <w:spacing w:after="120" w:line="360" w:lineRule="auto"/>
        <w:ind w:firstLine="600" w:firstLineChars="200"/>
        <w:rPr>
          <w:rFonts w:eastAsia="黑体"/>
          <w:color w:val="000000"/>
          <w:sz w:val="30"/>
          <w:szCs w:val="32"/>
        </w:rPr>
      </w:pPr>
      <w:r>
        <w:rPr>
          <w:rFonts w:eastAsia="黑体"/>
          <w:color w:val="000000"/>
          <w:sz w:val="30"/>
          <w:szCs w:val="32"/>
        </w:rPr>
        <w:t>15.4保修</w:t>
      </w:r>
    </w:p>
    <w:bookmarkEnd w:id="494"/>
    <w:p w14:paraId="25B8DC6A">
      <w:pPr>
        <w:spacing w:line="360" w:lineRule="auto"/>
        <w:ind w:firstLine="585" w:firstLineChars="195"/>
        <w:jc w:val="left"/>
        <w:rPr>
          <w:rFonts w:eastAsia="仿宋_GB2312"/>
          <w:color w:val="000000"/>
          <w:sz w:val="30"/>
          <w:szCs w:val="32"/>
        </w:rPr>
      </w:pPr>
      <w:r>
        <w:rPr>
          <w:rFonts w:eastAsia="仿宋_GB2312"/>
          <w:color w:val="000000"/>
          <w:sz w:val="30"/>
          <w:szCs w:val="32"/>
        </w:rPr>
        <w:t>15.4.1 保修责任</w:t>
      </w:r>
    </w:p>
    <w:p w14:paraId="2EB583D8">
      <w:pPr>
        <w:ind w:firstLine="600" w:firstLineChars="200"/>
        <w:rPr>
          <w:rFonts w:eastAsia="仿宋_GB2312"/>
          <w:color w:val="000000"/>
          <w:sz w:val="30"/>
          <w:szCs w:val="32"/>
        </w:rPr>
      </w:pPr>
      <w:r>
        <w:rPr>
          <w:rFonts w:eastAsia="仿宋_GB2312"/>
          <w:color w:val="000000"/>
          <w:sz w:val="30"/>
          <w:szCs w:val="32"/>
        </w:rPr>
        <w:t>工程保修期为：</w:t>
      </w:r>
    </w:p>
    <w:p w14:paraId="16B296B6">
      <w:pPr>
        <w:ind w:firstLine="600" w:firstLineChars="200"/>
        <w:rPr>
          <w:rFonts w:ascii="仿宋_GB2312" w:eastAsia="仿宋_GB2312"/>
          <w:sz w:val="30"/>
          <w:szCs w:val="30"/>
        </w:rPr>
      </w:pPr>
      <w:r>
        <w:rPr>
          <w:rFonts w:hint="eastAsia" w:eastAsia="仿宋_GB2312"/>
          <w:color w:val="000000"/>
          <w:sz w:val="30"/>
          <w:szCs w:val="30"/>
        </w:rPr>
        <w:t>（1）．</w:t>
      </w:r>
      <w:r>
        <w:rPr>
          <w:rFonts w:hint="eastAsia" w:ascii="仿宋_GB2312" w:eastAsia="仿宋_GB2312"/>
          <w:sz w:val="30"/>
          <w:szCs w:val="30"/>
        </w:rPr>
        <w:t>地基基础工程和主体结构工程为设计文件规定的工程合理使用年限；</w:t>
      </w:r>
    </w:p>
    <w:p w14:paraId="1ED20674">
      <w:pPr>
        <w:spacing w:line="360" w:lineRule="auto"/>
        <w:ind w:firstLine="600" w:firstLineChars="200"/>
        <w:rPr>
          <w:rFonts w:eastAsia="仿宋_GB2312"/>
          <w:color w:val="000000"/>
          <w:sz w:val="30"/>
          <w:szCs w:val="30"/>
        </w:rPr>
      </w:pPr>
      <w:r>
        <w:rPr>
          <w:rFonts w:hint="eastAsia" w:ascii="仿宋_GB2312" w:eastAsia="仿宋_GB2312"/>
          <w:sz w:val="30"/>
          <w:szCs w:val="30"/>
        </w:rPr>
        <w:t>（2）．</w:t>
      </w:r>
      <w:r>
        <w:rPr>
          <w:rFonts w:eastAsia="仿宋_GB2312"/>
          <w:color w:val="000000"/>
          <w:sz w:val="30"/>
          <w:szCs w:val="30"/>
        </w:rPr>
        <w:t>屋面防水工程、有防水要求的卫生间、房间和外墙面的防渗</w:t>
      </w:r>
      <w:r>
        <w:rPr>
          <w:rFonts w:hint="eastAsia" w:eastAsia="仿宋_GB2312"/>
          <w:color w:val="000000"/>
          <w:sz w:val="30"/>
          <w:szCs w:val="30"/>
        </w:rPr>
        <w:t>为</w:t>
      </w:r>
      <w:r>
        <w:rPr>
          <w:rFonts w:hint="eastAsia" w:eastAsia="仿宋_GB2312"/>
          <w:color w:val="000000"/>
          <w:sz w:val="30"/>
          <w:szCs w:val="30"/>
          <w:u w:val="single"/>
        </w:rPr>
        <w:t xml:space="preserve">5  </w:t>
      </w:r>
      <w:r>
        <w:rPr>
          <w:rFonts w:eastAsia="仿宋_GB2312"/>
          <w:color w:val="000000"/>
          <w:sz w:val="30"/>
          <w:szCs w:val="30"/>
        </w:rPr>
        <w:t>年；</w:t>
      </w:r>
    </w:p>
    <w:p w14:paraId="0120C47B">
      <w:pPr>
        <w:spacing w:line="360" w:lineRule="auto"/>
        <w:ind w:left="420" w:leftChars="200" w:firstLine="150" w:firstLineChars="50"/>
        <w:rPr>
          <w:rFonts w:eastAsia="仿宋_GB2312"/>
          <w:color w:val="000000"/>
          <w:sz w:val="30"/>
          <w:szCs w:val="30"/>
        </w:rPr>
      </w:pPr>
      <w:r>
        <w:rPr>
          <w:rFonts w:hint="eastAsia" w:ascii="仿宋_GB2312" w:eastAsia="仿宋_GB2312"/>
          <w:sz w:val="30"/>
          <w:szCs w:val="30"/>
        </w:rPr>
        <w:t>（3）．</w:t>
      </w:r>
      <w:r>
        <w:rPr>
          <w:rFonts w:eastAsia="仿宋_GB2312"/>
          <w:color w:val="000000"/>
          <w:sz w:val="30"/>
          <w:szCs w:val="30"/>
        </w:rPr>
        <w:t>装修工程为</w:t>
      </w:r>
      <w:r>
        <w:rPr>
          <w:rFonts w:eastAsia="仿宋_GB2312"/>
          <w:color w:val="000000"/>
          <w:sz w:val="30"/>
          <w:szCs w:val="30"/>
          <w:u w:val="single"/>
        </w:rPr>
        <w:t xml:space="preserve">   2  </w:t>
      </w:r>
      <w:r>
        <w:rPr>
          <w:rFonts w:eastAsia="仿宋_GB2312"/>
          <w:color w:val="000000"/>
          <w:sz w:val="30"/>
          <w:szCs w:val="30"/>
        </w:rPr>
        <w:t>年；</w:t>
      </w:r>
    </w:p>
    <w:p w14:paraId="7C3783EC">
      <w:pPr>
        <w:spacing w:line="360" w:lineRule="auto"/>
        <w:ind w:left="420" w:leftChars="200" w:firstLine="150" w:firstLineChars="50"/>
        <w:rPr>
          <w:rFonts w:eastAsia="仿宋_GB2312"/>
          <w:color w:val="000000"/>
          <w:sz w:val="30"/>
          <w:szCs w:val="30"/>
        </w:rPr>
      </w:pPr>
      <w:r>
        <w:rPr>
          <w:rFonts w:hint="eastAsia" w:ascii="仿宋_GB2312" w:eastAsia="仿宋_GB2312"/>
          <w:sz w:val="30"/>
          <w:szCs w:val="30"/>
        </w:rPr>
        <w:t>（4）．</w:t>
      </w:r>
      <w:r>
        <w:rPr>
          <w:rFonts w:eastAsia="仿宋_GB2312"/>
          <w:color w:val="000000"/>
          <w:sz w:val="30"/>
          <w:szCs w:val="30"/>
        </w:rPr>
        <w:t>电气管线、给排水管道、设备安装工程为</w:t>
      </w:r>
      <w:r>
        <w:rPr>
          <w:rFonts w:eastAsia="仿宋_GB2312"/>
          <w:color w:val="000000"/>
          <w:sz w:val="30"/>
          <w:szCs w:val="30"/>
          <w:u w:val="single"/>
        </w:rPr>
        <w:t xml:space="preserve">   2  </w:t>
      </w:r>
      <w:r>
        <w:rPr>
          <w:rFonts w:eastAsia="仿宋_GB2312"/>
          <w:color w:val="000000"/>
          <w:sz w:val="30"/>
          <w:szCs w:val="30"/>
        </w:rPr>
        <w:t>年；</w:t>
      </w:r>
    </w:p>
    <w:p w14:paraId="692BADD4">
      <w:pPr>
        <w:spacing w:line="360" w:lineRule="auto"/>
        <w:ind w:left="420" w:leftChars="200" w:firstLine="150" w:firstLineChars="50"/>
        <w:rPr>
          <w:rFonts w:eastAsia="仿宋_GB2312"/>
          <w:color w:val="000000"/>
          <w:sz w:val="30"/>
          <w:szCs w:val="30"/>
        </w:rPr>
      </w:pPr>
      <w:r>
        <w:rPr>
          <w:rFonts w:hint="eastAsia" w:ascii="仿宋_GB2312" w:eastAsia="仿宋_GB2312"/>
          <w:sz w:val="30"/>
          <w:szCs w:val="30"/>
        </w:rPr>
        <w:t>（5）．</w:t>
      </w:r>
      <w:r>
        <w:rPr>
          <w:rFonts w:eastAsia="仿宋_GB2312"/>
          <w:color w:val="000000"/>
          <w:sz w:val="30"/>
          <w:szCs w:val="30"/>
        </w:rPr>
        <w:t>供热与供冷系统为</w:t>
      </w:r>
      <w:r>
        <w:rPr>
          <w:rFonts w:eastAsia="仿宋_GB2312"/>
          <w:color w:val="000000"/>
          <w:sz w:val="30"/>
          <w:szCs w:val="30"/>
          <w:u w:val="single"/>
        </w:rPr>
        <w:t xml:space="preserve">  2  </w:t>
      </w:r>
      <w:r>
        <w:rPr>
          <w:rFonts w:eastAsia="仿宋_GB2312"/>
          <w:color w:val="000000"/>
          <w:sz w:val="30"/>
          <w:szCs w:val="30"/>
        </w:rPr>
        <w:t>个采暖期、供冷期；</w:t>
      </w:r>
    </w:p>
    <w:p w14:paraId="6D2B1FCD">
      <w:pPr>
        <w:spacing w:line="360" w:lineRule="auto"/>
        <w:ind w:left="420" w:leftChars="200" w:firstLine="150" w:firstLineChars="50"/>
      </w:pPr>
      <w:r>
        <w:rPr>
          <w:rFonts w:hint="eastAsia" w:ascii="仿宋_GB2312" w:eastAsia="仿宋_GB2312"/>
          <w:sz w:val="30"/>
          <w:szCs w:val="30"/>
        </w:rPr>
        <w:t>（6）．</w:t>
      </w:r>
      <w:r>
        <w:rPr>
          <w:rFonts w:hint="eastAsia" w:eastAsia="仿宋_GB2312"/>
          <w:color w:val="000000"/>
          <w:sz w:val="30"/>
          <w:szCs w:val="30"/>
        </w:rPr>
        <w:t>厂区</w:t>
      </w:r>
      <w:r>
        <w:rPr>
          <w:rFonts w:eastAsia="仿宋_GB2312"/>
          <w:color w:val="000000"/>
          <w:sz w:val="30"/>
          <w:szCs w:val="30"/>
        </w:rPr>
        <w:t>内的给排水设施、道路等配套工程为</w:t>
      </w:r>
      <w:r>
        <w:rPr>
          <w:rFonts w:eastAsia="仿宋_GB2312"/>
          <w:color w:val="000000"/>
          <w:sz w:val="30"/>
          <w:szCs w:val="30"/>
          <w:u w:val="single"/>
        </w:rPr>
        <w:t xml:space="preserve">  2  </w:t>
      </w:r>
      <w:r>
        <w:rPr>
          <w:rFonts w:eastAsia="仿宋_GB2312"/>
          <w:color w:val="000000"/>
          <w:sz w:val="30"/>
          <w:szCs w:val="30"/>
        </w:rPr>
        <w:t>年；</w:t>
      </w:r>
    </w:p>
    <w:p w14:paraId="1479056B">
      <w:pPr>
        <w:spacing w:line="360" w:lineRule="auto"/>
        <w:ind w:firstLine="585" w:firstLineChars="195"/>
        <w:jc w:val="left"/>
        <w:rPr>
          <w:rFonts w:eastAsia="仿宋_GB2312"/>
          <w:color w:val="000000"/>
          <w:sz w:val="30"/>
          <w:szCs w:val="32"/>
        </w:rPr>
      </w:pPr>
      <w:r>
        <w:rPr>
          <w:rFonts w:eastAsia="仿宋_GB2312"/>
          <w:color w:val="000000"/>
          <w:sz w:val="30"/>
          <w:szCs w:val="32"/>
        </w:rPr>
        <w:t>15.4.3 修复通知</w:t>
      </w:r>
    </w:p>
    <w:p w14:paraId="524E574B">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承包人收到保修通知并到达工程现场的合理时间：</w:t>
      </w:r>
      <w:r>
        <w:rPr>
          <w:rFonts w:eastAsia="仿宋_GB2312"/>
          <w:color w:val="000000"/>
          <w:kern w:val="0"/>
          <w:sz w:val="30"/>
          <w:szCs w:val="32"/>
          <w:u w:val="single"/>
        </w:rPr>
        <w:t xml:space="preserve">  24</w:t>
      </w:r>
      <w:r>
        <w:rPr>
          <w:rFonts w:hint="eastAsia" w:eastAsia="仿宋_GB2312"/>
          <w:color w:val="000000"/>
          <w:kern w:val="0"/>
          <w:sz w:val="30"/>
          <w:szCs w:val="32"/>
          <w:u w:val="single"/>
        </w:rPr>
        <w:t>小时内</w:t>
      </w:r>
      <w:r>
        <w:rPr>
          <w:rFonts w:eastAsia="仿宋_GB2312"/>
          <w:color w:val="000000"/>
          <w:kern w:val="0"/>
          <w:sz w:val="30"/>
          <w:szCs w:val="32"/>
          <w:u w:val="single"/>
        </w:rPr>
        <w:t xml:space="preserve"> </w:t>
      </w:r>
      <w:r>
        <w:rPr>
          <w:rFonts w:eastAsia="仿宋_GB2312"/>
          <w:color w:val="000000"/>
          <w:kern w:val="0"/>
          <w:sz w:val="30"/>
          <w:szCs w:val="32"/>
        </w:rPr>
        <w:t>。</w:t>
      </w:r>
    </w:p>
    <w:bookmarkEnd w:id="495"/>
    <w:bookmarkEnd w:id="496"/>
    <w:bookmarkEnd w:id="497"/>
    <w:bookmarkEnd w:id="498"/>
    <w:p w14:paraId="69F6DD0D">
      <w:pPr>
        <w:pStyle w:val="5"/>
        <w:spacing w:before="120" w:after="120" w:line="360" w:lineRule="auto"/>
        <w:rPr>
          <w:rFonts w:ascii="Times New Roman" w:hAnsi="Times New Roman" w:eastAsia="黑体"/>
          <w:b w:val="0"/>
          <w:color w:val="000000"/>
          <w:sz w:val="32"/>
          <w:szCs w:val="32"/>
        </w:rPr>
      </w:pPr>
      <w:bookmarkStart w:id="521" w:name="_Toc351203648"/>
      <w:bookmarkStart w:id="522" w:name="_Toc280868717"/>
      <w:bookmarkStart w:id="523" w:name="_Toc280868718"/>
      <w:r>
        <w:rPr>
          <w:rFonts w:ascii="Times New Roman" w:hAnsi="Times New Roman" w:eastAsia="黑体"/>
          <w:b w:val="0"/>
          <w:color w:val="000000"/>
          <w:sz w:val="32"/>
          <w:szCs w:val="32"/>
        </w:rPr>
        <w:t>16. 违约</w:t>
      </w:r>
      <w:bookmarkEnd w:id="521"/>
    </w:p>
    <w:p w14:paraId="78653029">
      <w:pPr>
        <w:spacing w:after="120" w:line="360" w:lineRule="auto"/>
        <w:ind w:firstLine="600" w:firstLineChars="200"/>
        <w:outlineLvl w:val="0"/>
        <w:rPr>
          <w:rFonts w:eastAsia="黑体"/>
          <w:color w:val="000000"/>
          <w:sz w:val="30"/>
          <w:szCs w:val="32"/>
        </w:rPr>
      </w:pPr>
      <w:r>
        <w:rPr>
          <w:rFonts w:eastAsia="黑体"/>
          <w:color w:val="000000"/>
          <w:sz w:val="30"/>
          <w:szCs w:val="32"/>
        </w:rPr>
        <w:t>16.1 发包人违约</w:t>
      </w:r>
    </w:p>
    <w:p w14:paraId="3B22776E">
      <w:pPr>
        <w:spacing w:line="360" w:lineRule="auto"/>
        <w:ind w:left="1500" w:hanging="1500" w:hangingChars="500"/>
        <w:jc w:val="left"/>
        <w:rPr>
          <w:rFonts w:eastAsia="仿宋_GB2312"/>
          <w:color w:val="000000"/>
          <w:kern w:val="0"/>
          <w:sz w:val="30"/>
          <w:szCs w:val="32"/>
        </w:rPr>
      </w:pPr>
      <w:r>
        <w:rPr>
          <w:rFonts w:eastAsia="仿宋_GB2312"/>
          <w:color w:val="000000"/>
          <w:kern w:val="0"/>
          <w:sz w:val="30"/>
          <w:szCs w:val="32"/>
        </w:rPr>
        <w:t xml:space="preserve">    16.1.2 发包人违约的责任</w:t>
      </w:r>
    </w:p>
    <w:p w14:paraId="6E17F17B">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发包人违约责任的承担方式和计算方法：</w:t>
      </w:r>
    </w:p>
    <w:p w14:paraId="7FA0B723">
      <w:pPr>
        <w:spacing w:line="360" w:lineRule="auto"/>
        <w:ind w:firstLine="600" w:firstLineChars="200"/>
        <w:jc w:val="left"/>
        <w:rPr>
          <w:rFonts w:eastAsia="仿宋_GB2312"/>
          <w:color w:val="000000"/>
          <w:kern w:val="0"/>
          <w:sz w:val="30"/>
          <w:szCs w:val="32"/>
          <w:u w:val="single"/>
        </w:rPr>
      </w:pPr>
      <w:r>
        <w:rPr>
          <w:rFonts w:eastAsia="仿宋_GB2312"/>
          <w:color w:val="000000"/>
          <w:kern w:val="0"/>
          <w:sz w:val="30"/>
          <w:szCs w:val="32"/>
        </w:rPr>
        <w:t>（1）因发包人原因未能在计划开工日期前7天内下达开工通知的违约责任：</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相关风险已包含在合同金额内，发包人不再承担违约责任 </w:t>
      </w:r>
      <w:r>
        <w:rPr>
          <w:rFonts w:eastAsia="仿宋_GB2312"/>
          <w:color w:val="000000"/>
          <w:kern w:val="0"/>
          <w:sz w:val="30"/>
          <w:szCs w:val="32"/>
        </w:rPr>
        <w:t>。</w:t>
      </w:r>
    </w:p>
    <w:p w14:paraId="61D686C7">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（2）因发包人原因未能按合同约定支付合同价款的违约责任：</w:t>
      </w:r>
      <w:r>
        <w:rPr>
          <w:rFonts w:eastAsia="仿宋_GB2312"/>
          <w:color w:val="000000"/>
          <w:kern w:val="0"/>
          <w:sz w:val="30"/>
          <w:szCs w:val="32"/>
          <w:u w:val="single"/>
        </w:rPr>
        <w:t xml:space="preserve">  按照中国人民银行发布的同期</w:t>
      </w:r>
      <w:r>
        <w:rPr>
          <w:rFonts w:hint="eastAsia" w:eastAsia="仿宋_GB2312"/>
          <w:color w:val="000000"/>
          <w:kern w:val="0"/>
          <w:sz w:val="30"/>
          <w:szCs w:val="32"/>
          <w:u w:val="single"/>
        </w:rPr>
        <w:t>、同类贷款基准利率</w:t>
      </w:r>
      <w:r>
        <w:rPr>
          <w:rFonts w:eastAsia="仿宋_GB2312"/>
          <w:color w:val="000000"/>
          <w:kern w:val="0"/>
          <w:sz w:val="30"/>
          <w:szCs w:val="32"/>
          <w:u w:val="single"/>
        </w:rPr>
        <w:t xml:space="preserve">支付违约金 </w:t>
      </w:r>
      <w:r>
        <w:rPr>
          <w:rFonts w:eastAsia="仿宋_GB2312"/>
          <w:color w:val="000000"/>
          <w:kern w:val="0"/>
          <w:sz w:val="30"/>
          <w:szCs w:val="32"/>
        </w:rPr>
        <w:t>。</w:t>
      </w:r>
    </w:p>
    <w:p w14:paraId="038D1B71">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（3）发包人违反第10.1款</w:t>
      </w:r>
      <w:r>
        <w:rPr>
          <w:rFonts w:hint="eastAsia" w:eastAsia="仿宋_GB2312"/>
          <w:color w:val="000000"/>
          <w:kern w:val="0"/>
          <w:sz w:val="30"/>
          <w:szCs w:val="32"/>
        </w:rPr>
        <w:t>〔</w:t>
      </w:r>
      <w:r>
        <w:rPr>
          <w:rFonts w:eastAsia="仿宋_GB2312"/>
          <w:color w:val="000000"/>
          <w:kern w:val="0"/>
          <w:sz w:val="30"/>
          <w:szCs w:val="32"/>
        </w:rPr>
        <w:t>变更的范围</w:t>
      </w:r>
      <w:r>
        <w:rPr>
          <w:rFonts w:hint="eastAsia" w:eastAsia="仿宋_GB2312"/>
          <w:color w:val="000000"/>
          <w:kern w:val="0"/>
          <w:sz w:val="30"/>
          <w:szCs w:val="32"/>
        </w:rPr>
        <w:t>〕</w:t>
      </w:r>
      <w:r>
        <w:rPr>
          <w:rFonts w:eastAsia="仿宋_GB2312"/>
          <w:color w:val="000000"/>
          <w:kern w:val="0"/>
          <w:sz w:val="30"/>
          <w:szCs w:val="32"/>
        </w:rPr>
        <w:t>第（2）项约定，自行实施被取消的工作或转由他人实施的违约责任：</w:t>
      </w:r>
      <w:r>
        <w:rPr>
          <w:rFonts w:hint="eastAsia" w:eastAsia="仿宋_GB2312"/>
          <w:color w:val="000000"/>
          <w:kern w:val="0"/>
          <w:sz w:val="30"/>
          <w:szCs w:val="32"/>
          <w:u w:val="single"/>
        </w:rPr>
        <w:t xml:space="preserve">应支付承包人相应工作的合理利润 </w:t>
      </w:r>
      <w:r>
        <w:rPr>
          <w:rFonts w:eastAsia="仿宋_GB2312"/>
          <w:color w:val="000000"/>
          <w:kern w:val="0"/>
          <w:sz w:val="30"/>
          <w:szCs w:val="32"/>
          <w:u w:val="single"/>
        </w:rPr>
        <w:t xml:space="preserve"> </w:t>
      </w:r>
      <w:r>
        <w:rPr>
          <w:rFonts w:eastAsia="仿宋_GB2312"/>
          <w:color w:val="000000"/>
          <w:kern w:val="0"/>
          <w:sz w:val="30"/>
          <w:szCs w:val="32"/>
        </w:rPr>
        <w:t>。</w:t>
      </w:r>
    </w:p>
    <w:p w14:paraId="12FE643A">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（4）发包人提供的材料、工程设备的规格、数量或质量不符合合同约定，或因发包人原因导致交货日期延误或交货地点变更等情况的违约责任：</w:t>
      </w:r>
      <w:r>
        <w:rPr>
          <w:rFonts w:eastAsia="仿宋_GB2312"/>
          <w:color w:val="000000"/>
          <w:kern w:val="0"/>
          <w:sz w:val="30"/>
          <w:szCs w:val="32"/>
          <w:u w:val="single"/>
        </w:rPr>
        <w:t xml:space="preserve">  </w:t>
      </w:r>
      <w:r>
        <w:rPr>
          <w:rFonts w:hint="eastAsia" w:eastAsia="仿宋_GB2312"/>
          <w:color w:val="000000"/>
          <w:kern w:val="0"/>
          <w:sz w:val="30"/>
          <w:szCs w:val="32"/>
          <w:u w:val="single"/>
        </w:rPr>
        <w:t>相应工期顺延</w:t>
      </w:r>
      <w:r>
        <w:rPr>
          <w:rFonts w:eastAsia="仿宋_GB2312"/>
          <w:color w:val="000000"/>
          <w:kern w:val="0"/>
          <w:sz w:val="30"/>
          <w:szCs w:val="32"/>
          <w:u w:val="single"/>
        </w:rPr>
        <w:t xml:space="preserve"> </w:t>
      </w:r>
      <w:r>
        <w:rPr>
          <w:rFonts w:eastAsia="仿宋_GB2312"/>
          <w:color w:val="000000"/>
          <w:kern w:val="0"/>
          <w:sz w:val="30"/>
          <w:szCs w:val="32"/>
        </w:rPr>
        <w:t>。</w:t>
      </w:r>
    </w:p>
    <w:p w14:paraId="47190D8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（7）</w:t>
      </w:r>
      <w:r>
        <w:rPr>
          <w:rFonts w:hint="eastAsia" w:eastAsia="仿宋_GB2312"/>
          <w:color w:val="000000"/>
          <w:kern w:val="0"/>
          <w:sz w:val="30"/>
          <w:szCs w:val="32"/>
        </w:rPr>
        <w:t>其他：</w:t>
      </w:r>
      <w:r>
        <w:rPr>
          <w:rFonts w:hint="eastAsia" w:eastAsia="仿宋_GB2312"/>
          <w:color w:val="000000"/>
          <w:kern w:val="0"/>
          <w:sz w:val="30"/>
          <w:szCs w:val="32"/>
          <w:u w:val="single"/>
        </w:rPr>
        <w:t>因发包人违约给承包人造成的损失，发包人只对直接损失给予赔偿，对间接损失不予任何费用赔偿</w:t>
      </w:r>
      <w:r>
        <w:rPr>
          <w:rFonts w:eastAsia="仿宋_GB2312"/>
          <w:color w:val="000000"/>
          <w:kern w:val="0"/>
          <w:sz w:val="30"/>
          <w:szCs w:val="32"/>
          <w:u w:val="single"/>
        </w:rPr>
        <w:t xml:space="preserve">  </w:t>
      </w:r>
      <w:r>
        <w:rPr>
          <w:rFonts w:eastAsia="仿宋_GB2312"/>
          <w:color w:val="000000"/>
          <w:kern w:val="0"/>
          <w:sz w:val="30"/>
          <w:szCs w:val="32"/>
        </w:rPr>
        <w:t>。</w:t>
      </w:r>
    </w:p>
    <w:p w14:paraId="282706D5">
      <w:pPr>
        <w:spacing w:after="120" w:line="360" w:lineRule="auto"/>
        <w:ind w:firstLine="600" w:firstLineChars="200"/>
        <w:outlineLvl w:val="0"/>
        <w:rPr>
          <w:rFonts w:eastAsia="黑体"/>
          <w:color w:val="000000"/>
          <w:sz w:val="30"/>
          <w:szCs w:val="32"/>
        </w:rPr>
      </w:pPr>
      <w:r>
        <w:rPr>
          <w:rFonts w:eastAsia="黑体"/>
          <w:color w:val="000000"/>
          <w:sz w:val="30"/>
          <w:szCs w:val="32"/>
        </w:rPr>
        <w:t>16.2 承包人违约</w:t>
      </w:r>
    </w:p>
    <w:p w14:paraId="35C26B00">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16.2.2承包人违约的责任</w:t>
      </w:r>
    </w:p>
    <w:p w14:paraId="5F1DB8AF">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1、承包人在施工中没有领会发包人意图或不明确施工要求而又不向发包人求证明确，致使施工不能达到发包人要求的，发包人有权要求承包人返工并由承包人承担返工损失，工期不得顺延；</w:t>
      </w:r>
    </w:p>
    <w:p w14:paraId="7476B1DB">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2、承包人不能因为任何原因拖欠农民工工资，由此引发的任何责任由承包人全部承担；出现拖欠农民工工资行为，发包人有权从承包人工程进度款中扣减直接支付给农民工，并处每次二十万元整的违约金；承包人不能因为任何原因拖欠包含但不限于承包人材料供应商及施工机具租赁方任何费用，由此引发的任何责任由承包人全部承担；出现拖欠包含但不限于材料费及机具租赁费等行为，发包人有权暂停支付工程进度款直至承包人支付完成为止，并处每次二十万元整的违约金。</w:t>
      </w:r>
    </w:p>
    <w:p w14:paraId="1B1BBC42">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3、承包人派往施工现场的项目经理、技术负责人、其他管理人员每周在现场的时间不少于6天，未经发包人批准擅自离岗的支付违约金每人500元/天；如任一管理人员擅自离岗累计超出5天后，则按超出天数支付违约金</w:t>
      </w:r>
      <w:r>
        <w:rPr>
          <w:rFonts w:eastAsia="仿宋_GB2312"/>
          <w:color w:val="000000"/>
          <w:kern w:val="0"/>
          <w:sz w:val="30"/>
          <w:szCs w:val="32"/>
        </w:rPr>
        <w:t>1</w:t>
      </w:r>
      <w:r>
        <w:rPr>
          <w:rFonts w:hint="eastAsia" w:eastAsia="仿宋_GB2312"/>
          <w:color w:val="000000"/>
          <w:kern w:val="0"/>
          <w:sz w:val="30"/>
          <w:szCs w:val="32"/>
        </w:rPr>
        <w:t>000元/天；如任一管理人员擅自离岗累计超出10天，</w:t>
      </w:r>
      <w:r>
        <w:rPr>
          <w:rFonts w:hint="eastAsia" w:eastAsia="仿宋_GB2312"/>
          <w:color w:val="000000"/>
          <w:sz w:val="30"/>
          <w:szCs w:val="32"/>
        </w:rPr>
        <w:t>发包人有权单方解除合同，不承担违约责任。承包人应于发包人解除合同之日起5日内向发包人支付违约金五十万元。逾期支付，承包人应额外向发包人支付未付金额0.5‰/天的逾期违约金直至完全支付时</w:t>
      </w:r>
      <w:r>
        <w:rPr>
          <w:rFonts w:hint="eastAsia" w:eastAsia="仿宋_GB2312"/>
          <w:color w:val="000000"/>
          <w:kern w:val="0"/>
          <w:sz w:val="30"/>
          <w:szCs w:val="32"/>
        </w:rPr>
        <w:t>。</w:t>
      </w:r>
    </w:p>
    <w:p w14:paraId="55670899">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4、承包人进场人员必须严格按照合同及相关文件中所报项目经理、技术负责人及其他管理人员配备，不得更换。如承包人未经监理和发包人审查同意，更换填报的任一项目经理、技术负责人及其他管理人员，处以每人次五万元的违约金，并限期予以纠正；</w:t>
      </w:r>
      <w:r>
        <w:rPr>
          <w:rFonts w:hint="eastAsia" w:eastAsia="仿宋_GB2312"/>
          <w:color w:val="000000"/>
          <w:sz w:val="30"/>
          <w:szCs w:val="32"/>
        </w:rPr>
        <w:t>逾期未纠正，发包人有权单方解除合同，不承担违约责任。承包人应于发包人解除合同之日起5日内向发包人支付违约金五十万元。逾期支付，承包人应额外向发包人支付未付金额0.5‰/天的逾期违约金直至完全支付时。</w:t>
      </w:r>
    </w:p>
    <w:p w14:paraId="4E46D24C">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5、承包人有以下情况发生，属违约行为，应承担的违约责任：按十万元/次支付违约金并继续履行合同；在指定期限内拒不整改的，发包人有权解除合同，并要求承包人承担严重违约责任。</w:t>
      </w:r>
    </w:p>
    <w:p w14:paraId="19E9072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（1）承包人违反合同约定进行转包或违法分包的；</w:t>
      </w:r>
    </w:p>
    <w:p w14:paraId="57616F80">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（2）承包人违反合同约定采购和使用不合格的材料和工程设备的；</w:t>
      </w:r>
    </w:p>
    <w:p w14:paraId="00095D98">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6、承包人有以下情况发生，属违约行为，应承担的违约责任：支付违约金三千元/次 。</w:t>
      </w:r>
    </w:p>
    <w:p w14:paraId="62A2F87B">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（1）因承包人原因导致工程质量不符合合同要求的</w:t>
      </w:r>
      <w:r>
        <w:rPr>
          <w:rFonts w:hint="eastAsia" w:eastAsia="仿宋_GB2312"/>
          <w:color w:val="000000"/>
          <w:kern w:val="0"/>
          <w:sz w:val="30"/>
          <w:szCs w:val="32"/>
        </w:rPr>
        <w:t>，由承包人负责返工，直到达到约定标准，其耽误的工期由承包人自负</w:t>
      </w:r>
      <w:r>
        <w:rPr>
          <w:rFonts w:eastAsia="仿宋_GB2312"/>
          <w:color w:val="000000"/>
          <w:kern w:val="0"/>
          <w:sz w:val="30"/>
          <w:szCs w:val="32"/>
        </w:rPr>
        <w:t>；</w:t>
      </w:r>
    </w:p>
    <w:p w14:paraId="172FEC17">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w:t>
      </w:r>
      <w:r>
        <w:rPr>
          <w:rFonts w:hint="eastAsia" w:eastAsia="仿宋_GB2312"/>
          <w:color w:val="000000"/>
          <w:kern w:val="0"/>
          <w:sz w:val="30"/>
          <w:szCs w:val="32"/>
        </w:rPr>
        <w:t>关键工作或发包人特别要求完成的主要工程未按计划完成</w:t>
      </w:r>
      <w:r>
        <w:rPr>
          <w:rFonts w:eastAsia="仿宋_GB2312"/>
          <w:color w:val="000000"/>
          <w:kern w:val="0"/>
          <w:sz w:val="30"/>
          <w:szCs w:val="32"/>
        </w:rPr>
        <w:t xml:space="preserve">； </w:t>
      </w:r>
    </w:p>
    <w:p w14:paraId="14D83F5B">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3</w:t>
      </w:r>
      <w:r>
        <w:rPr>
          <w:rFonts w:eastAsia="仿宋_GB2312"/>
          <w:color w:val="000000"/>
          <w:kern w:val="0"/>
          <w:sz w:val="30"/>
          <w:szCs w:val="32"/>
        </w:rPr>
        <w:t>）</w:t>
      </w:r>
      <w:r>
        <w:rPr>
          <w:rFonts w:hint="eastAsia" w:eastAsia="仿宋_GB2312"/>
          <w:color w:val="000000"/>
          <w:kern w:val="0"/>
          <w:sz w:val="30"/>
          <w:szCs w:val="32"/>
        </w:rPr>
        <w:t>施工过程中不按国家相关施工规范组织施工；</w:t>
      </w:r>
    </w:p>
    <w:p w14:paraId="3A98455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4</w:t>
      </w:r>
      <w:r>
        <w:rPr>
          <w:rFonts w:eastAsia="仿宋_GB2312"/>
          <w:color w:val="000000"/>
          <w:kern w:val="0"/>
          <w:sz w:val="30"/>
          <w:szCs w:val="32"/>
        </w:rPr>
        <w:t>）</w:t>
      </w:r>
      <w:r>
        <w:rPr>
          <w:rFonts w:hint="eastAsia" w:eastAsia="仿宋_GB2312"/>
          <w:color w:val="000000"/>
          <w:kern w:val="0"/>
          <w:sz w:val="30"/>
          <w:szCs w:val="32"/>
        </w:rPr>
        <w:t>重要部位不按施工程序自检、报验和发包人签字审核，擅自施工；</w:t>
      </w:r>
    </w:p>
    <w:p w14:paraId="4AF8098C">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5</w:t>
      </w:r>
      <w:r>
        <w:rPr>
          <w:rFonts w:eastAsia="仿宋_GB2312"/>
          <w:color w:val="000000"/>
          <w:kern w:val="0"/>
          <w:sz w:val="30"/>
          <w:szCs w:val="32"/>
        </w:rPr>
        <w:t xml:space="preserve">）未经批准，私自将已按照合同约定进入施工现场的材料或设备撤离施工现场的 </w:t>
      </w:r>
      <w:r>
        <w:rPr>
          <w:rFonts w:hint="eastAsia" w:eastAsia="仿宋_GB2312"/>
          <w:color w:val="000000"/>
          <w:kern w:val="0"/>
          <w:sz w:val="30"/>
          <w:szCs w:val="32"/>
        </w:rPr>
        <w:t>；</w:t>
      </w:r>
    </w:p>
    <w:p w14:paraId="4B98CC0F">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6</w:t>
      </w:r>
      <w:r>
        <w:rPr>
          <w:rFonts w:eastAsia="仿宋_GB2312"/>
          <w:color w:val="000000"/>
          <w:kern w:val="0"/>
          <w:sz w:val="30"/>
          <w:szCs w:val="32"/>
        </w:rPr>
        <w:t>）承包人在缺陷责任期及保修期内，未能在合理期限对工程缺陷进行修复，或拒绝按发包人要求进行修复的</w:t>
      </w:r>
      <w:r>
        <w:rPr>
          <w:rFonts w:hint="eastAsia" w:eastAsia="仿宋_GB2312"/>
          <w:color w:val="000000"/>
          <w:kern w:val="0"/>
          <w:sz w:val="30"/>
          <w:szCs w:val="32"/>
        </w:rPr>
        <w:t xml:space="preserve"> 。</w:t>
      </w:r>
      <w:r>
        <w:rPr>
          <w:rFonts w:eastAsia="仿宋_GB2312"/>
          <w:color w:val="000000"/>
          <w:kern w:val="0"/>
          <w:sz w:val="30"/>
          <w:szCs w:val="32"/>
        </w:rPr>
        <w:t xml:space="preserve">  </w:t>
      </w:r>
    </w:p>
    <w:p w14:paraId="2137AC0A">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 xml:space="preserve"> </w:t>
      </w:r>
      <w:r>
        <w:rPr>
          <w:rFonts w:hint="eastAsia" w:eastAsia="仿宋_GB2312"/>
          <w:color w:val="000000"/>
          <w:kern w:val="0"/>
          <w:sz w:val="30"/>
          <w:szCs w:val="32"/>
        </w:rPr>
        <w:t xml:space="preserve">7、承包人提交的工程竣工资料必须字迹清楚、资料完全、图物相符、数据准确、竣工图纸完整，如不符合要求则应承担违约金三千元/处；隐蔽工程验收单缺失则应承担违约金五千元/项。 </w:t>
      </w:r>
    </w:p>
    <w:p w14:paraId="70631EA1">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 xml:space="preserve"> </w:t>
      </w:r>
      <w:r>
        <w:rPr>
          <w:rFonts w:eastAsia="仿宋_GB2312"/>
          <w:color w:val="000000"/>
          <w:kern w:val="0"/>
          <w:sz w:val="30"/>
          <w:szCs w:val="32"/>
        </w:rPr>
        <w:t>8、</w:t>
      </w:r>
      <w:r>
        <w:rPr>
          <w:rFonts w:hint="eastAsia" w:eastAsia="仿宋_GB2312"/>
          <w:color w:val="000000"/>
          <w:kern w:val="0"/>
          <w:sz w:val="30"/>
          <w:szCs w:val="32"/>
        </w:rPr>
        <w:t>发包人有权根据工程进度情况要求承包人增加施工人员和更换施工班组，若承包人未按发包人要求执行，一次性扣违约金五万元。</w:t>
      </w:r>
    </w:p>
    <w:p w14:paraId="46F1037F">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 xml:space="preserve"> 9、承包人逾期支付上述违约金额时，承包人应额外向发包人支付未付金额0.5‰/天的逾期违约金直至完全支付为止。发包人有权单方解除合同，不承担违约责任。  </w:t>
      </w:r>
    </w:p>
    <w:p w14:paraId="018AC559">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10、实际施工中，如有增减工程内容的情形（包括合同范围以外的新增工作内容），发包人有权对工程内容进行增减调整，承包人必须按发包人发出的指令执行，承包人拒不履行的，发包人有权一次性扣违约金五万元，经催告后仍不执行的，发包人有权单方解除合同，不承担违约责任。</w:t>
      </w:r>
    </w:p>
    <w:p w14:paraId="3D7E19FC">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w:t>
      </w:r>
      <w:r>
        <w:rPr>
          <w:rFonts w:hint="eastAsia" w:eastAsia="仿宋_GB2312"/>
          <w:color w:val="000000"/>
          <w:kern w:val="0"/>
          <w:sz w:val="30"/>
          <w:szCs w:val="32"/>
        </w:rPr>
        <w:t>由发包人组织的工程会议或监理组织的每周工地例会，承包人项目经理和技术负责人必须出席（经发包人批准除外），每缺席一次按500元/人.次扣除违约金。若发包人通知承包人纠正，承包人拒绝或超过48小时未纠正的，发包人有权单方解除合同，因此造成的一切损失由承包人承担。</w:t>
      </w:r>
    </w:p>
    <w:p w14:paraId="29B804FF">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12、</w:t>
      </w:r>
      <w:r>
        <w:rPr>
          <w:rFonts w:hint="eastAsia" w:eastAsia="仿宋_GB2312"/>
          <w:color w:val="000000"/>
          <w:kern w:val="0"/>
          <w:sz w:val="30"/>
          <w:szCs w:val="32"/>
        </w:rPr>
        <w:t>工程保修期内发现质量不合格，承包人必须在规定的期限返工并达到合同约定的质量等级，并按该不合格项目所处分项工程造价5%计算向发包人承担支付违约金的责任。</w:t>
      </w:r>
    </w:p>
    <w:p w14:paraId="6A4810AF">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w:t>
      </w:r>
      <w:r>
        <w:rPr>
          <w:rFonts w:hint="eastAsia" w:eastAsia="仿宋_GB2312"/>
          <w:color w:val="000000"/>
          <w:kern w:val="0"/>
          <w:sz w:val="30"/>
          <w:szCs w:val="32"/>
        </w:rPr>
        <w:t>竣工结算办理时如承包人送交的正式结算资料（包含但不限于竣工图、签证单等资料）经发包人查实与工程实际不符，竣工资料应予修改，并且承包人须向发包人支付双倍差额的违约金。</w:t>
      </w:r>
    </w:p>
    <w:p w14:paraId="6CFC6DD3">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14、</w:t>
      </w:r>
      <w:r>
        <w:rPr>
          <w:rFonts w:hint="eastAsia" w:eastAsia="仿宋_GB2312"/>
          <w:color w:val="000000"/>
          <w:kern w:val="0"/>
          <w:sz w:val="30"/>
          <w:szCs w:val="32"/>
        </w:rPr>
        <w:t>在施工过程中如出现各类资料、测量工器具（含设备）等弄虚作假的情况，处以违约金5万元/次，发包人有权单方解除合同，因此造成的一切损失由承包人承担。</w:t>
      </w:r>
    </w:p>
    <w:p w14:paraId="6E523046">
      <w:pPr>
        <w:pStyle w:val="8"/>
        <w:ind w:left="63" w:right="63"/>
        <w:jc w:val="left"/>
      </w:pPr>
      <w:r>
        <w:rPr>
          <w:rFonts w:hint="eastAsia"/>
        </w:rPr>
        <w:t xml:space="preserve"> </w:t>
      </w:r>
      <w:r>
        <w:t xml:space="preserve">     </w:t>
      </w:r>
      <w:r>
        <w:rPr>
          <w:rFonts w:eastAsia="仿宋_GB2312"/>
          <w:color w:val="000000"/>
          <w:sz w:val="30"/>
          <w:szCs w:val="32"/>
        </w:rPr>
        <w:t>15、</w:t>
      </w:r>
      <w:r>
        <w:rPr>
          <w:rFonts w:hint="eastAsia" w:eastAsia="仿宋_GB2312"/>
          <w:color w:val="000000"/>
          <w:sz w:val="30"/>
          <w:szCs w:val="32"/>
        </w:rPr>
        <w:t>每期</w:t>
      </w:r>
      <w:r>
        <w:rPr>
          <w:rFonts w:eastAsia="仿宋_GB2312"/>
          <w:color w:val="000000"/>
          <w:sz w:val="30"/>
          <w:szCs w:val="32"/>
        </w:rPr>
        <w:t>施工单位</w:t>
      </w:r>
      <w:r>
        <w:rPr>
          <w:rFonts w:hint="eastAsia" w:eastAsia="仿宋_GB2312"/>
          <w:color w:val="000000"/>
          <w:sz w:val="30"/>
          <w:szCs w:val="32"/>
        </w:rPr>
        <w:t>报送</w:t>
      </w:r>
      <w:r>
        <w:rPr>
          <w:rFonts w:eastAsia="仿宋_GB2312"/>
          <w:color w:val="000000"/>
          <w:sz w:val="30"/>
          <w:szCs w:val="32"/>
        </w:rPr>
        <w:t>的</w:t>
      </w:r>
      <w:r>
        <w:rPr>
          <w:rFonts w:hint="eastAsia" w:eastAsia="仿宋_GB2312"/>
          <w:color w:val="000000"/>
          <w:sz w:val="30"/>
          <w:szCs w:val="32"/>
        </w:rPr>
        <w:t>施工进度报审金额超过施工进度审核金额的</w:t>
      </w:r>
      <w:r>
        <w:rPr>
          <w:rFonts w:eastAsia="仿宋_GB2312"/>
          <w:color w:val="000000"/>
          <w:sz w:val="30"/>
          <w:szCs w:val="32"/>
        </w:rPr>
        <w:t>20%时，每次扣除</w:t>
      </w:r>
      <w:r>
        <w:rPr>
          <w:rFonts w:eastAsia="仿宋_GB2312"/>
          <w:color w:val="000000"/>
          <w:sz w:val="30"/>
          <w:szCs w:val="32"/>
          <w:u w:val="single"/>
        </w:rPr>
        <w:t xml:space="preserve">   20000   </w:t>
      </w:r>
      <w:r>
        <w:rPr>
          <w:rFonts w:hint="eastAsia" w:eastAsia="仿宋_GB2312"/>
          <w:color w:val="000000"/>
          <w:sz w:val="30"/>
          <w:szCs w:val="32"/>
        </w:rPr>
        <w:t>元违约金。</w:t>
      </w:r>
    </w:p>
    <w:p w14:paraId="63EBCC96">
      <w:pPr>
        <w:spacing w:line="360" w:lineRule="auto"/>
        <w:ind w:firstLine="600" w:firstLineChars="200"/>
        <w:jc w:val="left"/>
        <w:rPr>
          <w:rFonts w:eastAsia="仿宋_GB2312"/>
          <w:color w:val="000000"/>
          <w:sz w:val="30"/>
          <w:szCs w:val="32"/>
        </w:rPr>
      </w:pPr>
      <w:r>
        <w:rPr>
          <w:rFonts w:eastAsia="仿宋_GB2312"/>
          <w:color w:val="000000"/>
          <w:sz w:val="30"/>
          <w:szCs w:val="32"/>
        </w:rPr>
        <w:t>16.2.3 因承包人违约解除合同</w:t>
      </w:r>
    </w:p>
    <w:p w14:paraId="0048C17B">
      <w:pPr>
        <w:spacing w:line="360" w:lineRule="auto"/>
        <w:ind w:firstLine="600" w:firstLineChars="200"/>
        <w:jc w:val="left"/>
        <w:rPr>
          <w:rFonts w:eastAsia="仿宋_GB2312"/>
          <w:color w:val="000000"/>
          <w:kern w:val="0"/>
          <w:sz w:val="30"/>
          <w:szCs w:val="32"/>
          <w:u w:val="single"/>
        </w:rPr>
      </w:pPr>
      <w:r>
        <w:rPr>
          <w:rFonts w:eastAsia="仿宋_GB2312"/>
          <w:color w:val="000000"/>
          <w:kern w:val="0"/>
          <w:sz w:val="30"/>
          <w:szCs w:val="32"/>
        </w:rPr>
        <w:t>关于承包人违约解除合同的特别约定：</w:t>
      </w:r>
    </w:p>
    <w:p w14:paraId="1E5F42BF">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1、承包人接到通知后，必须在2天内停止工程施工，并在10天内将机械、材料、物件、人员从施工现场撤离。停工3天内，发包人将会同承包人对已完成工程量进行清点：只承认已完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14:paraId="308F3390">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2、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由于合同解除引致发包人工期延误及其它方面的损失，由承包人负责赔偿；</w:t>
      </w:r>
    </w:p>
    <w:p w14:paraId="5FAEF538">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3、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14:paraId="37202D0B">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4、合同解除后，不影响双方在合同中约定的结算和清理尾款的效力，亦不能免除承包人对已完工项目的保修责任</w:t>
      </w:r>
      <w:r>
        <w:rPr>
          <w:rFonts w:eastAsia="仿宋_GB2312"/>
          <w:color w:val="000000"/>
          <w:kern w:val="0"/>
          <w:sz w:val="30"/>
          <w:szCs w:val="32"/>
          <w:u w:val="single"/>
        </w:rPr>
        <w:t xml:space="preserve"> </w:t>
      </w:r>
      <w:r>
        <w:rPr>
          <w:rFonts w:eastAsia="仿宋_GB2312"/>
          <w:color w:val="000000"/>
          <w:kern w:val="0"/>
          <w:sz w:val="30"/>
          <w:szCs w:val="32"/>
        </w:rPr>
        <w:t>。</w:t>
      </w:r>
    </w:p>
    <w:p w14:paraId="4C3021A8">
      <w:pPr>
        <w:spacing w:before="120" w:after="120" w:line="360" w:lineRule="auto"/>
        <w:ind w:firstLine="600" w:firstLineChars="200"/>
        <w:rPr>
          <w:rFonts w:eastAsia="仿宋_GB2312"/>
          <w:color w:val="000000"/>
          <w:kern w:val="0"/>
          <w:sz w:val="30"/>
          <w:szCs w:val="32"/>
        </w:rPr>
      </w:pPr>
      <w:r>
        <w:rPr>
          <w:rFonts w:eastAsia="仿宋_GB2312"/>
          <w:color w:val="000000"/>
          <w:kern w:val="0"/>
          <w:sz w:val="30"/>
          <w:szCs w:val="32"/>
        </w:rPr>
        <w:t>发包人</w:t>
      </w:r>
      <w:r>
        <w:rPr>
          <w:rFonts w:hint="eastAsia" w:eastAsia="仿宋_GB2312"/>
          <w:color w:val="000000"/>
          <w:kern w:val="0"/>
          <w:sz w:val="30"/>
          <w:szCs w:val="32"/>
        </w:rPr>
        <w:t>继续</w:t>
      </w:r>
      <w:r>
        <w:rPr>
          <w:rFonts w:eastAsia="仿宋_GB2312"/>
          <w:color w:val="000000"/>
          <w:kern w:val="0"/>
          <w:sz w:val="30"/>
          <w:szCs w:val="32"/>
        </w:rPr>
        <w:t>使用承包人在施工现场的材料、设备、临时工程、承包人文件和由承包人或以其名义编制的其他文件</w:t>
      </w:r>
      <w:r>
        <w:rPr>
          <w:rFonts w:hint="eastAsia" w:eastAsia="仿宋_GB2312"/>
          <w:color w:val="000000"/>
          <w:kern w:val="0"/>
          <w:sz w:val="30"/>
          <w:szCs w:val="32"/>
        </w:rPr>
        <w:t>的费用承担方式</w:t>
      </w:r>
      <w:r>
        <w:rPr>
          <w:rFonts w:eastAsia="仿宋_GB2312"/>
          <w:color w:val="000000"/>
          <w:kern w:val="0"/>
          <w:sz w:val="30"/>
          <w:szCs w:val="32"/>
        </w:rPr>
        <w:t>：</w:t>
      </w:r>
      <w:r>
        <w:rPr>
          <w:rFonts w:hint="eastAsia" w:eastAsia="仿宋_GB2312"/>
          <w:color w:val="000000"/>
          <w:kern w:val="0"/>
          <w:sz w:val="30"/>
          <w:szCs w:val="32"/>
          <w:u w:val="single"/>
        </w:rPr>
        <w:t>发包人继续使用施工现场的材料、设备、临时工程</w:t>
      </w:r>
      <w:r>
        <w:rPr>
          <w:rFonts w:eastAsia="仿宋_GB2312"/>
          <w:color w:val="000000"/>
          <w:kern w:val="0"/>
          <w:sz w:val="30"/>
          <w:szCs w:val="32"/>
          <w:u w:val="single"/>
        </w:rPr>
        <w:t>按</w:t>
      </w:r>
      <w:r>
        <w:rPr>
          <w:rFonts w:hint="eastAsia" w:eastAsia="仿宋_GB2312"/>
          <w:color w:val="000000"/>
          <w:kern w:val="0"/>
          <w:sz w:val="30"/>
          <w:szCs w:val="32"/>
          <w:u w:val="single"/>
        </w:rPr>
        <w:t>通用合同条款</w:t>
      </w:r>
      <w:r>
        <w:rPr>
          <w:rFonts w:eastAsia="仿宋_GB2312"/>
          <w:color w:val="000000"/>
          <w:kern w:val="0"/>
          <w:sz w:val="30"/>
          <w:szCs w:val="32"/>
          <w:u w:val="single"/>
        </w:rPr>
        <w:t>第4.4款</w:t>
      </w:r>
      <w:r>
        <w:rPr>
          <w:rFonts w:hint="eastAsia" w:eastAsia="仿宋_GB2312"/>
          <w:color w:val="000000"/>
          <w:kern w:val="0"/>
          <w:sz w:val="30"/>
          <w:szCs w:val="32"/>
          <w:u w:val="single"/>
        </w:rPr>
        <w:t>〔</w:t>
      </w:r>
      <w:r>
        <w:rPr>
          <w:rFonts w:eastAsia="仿宋_GB2312"/>
          <w:color w:val="000000"/>
          <w:kern w:val="0"/>
          <w:sz w:val="30"/>
          <w:szCs w:val="32"/>
          <w:u w:val="single"/>
        </w:rPr>
        <w:t>商定或确定</w:t>
      </w:r>
      <w:r>
        <w:rPr>
          <w:rFonts w:hint="eastAsia" w:eastAsia="仿宋_GB2312"/>
          <w:color w:val="000000"/>
          <w:kern w:val="0"/>
          <w:sz w:val="30"/>
          <w:szCs w:val="32"/>
          <w:u w:val="single"/>
        </w:rPr>
        <w:t>〕</w:t>
      </w:r>
      <w:r>
        <w:rPr>
          <w:rFonts w:eastAsia="仿宋_GB2312"/>
          <w:color w:val="000000"/>
          <w:kern w:val="0"/>
          <w:sz w:val="30"/>
          <w:szCs w:val="32"/>
          <w:u w:val="single"/>
        </w:rPr>
        <w:t>商定或确定</w:t>
      </w:r>
      <w:r>
        <w:rPr>
          <w:rFonts w:hint="eastAsia" w:eastAsia="仿宋_GB2312"/>
          <w:color w:val="000000"/>
          <w:kern w:val="0"/>
          <w:sz w:val="30"/>
          <w:szCs w:val="32"/>
          <w:u w:val="single"/>
        </w:rPr>
        <w:t>；承包人文件和由承包人或以其名义编制的其他文件无偿提供给发包人使用</w:t>
      </w:r>
      <w:r>
        <w:rPr>
          <w:rFonts w:eastAsia="仿宋_GB2312"/>
          <w:color w:val="000000"/>
          <w:kern w:val="0"/>
          <w:sz w:val="30"/>
          <w:szCs w:val="32"/>
          <w:u w:val="single"/>
        </w:rPr>
        <w:t xml:space="preserve"> </w:t>
      </w:r>
      <w:r>
        <w:rPr>
          <w:rFonts w:hint="eastAsia" w:eastAsia="仿宋_GB2312"/>
          <w:color w:val="000000"/>
          <w:kern w:val="0"/>
          <w:sz w:val="30"/>
          <w:szCs w:val="32"/>
        </w:rPr>
        <w:t>。</w:t>
      </w:r>
    </w:p>
    <w:p w14:paraId="62ECB322">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16.4</w:t>
      </w:r>
      <w:r>
        <w:rPr>
          <w:rFonts w:hint="eastAsia" w:eastAsia="仿宋_GB2312"/>
          <w:color w:val="000000"/>
          <w:kern w:val="0"/>
          <w:sz w:val="30"/>
          <w:szCs w:val="32"/>
        </w:rPr>
        <w:t>承包人应在发包人发出支付违约金通知之日起7日内支付违约金，超出7日则视为逾期支付违约金。</w:t>
      </w:r>
    </w:p>
    <w:p w14:paraId="6FDDD38F">
      <w:pPr>
        <w:pStyle w:val="5"/>
        <w:spacing w:before="120" w:after="120" w:line="360" w:lineRule="auto"/>
        <w:rPr>
          <w:rFonts w:ascii="Times New Roman" w:hAnsi="Times New Roman" w:eastAsia="黑体"/>
          <w:b w:val="0"/>
          <w:color w:val="000000"/>
          <w:sz w:val="32"/>
          <w:szCs w:val="32"/>
        </w:rPr>
      </w:pPr>
      <w:bookmarkStart w:id="524" w:name="_Toc351203649"/>
      <w:r>
        <w:rPr>
          <w:rFonts w:ascii="Times New Roman" w:hAnsi="Times New Roman" w:eastAsia="黑体"/>
          <w:b w:val="0"/>
          <w:color w:val="000000"/>
          <w:sz w:val="32"/>
          <w:szCs w:val="32"/>
        </w:rPr>
        <w:t>17. 不可抗力</w:t>
      </w:r>
      <w:bookmarkEnd w:id="524"/>
      <w:r>
        <w:rPr>
          <w:rFonts w:ascii="Times New Roman" w:hAnsi="Times New Roman" w:eastAsia="黑体"/>
          <w:b w:val="0"/>
          <w:color w:val="000000"/>
          <w:sz w:val="32"/>
          <w:szCs w:val="32"/>
        </w:rPr>
        <w:t xml:space="preserve"> </w:t>
      </w:r>
      <w:bookmarkEnd w:id="522"/>
    </w:p>
    <w:p w14:paraId="194242E2">
      <w:pPr>
        <w:spacing w:after="120" w:line="360" w:lineRule="auto"/>
        <w:ind w:firstLine="600" w:firstLineChars="200"/>
        <w:rPr>
          <w:rFonts w:eastAsia="黑体"/>
          <w:color w:val="000000"/>
          <w:sz w:val="30"/>
          <w:szCs w:val="32"/>
        </w:rPr>
      </w:pPr>
      <w:r>
        <w:rPr>
          <w:rFonts w:eastAsia="黑体"/>
          <w:color w:val="000000"/>
          <w:sz w:val="30"/>
          <w:szCs w:val="32"/>
        </w:rPr>
        <w:t>17.1 不可抗力的确认</w:t>
      </w:r>
    </w:p>
    <w:p w14:paraId="6F931B3E">
      <w:pPr>
        <w:spacing w:line="360" w:lineRule="auto"/>
        <w:ind w:firstLine="600" w:firstLineChars="200"/>
        <w:jc w:val="left"/>
        <w:rPr>
          <w:rFonts w:eastAsia="仿宋_GB2312"/>
          <w:color w:val="000000"/>
          <w:kern w:val="0"/>
          <w:sz w:val="30"/>
          <w:szCs w:val="32"/>
        </w:rPr>
      </w:pPr>
      <w:r>
        <w:rPr>
          <w:rFonts w:eastAsia="仿宋_GB2312"/>
          <w:color w:val="000000"/>
          <w:sz w:val="30"/>
          <w:szCs w:val="32"/>
        </w:rPr>
        <w:t xml:space="preserve">除通用合同条款约定的不可抗力事件之外，视为不可抗力的其他情形：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空中飞行物坠落或非发包人、承包人责任造成的爆炸、火灾以及百年一遇以上等级的风、雨、雪、洪水、高温自然灾害 </w:t>
      </w:r>
      <w:r>
        <w:rPr>
          <w:rFonts w:eastAsia="仿宋_GB2312"/>
          <w:color w:val="000000"/>
          <w:kern w:val="0"/>
          <w:sz w:val="30"/>
          <w:szCs w:val="32"/>
          <w:u w:val="single"/>
        </w:rPr>
        <w:t xml:space="preserve"> </w:t>
      </w:r>
      <w:r>
        <w:rPr>
          <w:rFonts w:eastAsia="仿宋_GB2312"/>
          <w:color w:val="000000"/>
          <w:kern w:val="0"/>
          <w:sz w:val="30"/>
          <w:szCs w:val="32"/>
        </w:rPr>
        <w:t>。</w:t>
      </w:r>
    </w:p>
    <w:p w14:paraId="3C0B80FA">
      <w:pPr>
        <w:spacing w:line="360" w:lineRule="auto"/>
        <w:ind w:firstLine="600" w:firstLineChars="200"/>
        <w:jc w:val="left"/>
        <w:rPr>
          <w:rFonts w:eastAsia="黑体"/>
          <w:color w:val="000000"/>
          <w:sz w:val="30"/>
          <w:szCs w:val="32"/>
        </w:rPr>
      </w:pPr>
      <w:r>
        <w:rPr>
          <w:rFonts w:eastAsia="仿宋_GB2312"/>
          <w:color w:val="000000"/>
          <w:kern w:val="0"/>
          <w:sz w:val="30"/>
          <w:szCs w:val="32"/>
        </w:rPr>
        <w:t>17.3</w:t>
      </w:r>
      <w:r>
        <w:rPr>
          <w:rFonts w:eastAsia="黑体"/>
          <w:color w:val="000000"/>
          <w:sz w:val="30"/>
          <w:szCs w:val="32"/>
        </w:rPr>
        <w:t>不可抗力后果的承担</w:t>
      </w:r>
    </w:p>
    <w:p w14:paraId="2288ED59">
      <w:pPr>
        <w:spacing w:line="360" w:lineRule="auto"/>
        <w:ind w:firstLine="600" w:firstLineChars="200"/>
        <w:jc w:val="left"/>
        <w:rPr>
          <w:rFonts w:eastAsia="仿宋_GB2312"/>
          <w:color w:val="000000"/>
          <w:sz w:val="30"/>
          <w:szCs w:val="32"/>
        </w:rPr>
      </w:pPr>
      <w:r>
        <w:rPr>
          <w:rFonts w:hint="eastAsia" w:eastAsia="仿宋_GB2312"/>
          <w:color w:val="000000"/>
          <w:kern w:val="0"/>
          <w:sz w:val="30"/>
          <w:szCs w:val="32"/>
        </w:rPr>
        <w:t>17.3.2</w:t>
      </w:r>
      <w:r>
        <w:rPr>
          <w:rFonts w:eastAsia="仿宋_GB2312"/>
          <w:color w:val="000000"/>
          <w:sz w:val="30"/>
          <w:szCs w:val="32"/>
        </w:rPr>
        <w:t>不可抗力导致的人员伤亡、财产损失、费用增加和（或）工期延误等后果，由合同当事人按以下原则承担：</w:t>
      </w:r>
    </w:p>
    <w:p w14:paraId="4D9CD398">
      <w:pPr>
        <w:spacing w:line="360" w:lineRule="auto"/>
        <w:ind w:firstLine="600" w:firstLineChars="200"/>
        <w:jc w:val="left"/>
        <w:rPr>
          <w:rFonts w:eastAsia="仿宋_GB2312"/>
          <w:color w:val="000000"/>
          <w:sz w:val="30"/>
          <w:szCs w:val="32"/>
        </w:rPr>
      </w:pPr>
      <w:r>
        <w:rPr>
          <w:rFonts w:eastAsia="仿宋_GB2312"/>
          <w:color w:val="000000"/>
          <w:kern w:val="0"/>
          <w:sz w:val="30"/>
          <w:szCs w:val="32"/>
        </w:rPr>
        <w:t>（4</w:t>
      </w:r>
      <w:r>
        <w:rPr>
          <w:rFonts w:eastAsia="仿宋_GB2312"/>
          <w:color w:val="000000"/>
          <w:sz w:val="30"/>
          <w:szCs w:val="32"/>
        </w:rPr>
        <w:t>）因不可抗力影响承包人履行合同约定的义务，由此导致承包人停工的费用损失由承包人</w:t>
      </w:r>
      <w:r>
        <w:rPr>
          <w:rFonts w:hint="eastAsia" w:eastAsia="仿宋_GB2312"/>
          <w:color w:val="000000"/>
          <w:sz w:val="30"/>
          <w:szCs w:val="32"/>
        </w:rPr>
        <w:t>承担</w:t>
      </w:r>
      <w:r>
        <w:rPr>
          <w:rFonts w:eastAsia="仿宋_GB2312"/>
          <w:color w:val="000000"/>
          <w:sz w:val="30"/>
          <w:szCs w:val="32"/>
        </w:rPr>
        <w:t>，停工期间必须支付的工人工资由</w:t>
      </w:r>
      <w:r>
        <w:rPr>
          <w:rFonts w:hint="eastAsia" w:eastAsia="仿宋_GB2312"/>
          <w:color w:val="000000"/>
          <w:sz w:val="30"/>
          <w:szCs w:val="32"/>
        </w:rPr>
        <w:t>承包</w:t>
      </w:r>
      <w:r>
        <w:rPr>
          <w:rFonts w:eastAsia="仿宋_GB2312"/>
          <w:color w:val="000000"/>
          <w:sz w:val="30"/>
          <w:szCs w:val="32"/>
        </w:rPr>
        <w:t>人承担。</w:t>
      </w:r>
    </w:p>
    <w:p w14:paraId="49B38EFD">
      <w:pPr>
        <w:spacing w:after="120" w:line="360" w:lineRule="auto"/>
        <w:ind w:firstLine="600" w:firstLineChars="200"/>
        <w:outlineLvl w:val="0"/>
        <w:rPr>
          <w:rFonts w:eastAsia="黑体"/>
          <w:color w:val="000000"/>
          <w:sz w:val="30"/>
          <w:szCs w:val="32"/>
        </w:rPr>
      </w:pPr>
      <w:r>
        <w:rPr>
          <w:rFonts w:eastAsia="黑体"/>
          <w:color w:val="000000"/>
          <w:sz w:val="30"/>
          <w:szCs w:val="32"/>
        </w:rPr>
        <w:t>17.4 因不可抗力解除合同</w:t>
      </w:r>
    </w:p>
    <w:p w14:paraId="7B0A4EB8">
      <w:pPr>
        <w:spacing w:line="360" w:lineRule="auto"/>
        <w:ind w:firstLine="600" w:firstLineChars="200"/>
        <w:jc w:val="left"/>
        <w:rPr>
          <w:rFonts w:eastAsia="仿宋_GB2312"/>
          <w:color w:val="000000"/>
          <w:sz w:val="30"/>
          <w:szCs w:val="32"/>
        </w:rPr>
      </w:pPr>
      <w:r>
        <w:rPr>
          <w:rFonts w:eastAsia="仿宋_GB2312"/>
          <w:color w:val="000000"/>
          <w:sz w:val="30"/>
          <w:szCs w:val="32"/>
        </w:rPr>
        <w:t>合同解除后，发包人应在商定或确定发包人应支付款项后</w:t>
      </w:r>
      <w:r>
        <w:rPr>
          <w:rFonts w:eastAsia="仿宋_GB2312"/>
          <w:color w:val="000000"/>
          <w:sz w:val="30"/>
          <w:szCs w:val="32"/>
          <w:u w:val="single"/>
        </w:rPr>
        <w:t xml:space="preserve"> 28 </w:t>
      </w:r>
      <w:r>
        <w:rPr>
          <w:rFonts w:eastAsia="仿宋_GB2312"/>
          <w:color w:val="000000"/>
          <w:sz w:val="30"/>
          <w:szCs w:val="32"/>
        </w:rPr>
        <w:t>天内完成款项的支付。</w:t>
      </w:r>
    </w:p>
    <w:p w14:paraId="5CB45621">
      <w:pPr>
        <w:spacing w:line="360" w:lineRule="auto"/>
        <w:ind w:firstLine="600" w:firstLineChars="200"/>
        <w:jc w:val="left"/>
        <w:rPr>
          <w:rFonts w:eastAsia="仿宋_GB2312"/>
          <w:color w:val="000000"/>
          <w:sz w:val="30"/>
          <w:szCs w:val="32"/>
        </w:rPr>
      </w:pPr>
      <w:r>
        <w:rPr>
          <w:rFonts w:eastAsia="仿宋_GB2312"/>
          <w:color w:val="000000"/>
          <w:sz w:val="30"/>
          <w:szCs w:val="32"/>
        </w:rPr>
        <w:t>承包人撤离施工现场以及遣散承包人人员的费用</w:t>
      </w:r>
      <w:r>
        <w:rPr>
          <w:rFonts w:hint="eastAsia" w:eastAsia="仿宋_GB2312"/>
          <w:color w:val="000000"/>
          <w:sz w:val="30"/>
          <w:szCs w:val="32"/>
        </w:rPr>
        <w:t>由承包人自行承担。</w:t>
      </w:r>
    </w:p>
    <w:p w14:paraId="7502F8C2">
      <w:pPr>
        <w:pStyle w:val="5"/>
        <w:spacing w:before="120" w:after="120" w:line="360" w:lineRule="auto"/>
        <w:rPr>
          <w:rFonts w:ascii="Times New Roman" w:hAnsi="Times New Roman" w:eastAsia="黑体"/>
          <w:b w:val="0"/>
          <w:color w:val="000000"/>
          <w:sz w:val="32"/>
          <w:szCs w:val="32"/>
        </w:rPr>
      </w:pPr>
      <w:bookmarkStart w:id="525" w:name="_Toc351203650"/>
      <w:r>
        <w:rPr>
          <w:rFonts w:ascii="Times New Roman" w:hAnsi="Times New Roman" w:eastAsia="黑体"/>
          <w:b w:val="0"/>
          <w:color w:val="000000"/>
          <w:sz w:val="32"/>
          <w:szCs w:val="32"/>
        </w:rPr>
        <w:t>18. 保险</w:t>
      </w:r>
      <w:bookmarkEnd w:id="525"/>
    </w:p>
    <w:bookmarkEnd w:id="523"/>
    <w:p w14:paraId="34CE8ACE">
      <w:pPr>
        <w:spacing w:after="120" w:line="360" w:lineRule="auto"/>
        <w:ind w:firstLine="600" w:firstLineChars="200"/>
        <w:rPr>
          <w:rFonts w:eastAsia="黑体"/>
          <w:color w:val="000000"/>
          <w:sz w:val="30"/>
          <w:szCs w:val="32"/>
        </w:rPr>
      </w:pPr>
      <w:r>
        <w:rPr>
          <w:rFonts w:eastAsia="黑体"/>
          <w:color w:val="000000"/>
          <w:sz w:val="30"/>
          <w:szCs w:val="32"/>
        </w:rPr>
        <w:t>18.1 工程保险</w:t>
      </w:r>
    </w:p>
    <w:p w14:paraId="66353130">
      <w:pPr>
        <w:spacing w:line="360" w:lineRule="auto"/>
        <w:ind w:firstLine="600" w:firstLineChars="200"/>
        <w:jc w:val="left"/>
        <w:rPr>
          <w:rFonts w:eastAsia="仿宋_GB2312"/>
          <w:color w:val="000000"/>
          <w:sz w:val="30"/>
          <w:szCs w:val="32"/>
        </w:rPr>
      </w:pPr>
      <w:r>
        <w:rPr>
          <w:rFonts w:eastAsia="仿宋_GB2312"/>
          <w:color w:val="000000"/>
          <w:sz w:val="30"/>
          <w:szCs w:val="32"/>
        </w:rPr>
        <w:t>关于工程保险的特别约定：</w:t>
      </w:r>
      <w:r>
        <w:rPr>
          <w:rFonts w:hint="eastAsia" w:eastAsia="仿宋_GB2312"/>
          <w:color w:val="000000"/>
          <w:kern w:val="0"/>
          <w:sz w:val="30"/>
          <w:szCs w:val="32"/>
          <w:u w:val="single"/>
        </w:rPr>
        <w:t>承包人须以发包人和承包人的名义向双方同意的保险人投保建筑安装工程一切险及第三方责任险，此项费用由承包人承担，如承包人未按约定购买，导致发包人未能得到足额赔偿，由承包人负责补足。承包人应当按照劳动法有关规定为所有入场人员办理工伤保险，并在合同签订后7天内向发包人提交保险证明材料。</w:t>
      </w:r>
      <w:r>
        <w:rPr>
          <w:rFonts w:hint="eastAsia" w:eastAsia="仿宋_GB2312"/>
          <w:color w:val="000000"/>
          <w:kern w:val="0"/>
          <w:sz w:val="30"/>
          <w:szCs w:val="32"/>
          <w:highlight w:val="green"/>
          <w:u w:val="single"/>
        </w:rPr>
        <w:t>承包人必须要为其所有作业人员购买人身伤害保险,发生身故情况的保险赔偿金额不低于 200 万元</w:t>
      </w:r>
      <w:r>
        <w:rPr>
          <w:rFonts w:hint="eastAsia" w:eastAsia="仿宋_GB2312"/>
          <w:color w:val="000000"/>
          <w:kern w:val="0"/>
          <w:sz w:val="30"/>
          <w:szCs w:val="32"/>
          <w:u w:val="single"/>
        </w:rPr>
        <w:t>，并为施工场地内自有人员生命财产和施工机械设备办理保险，支付保险费用。</w:t>
      </w:r>
    </w:p>
    <w:bookmarkEnd w:id="499"/>
    <w:bookmarkEnd w:id="500"/>
    <w:bookmarkEnd w:id="501"/>
    <w:bookmarkEnd w:id="502"/>
    <w:bookmarkEnd w:id="503"/>
    <w:bookmarkEnd w:id="504"/>
    <w:bookmarkEnd w:id="505"/>
    <w:bookmarkEnd w:id="506"/>
    <w:bookmarkEnd w:id="507"/>
    <w:bookmarkEnd w:id="508"/>
    <w:bookmarkEnd w:id="509"/>
    <w:bookmarkEnd w:id="510"/>
    <w:p w14:paraId="3433C9B5">
      <w:pPr>
        <w:pStyle w:val="5"/>
        <w:spacing w:before="120" w:after="120" w:line="360" w:lineRule="auto"/>
        <w:rPr>
          <w:rFonts w:ascii="Times New Roman" w:hAnsi="Times New Roman" w:eastAsia="黑体"/>
          <w:b w:val="0"/>
          <w:color w:val="000000"/>
          <w:sz w:val="32"/>
          <w:szCs w:val="32"/>
        </w:rPr>
      </w:pPr>
      <w:bookmarkStart w:id="526" w:name="_Toc351203651"/>
      <w:r>
        <w:rPr>
          <w:rFonts w:ascii="Times New Roman" w:hAnsi="Times New Roman" w:eastAsia="黑体"/>
          <w:b w:val="0"/>
          <w:color w:val="000000"/>
          <w:sz w:val="32"/>
          <w:szCs w:val="32"/>
        </w:rPr>
        <w:t>20. 争议解决</w:t>
      </w:r>
      <w:bookmarkEnd w:id="526"/>
    </w:p>
    <w:bookmarkEnd w:id="511"/>
    <w:bookmarkEnd w:id="512"/>
    <w:bookmarkEnd w:id="513"/>
    <w:p w14:paraId="2B41BCD5">
      <w:pPr>
        <w:spacing w:after="120" w:line="360" w:lineRule="auto"/>
        <w:ind w:firstLine="600" w:firstLineChars="200"/>
        <w:outlineLvl w:val="0"/>
        <w:rPr>
          <w:rFonts w:eastAsia="黑体"/>
          <w:color w:val="000000"/>
          <w:sz w:val="30"/>
          <w:szCs w:val="32"/>
        </w:rPr>
      </w:pPr>
      <w:r>
        <w:rPr>
          <w:rFonts w:eastAsia="黑体"/>
          <w:color w:val="000000"/>
          <w:sz w:val="30"/>
          <w:szCs w:val="32"/>
        </w:rPr>
        <w:t>20.4仲裁或诉讼</w:t>
      </w:r>
      <w:bookmarkEnd w:id="514"/>
    </w:p>
    <w:p w14:paraId="544FD859">
      <w:pPr>
        <w:spacing w:after="120" w:line="360" w:lineRule="auto"/>
        <w:ind w:firstLine="600" w:firstLineChars="200"/>
        <w:rPr>
          <w:rFonts w:eastAsia="黑体"/>
          <w:color w:val="000000"/>
          <w:sz w:val="30"/>
          <w:szCs w:val="32"/>
        </w:rPr>
      </w:pPr>
      <w:r>
        <w:rPr>
          <w:rFonts w:eastAsia="仿宋_GB2312"/>
          <w:color w:val="000000"/>
          <w:sz w:val="30"/>
          <w:szCs w:val="32"/>
        </w:rPr>
        <w:t>因合同及合同有关事项发生的争议，按下列第</w:t>
      </w:r>
      <w:r>
        <w:rPr>
          <w:rFonts w:eastAsia="仿宋_GB2312"/>
          <w:color w:val="000000"/>
          <w:sz w:val="30"/>
          <w:szCs w:val="32"/>
          <w:u w:val="single"/>
        </w:rPr>
        <w:t xml:space="preserve">  2  </w:t>
      </w:r>
      <w:r>
        <w:rPr>
          <w:rFonts w:eastAsia="仿宋_GB2312"/>
          <w:color w:val="000000"/>
          <w:sz w:val="30"/>
          <w:szCs w:val="32"/>
        </w:rPr>
        <w:t>种方式</w:t>
      </w:r>
      <w:r>
        <w:rPr>
          <w:rFonts w:hint="eastAsia" w:eastAsia="仿宋_GB2312"/>
          <w:color w:val="000000"/>
          <w:sz w:val="30"/>
          <w:szCs w:val="32"/>
        </w:rPr>
        <w:t>解</w:t>
      </w:r>
      <w:r>
        <w:rPr>
          <w:rFonts w:eastAsia="仿宋_GB2312"/>
          <w:color w:val="000000"/>
          <w:sz w:val="30"/>
          <w:szCs w:val="32"/>
        </w:rPr>
        <w:t>决：</w:t>
      </w:r>
    </w:p>
    <w:p w14:paraId="3112E9F2">
      <w:pPr>
        <w:spacing w:line="360" w:lineRule="auto"/>
        <w:ind w:firstLine="600" w:firstLineChars="200"/>
        <w:jc w:val="left"/>
        <w:rPr>
          <w:rFonts w:eastAsia="仿宋_GB2312"/>
          <w:color w:val="000000"/>
          <w:sz w:val="30"/>
          <w:szCs w:val="32"/>
        </w:rPr>
      </w:pPr>
      <w:r>
        <w:rPr>
          <w:rFonts w:eastAsia="仿宋_GB2312"/>
          <w:color w:val="000000"/>
          <w:sz w:val="30"/>
          <w:szCs w:val="32"/>
        </w:rPr>
        <w:t>（1）向</w:t>
      </w:r>
      <w:r>
        <w:rPr>
          <w:rFonts w:eastAsia="仿宋_GB2312"/>
          <w:color w:val="000000"/>
          <w:sz w:val="30"/>
          <w:szCs w:val="32"/>
          <w:u w:val="single"/>
        </w:rPr>
        <w:t xml:space="preserve">                     </w:t>
      </w:r>
      <w:r>
        <w:rPr>
          <w:rFonts w:eastAsia="仿宋_GB2312"/>
          <w:color w:val="000000"/>
          <w:sz w:val="30"/>
          <w:szCs w:val="32"/>
        </w:rPr>
        <w:t>仲裁委员会申请仲裁；</w:t>
      </w:r>
    </w:p>
    <w:p w14:paraId="276F7261">
      <w:pPr>
        <w:spacing w:line="360" w:lineRule="auto"/>
        <w:ind w:firstLine="600" w:firstLineChars="200"/>
        <w:jc w:val="left"/>
        <w:rPr>
          <w:rFonts w:eastAsia="仿宋_GB2312"/>
          <w:color w:val="000000"/>
          <w:sz w:val="30"/>
          <w:szCs w:val="32"/>
        </w:rPr>
      </w:pPr>
      <w:r>
        <w:rPr>
          <w:rFonts w:eastAsia="仿宋_GB2312"/>
          <w:color w:val="000000"/>
          <w:sz w:val="30"/>
          <w:szCs w:val="32"/>
        </w:rPr>
        <w:t>（2）向</w:t>
      </w:r>
      <w:r>
        <w:rPr>
          <w:rFonts w:eastAsia="仿宋_GB2312"/>
          <w:color w:val="000000"/>
          <w:sz w:val="30"/>
          <w:szCs w:val="32"/>
          <w:u w:val="single"/>
        </w:rPr>
        <w:t xml:space="preserve">    </w:t>
      </w:r>
      <w:r>
        <w:rPr>
          <w:rFonts w:hint="eastAsia" w:eastAsia="仿宋_GB2312"/>
          <w:color w:val="000000"/>
          <w:sz w:val="30"/>
          <w:szCs w:val="32"/>
          <w:u w:val="single"/>
        </w:rPr>
        <w:t xml:space="preserve">发包人所在地   </w:t>
      </w:r>
      <w:r>
        <w:rPr>
          <w:rFonts w:eastAsia="仿宋_GB2312"/>
          <w:color w:val="000000"/>
          <w:sz w:val="30"/>
          <w:szCs w:val="32"/>
          <w:u w:val="single"/>
        </w:rPr>
        <w:t xml:space="preserve">  </w:t>
      </w:r>
      <w:r>
        <w:rPr>
          <w:rFonts w:eastAsia="仿宋_GB2312"/>
          <w:color w:val="000000"/>
          <w:sz w:val="30"/>
          <w:szCs w:val="32"/>
        </w:rPr>
        <w:t>人民法院起诉。</w:t>
      </w:r>
      <w:bookmarkEnd w:id="515"/>
      <w:bookmarkEnd w:id="516"/>
      <w:bookmarkEnd w:id="517"/>
      <w:bookmarkEnd w:id="518"/>
      <w:bookmarkEnd w:id="519"/>
      <w:bookmarkEnd w:id="520"/>
    </w:p>
    <w:p w14:paraId="7FD02F9E">
      <w:pPr>
        <w:pStyle w:val="5"/>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 xml:space="preserve">21. </w:t>
      </w:r>
      <w:r>
        <w:rPr>
          <w:rFonts w:hint="eastAsia" w:ascii="Times New Roman" w:hAnsi="Times New Roman" w:eastAsia="黑体"/>
          <w:b w:val="0"/>
          <w:color w:val="000000"/>
          <w:sz w:val="32"/>
          <w:szCs w:val="32"/>
        </w:rPr>
        <w:t>其他未尽事宜补充约定</w:t>
      </w:r>
    </w:p>
    <w:p w14:paraId="01389812">
      <w:pPr>
        <w:spacing w:after="120" w:line="360" w:lineRule="auto"/>
        <w:ind w:firstLine="600" w:firstLineChars="200"/>
        <w:outlineLvl w:val="0"/>
        <w:rPr>
          <w:rFonts w:eastAsia="仿宋_GB2312"/>
          <w:color w:val="000000"/>
          <w:sz w:val="30"/>
          <w:szCs w:val="32"/>
        </w:rPr>
      </w:pPr>
      <w:r>
        <w:rPr>
          <w:rFonts w:eastAsia="黑体"/>
          <w:color w:val="000000"/>
          <w:sz w:val="30"/>
          <w:szCs w:val="32"/>
        </w:rPr>
        <w:t>21.1</w:t>
      </w:r>
      <w:r>
        <w:rPr>
          <w:rFonts w:hint="eastAsia" w:eastAsia="仿宋_GB2312"/>
          <w:color w:val="000000"/>
          <w:sz w:val="30"/>
          <w:szCs w:val="32"/>
        </w:rPr>
        <w:t>本合同为乙供主材，本合同采用一般计税方法计取增值税，发包人在支付承包人工程款以前须收到承包人开具的付款金额足额的增值税专用发票，否则发包人不予支付工程款；</w:t>
      </w:r>
    </w:p>
    <w:p w14:paraId="55F657AA">
      <w:pPr>
        <w:spacing w:after="120" w:line="360" w:lineRule="auto"/>
        <w:ind w:firstLine="600" w:firstLineChars="200"/>
        <w:outlineLvl w:val="0"/>
        <w:rPr>
          <w:rFonts w:eastAsia="仿宋_GB2312"/>
          <w:color w:val="000000"/>
          <w:sz w:val="30"/>
          <w:szCs w:val="32"/>
        </w:rPr>
      </w:pPr>
      <w:r>
        <w:rPr>
          <w:rFonts w:eastAsia="仿宋_GB2312"/>
          <w:color w:val="000000"/>
          <w:sz w:val="30"/>
          <w:szCs w:val="32"/>
        </w:rPr>
        <w:t>21.2</w:t>
      </w:r>
      <w:r>
        <w:rPr>
          <w:rFonts w:hint="eastAsia" w:eastAsia="仿宋_GB2312"/>
          <w:color w:val="000000"/>
          <w:sz w:val="30"/>
          <w:szCs w:val="32"/>
        </w:rPr>
        <w:t>如果承包人送审的工程结算金额超过双方审定的结算总额的10%以上，超出部分的金额发包人委托造价咨询公司提供咨询服务所产生的咨询费用由承包人承担，</w:t>
      </w:r>
      <w:r>
        <w:rPr>
          <w:rFonts w:hint="eastAsia" w:eastAsia="仿宋_GB2312"/>
          <w:color w:val="000000"/>
          <w:sz w:val="30"/>
          <w:szCs w:val="32"/>
          <w:highlight w:val="green"/>
        </w:rPr>
        <w:t>且按超出部分金额的5%作为违约金由承包人承担。</w:t>
      </w:r>
    </w:p>
    <w:p w14:paraId="036BE54D">
      <w:pPr>
        <w:spacing w:after="120" w:line="360" w:lineRule="auto"/>
        <w:ind w:firstLine="600" w:firstLineChars="200"/>
        <w:outlineLvl w:val="0"/>
        <w:rPr>
          <w:rFonts w:eastAsia="仿宋_GB2312"/>
          <w:color w:val="000000"/>
          <w:sz w:val="30"/>
          <w:szCs w:val="32"/>
        </w:rPr>
      </w:pPr>
      <w:r>
        <w:rPr>
          <w:rFonts w:eastAsia="仿宋_GB2312"/>
          <w:color w:val="000000"/>
          <w:sz w:val="30"/>
          <w:szCs w:val="32"/>
        </w:rPr>
        <w:t>21.3施工现场</w:t>
      </w:r>
      <w:r>
        <w:rPr>
          <w:rFonts w:hint="eastAsia" w:eastAsia="仿宋_GB2312"/>
          <w:color w:val="000000"/>
          <w:sz w:val="30"/>
          <w:szCs w:val="32"/>
        </w:rPr>
        <w:t>临时</w:t>
      </w:r>
      <w:r>
        <w:rPr>
          <w:rFonts w:eastAsia="仿宋_GB2312"/>
          <w:color w:val="000000"/>
          <w:sz w:val="30"/>
          <w:szCs w:val="32"/>
        </w:rPr>
        <w:t>用水、电由承包人自行</w:t>
      </w:r>
      <w:r>
        <w:rPr>
          <w:rFonts w:hint="eastAsia" w:eastAsia="仿宋_GB2312"/>
          <w:color w:val="000000"/>
          <w:sz w:val="30"/>
          <w:szCs w:val="32"/>
        </w:rPr>
        <w:t>在临时用水、电搭接处</w:t>
      </w:r>
      <w:r>
        <w:rPr>
          <w:rFonts w:eastAsia="仿宋_GB2312"/>
          <w:color w:val="000000"/>
          <w:sz w:val="30"/>
          <w:szCs w:val="32"/>
        </w:rPr>
        <w:t>安装水、电表单独计量。</w:t>
      </w:r>
      <w:r>
        <w:rPr>
          <w:rFonts w:hint="eastAsia" w:eastAsia="仿宋_GB2312"/>
          <w:color w:val="000000"/>
          <w:sz w:val="30"/>
          <w:szCs w:val="32"/>
        </w:rPr>
        <w:t>每月最后一天由承包人与发包人数智化工装技术中心共同确认核实用水、电量，其中水按4.5元/吨，电按1元/度计算。承包人于次月5号前向发包人缴纳足额水电费，发包人向承包人开具水电费增值税专用发票，如承包人未缴纳足额水电费，则次月工程进度款将停止支付。</w:t>
      </w:r>
    </w:p>
    <w:p w14:paraId="60E29009">
      <w:pPr>
        <w:spacing w:after="120" w:line="360" w:lineRule="auto"/>
        <w:ind w:firstLine="600" w:firstLineChars="200"/>
        <w:outlineLvl w:val="0"/>
        <w:rPr>
          <w:rFonts w:eastAsia="仿宋_GB2312"/>
          <w:color w:val="000000"/>
          <w:sz w:val="30"/>
          <w:szCs w:val="32"/>
        </w:rPr>
      </w:pPr>
      <w:r>
        <w:rPr>
          <w:rFonts w:hint="eastAsia" w:eastAsia="仿宋_GB2312"/>
          <w:color w:val="000000"/>
          <w:sz w:val="30"/>
          <w:szCs w:val="32"/>
        </w:rPr>
        <w:t>21.4承包人拆除的钢筋混凝土构件中的钢筋、预埋铁件等，由承包人自行处理并清理外运。</w:t>
      </w:r>
    </w:p>
    <w:p w14:paraId="4A6A3B5F">
      <w:pPr>
        <w:spacing w:after="120" w:line="360" w:lineRule="auto"/>
        <w:ind w:firstLine="600" w:firstLineChars="200"/>
        <w:outlineLvl w:val="0"/>
        <w:rPr>
          <w:rFonts w:eastAsia="仿宋_GB2312"/>
          <w:sz w:val="30"/>
          <w:szCs w:val="32"/>
        </w:rPr>
      </w:pPr>
      <w:r>
        <w:rPr>
          <w:rFonts w:hint="eastAsia" w:eastAsia="仿宋_GB2312"/>
          <w:sz w:val="30"/>
          <w:szCs w:val="32"/>
        </w:rPr>
        <w:t>21.5承包人应向发包人开具增值税专用发票，收到承包人开具的9%税率的增值税专用发票后发包人再进行支付工程款，开票信息如下：</w:t>
      </w:r>
    </w:p>
    <w:p w14:paraId="09D0C00C">
      <w:pPr>
        <w:rPr>
          <w:rFonts w:eastAsia="仿宋_GB2312"/>
          <w:sz w:val="30"/>
          <w:szCs w:val="32"/>
          <w:highlight w:val="yellow"/>
        </w:rPr>
      </w:pPr>
      <w:r>
        <w:rPr>
          <w:rFonts w:hint="eastAsia" w:eastAsia="仿宋_GB2312"/>
          <w:sz w:val="30"/>
          <w:szCs w:val="32"/>
        </w:rPr>
        <w:t>单位名称：重庆天泽新材料有限公司</w:t>
      </w:r>
      <w:r>
        <w:rPr>
          <w:rFonts w:hint="eastAsia" w:eastAsia="仿宋_GB2312"/>
          <w:sz w:val="30"/>
          <w:szCs w:val="32"/>
        </w:rPr>
        <w:br w:type="textWrapping"/>
      </w:r>
      <w:r>
        <w:rPr>
          <w:rFonts w:hint="eastAsia" w:eastAsia="仿宋_GB2312"/>
          <w:sz w:val="30"/>
          <w:szCs w:val="32"/>
        </w:rPr>
        <w:t>纳税人识别号：915001153204477338</w:t>
      </w:r>
      <w:r>
        <w:rPr>
          <w:rFonts w:hint="eastAsia" w:eastAsia="仿宋_GB2312"/>
          <w:sz w:val="30"/>
          <w:szCs w:val="32"/>
        </w:rPr>
        <w:br w:type="textWrapping"/>
      </w:r>
      <w:r>
        <w:rPr>
          <w:rFonts w:hint="eastAsia" w:eastAsia="仿宋_GB2312"/>
          <w:sz w:val="30"/>
          <w:szCs w:val="32"/>
        </w:rPr>
        <w:t>单位地址：重庆市长寿区晏家齐心大道25号办公楼负1-1等10套房</w:t>
      </w:r>
      <w:r>
        <w:rPr>
          <w:rFonts w:hint="eastAsia" w:eastAsia="仿宋_GB2312"/>
          <w:sz w:val="30"/>
          <w:szCs w:val="32"/>
        </w:rPr>
        <w:br w:type="textWrapping"/>
      </w:r>
      <w:r>
        <w:rPr>
          <w:rFonts w:hint="eastAsia" w:eastAsia="仿宋_GB2312"/>
          <w:sz w:val="30"/>
          <w:szCs w:val="32"/>
        </w:rPr>
        <w:t>联系电话：023-68980891</w:t>
      </w:r>
      <w:r>
        <w:rPr>
          <w:rFonts w:hint="eastAsia" w:eastAsia="仿宋_GB2312"/>
          <w:sz w:val="30"/>
          <w:szCs w:val="32"/>
        </w:rPr>
        <w:br w:type="textWrapping"/>
      </w:r>
      <w:r>
        <w:rPr>
          <w:rFonts w:hint="eastAsia" w:eastAsia="仿宋_GB2312"/>
          <w:sz w:val="30"/>
          <w:szCs w:val="32"/>
        </w:rPr>
        <w:t>开户行：建行重庆市分行营业部</w:t>
      </w:r>
      <w:r>
        <w:rPr>
          <w:rFonts w:hint="eastAsia" w:eastAsia="仿宋_GB2312"/>
          <w:sz w:val="30"/>
          <w:szCs w:val="32"/>
        </w:rPr>
        <w:br w:type="textWrapping"/>
      </w:r>
      <w:r>
        <w:rPr>
          <w:rFonts w:hint="eastAsia" w:eastAsia="仿宋_GB2312"/>
          <w:sz w:val="30"/>
          <w:szCs w:val="32"/>
        </w:rPr>
        <w:t>账号：50001333600050291056</w:t>
      </w:r>
      <w:r>
        <w:rPr>
          <w:rFonts w:hint="eastAsia" w:eastAsia="仿宋_GB2312"/>
          <w:sz w:val="30"/>
          <w:szCs w:val="32"/>
          <w:highlight w:val="yellow"/>
        </w:rPr>
        <w:br w:type="page"/>
      </w:r>
    </w:p>
    <w:p w14:paraId="5D83F240">
      <w:pPr>
        <w:pStyle w:val="8"/>
        <w:ind w:left="63" w:right="63" w:firstLine="600" w:firstLineChars="200"/>
        <w:rPr>
          <w:rFonts w:eastAsia="仿宋_GB2312"/>
          <w:sz w:val="30"/>
          <w:szCs w:val="32"/>
          <w:highlight w:val="yellow"/>
        </w:rPr>
      </w:pPr>
    </w:p>
    <w:p w14:paraId="7805A7E6">
      <w:pPr>
        <w:spacing w:line="360" w:lineRule="auto"/>
        <w:jc w:val="left"/>
        <w:rPr>
          <w:rFonts w:eastAsia="仿宋_GB2312"/>
          <w:color w:val="000000"/>
          <w:sz w:val="30"/>
          <w:szCs w:val="32"/>
        </w:rPr>
      </w:pPr>
      <w:r>
        <w:rPr>
          <w:rFonts w:hint="eastAsia" w:eastAsia="仿宋_GB2312"/>
          <w:color w:val="000000"/>
          <w:sz w:val="30"/>
          <w:szCs w:val="32"/>
        </w:rPr>
        <w:t>专用合同条款附件：</w:t>
      </w:r>
    </w:p>
    <w:p w14:paraId="663F280A">
      <w:pPr>
        <w:spacing w:line="360" w:lineRule="auto"/>
        <w:jc w:val="left"/>
        <w:rPr>
          <w:rFonts w:eastAsia="仿宋_GB2312"/>
          <w:color w:val="000000"/>
          <w:sz w:val="30"/>
          <w:szCs w:val="32"/>
        </w:rPr>
      </w:pPr>
      <w:r>
        <w:rPr>
          <w:rFonts w:eastAsia="仿宋_GB2312"/>
          <w:color w:val="000000"/>
          <w:sz w:val="30"/>
          <w:szCs w:val="32"/>
        </w:rPr>
        <w:t>附件1：工程质量保修书</w:t>
      </w:r>
    </w:p>
    <w:p w14:paraId="73E924A0">
      <w:pPr>
        <w:spacing w:line="360" w:lineRule="auto"/>
        <w:jc w:val="left"/>
        <w:rPr>
          <w:rFonts w:eastAsia="仿宋_GB2312"/>
          <w:color w:val="000000"/>
          <w:sz w:val="30"/>
          <w:szCs w:val="32"/>
        </w:rPr>
      </w:pPr>
      <w:r>
        <w:rPr>
          <w:rFonts w:eastAsia="仿宋_GB2312"/>
          <w:color w:val="000000"/>
          <w:sz w:val="30"/>
          <w:szCs w:val="32"/>
        </w:rPr>
        <w:t>附件2：</w:t>
      </w:r>
      <w:r>
        <w:rPr>
          <w:rFonts w:hint="eastAsia" w:eastAsia="仿宋_GB2312"/>
          <w:color w:val="000000"/>
          <w:sz w:val="30"/>
          <w:szCs w:val="32"/>
        </w:rPr>
        <w:t>廉政协议</w:t>
      </w:r>
    </w:p>
    <w:p w14:paraId="1FB64215">
      <w:pPr>
        <w:spacing w:line="360" w:lineRule="auto"/>
        <w:jc w:val="left"/>
        <w:rPr>
          <w:rFonts w:eastAsia="仿宋_GB2312"/>
          <w:color w:val="000000"/>
          <w:sz w:val="30"/>
          <w:szCs w:val="32"/>
        </w:rPr>
      </w:pPr>
      <w:r>
        <w:rPr>
          <w:rFonts w:hint="eastAsia" w:eastAsia="仿宋_GB2312"/>
          <w:color w:val="000000"/>
          <w:sz w:val="30"/>
          <w:szCs w:val="32"/>
        </w:rPr>
        <w:t>附件3：安全环保协议</w:t>
      </w:r>
    </w:p>
    <w:p w14:paraId="4DC2DB79">
      <w:pPr>
        <w:spacing w:line="360" w:lineRule="auto"/>
        <w:jc w:val="left"/>
        <w:rPr>
          <w:rFonts w:eastAsia="仿宋_GB2312"/>
          <w:color w:val="000000"/>
          <w:sz w:val="30"/>
          <w:szCs w:val="32"/>
        </w:rPr>
      </w:pPr>
      <w:r>
        <w:rPr>
          <w:rFonts w:hint="eastAsia" w:eastAsia="仿宋_GB2312"/>
          <w:color w:val="000000"/>
          <w:sz w:val="30"/>
          <w:szCs w:val="32"/>
        </w:rPr>
        <w:t>附件4：工程经济资料管理办法</w:t>
      </w:r>
    </w:p>
    <w:p w14:paraId="492C77F9">
      <w:pPr>
        <w:spacing w:line="360" w:lineRule="auto"/>
        <w:jc w:val="left"/>
        <w:rPr>
          <w:rFonts w:eastAsia="仿宋_GB2312"/>
          <w:color w:val="000000"/>
          <w:sz w:val="30"/>
          <w:szCs w:val="32"/>
        </w:rPr>
      </w:pPr>
      <w:r>
        <w:rPr>
          <w:rFonts w:hint="eastAsia" w:eastAsia="仿宋_GB2312"/>
          <w:color w:val="000000"/>
          <w:sz w:val="30"/>
          <w:szCs w:val="32"/>
        </w:rPr>
        <w:t>附件5：工程项目质量管理考核细则</w:t>
      </w:r>
    </w:p>
    <w:p w14:paraId="4ED18F30">
      <w:pPr>
        <w:pStyle w:val="8"/>
        <w:ind w:right="63"/>
        <w:rPr>
          <w:rFonts w:eastAsia="仿宋_GB2312"/>
          <w:color w:val="000000"/>
          <w:sz w:val="30"/>
          <w:szCs w:val="32"/>
        </w:rPr>
      </w:pPr>
      <w:r>
        <w:rPr>
          <w:rFonts w:hint="eastAsia" w:eastAsia="仿宋_GB2312"/>
          <w:color w:val="000000"/>
          <w:sz w:val="30"/>
          <w:szCs w:val="32"/>
        </w:rPr>
        <w:t>附件</w:t>
      </w:r>
      <w:r>
        <w:rPr>
          <w:rFonts w:eastAsia="仿宋_GB2312"/>
          <w:color w:val="000000"/>
          <w:sz w:val="30"/>
          <w:szCs w:val="32"/>
        </w:rPr>
        <w:t>6</w:t>
      </w:r>
      <w:r>
        <w:rPr>
          <w:rFonts w:hint="eastAsia" w:eastAsia="仿宋_GB2312"/>
          <w:color w:val="000000"/>
          <w:sz w:val="30"/>
          <w:szCs w:val="32"/>
        </w:rPr>
        <w:t>：工程项目设计变更管理办法</w:t>
      </w:r>
    </w:p>
    <w:p w14:paraId="7CB95D03">
      <w:r>
        <w:rPr>
          <w:rFonts w:hint="eastAsia" w:eastAsia="仿宋_GB2312"/>
          <w:color w:val="000000"/>
          <w:sz w:val="30"/>
          <w:szCs w:val="32"/>
        </w:rPr>
        <w:t>附件</w:t>
      </w:r>
      <w:r>
        <w:rPr>
          <w:rFonts w:eastAsia="仿宋_GB2312"/>
          <w:color w:val="000000"/>
          <w:sz w:val="30"/>
          <w:szCs w:val="32"/>
        </w:rPr>
        <w:t>7</w:t>
      </w:r>
      <w:r>
        <w:rPr>
          <w:rFonts w:hint="eastAsia" w:eastAsia="仿宋_GB2312"/>
          <w:color w:val="000000"/>
          <w:sz w:val="30"/>
          <w:szCs w:val="32"/>
        </w:rPr>
        <w:t>：履约保函示范文本</w:t>
      </w:r>
    </w:p>
    <w:p w14:paraId="53890529">
      <w:pPr>
        <w:spacing w:line="360" w:lineRule="auto"/>
        <w:jc w:val="left"/>
        <w:rPr>
          <w:rFonts w:ascii="仿宋_GB2312" w:eastAsia="仿宋_GB2312"/>
          <w:color w:val="000000"/>
          <w:sz w:val="30"/>
          <w:szCs w:val="30"/>
        </w:rPr>
      </w:pPr>
      <w:r>
        <w:rPr>
          <w:rFonts w:eastAsia="仿宋_GB2312"/>
          <w:color w:val="000000"/>
          <w:sz w:val="30"/>
          <w:szCs w:val="32"/>
        </w:rPr>
        <w:br w:type="page"/>
      </w:r>
      <w:r>
        <w:rPr>
          <w:rFonts w:hint="eastAsia" w:ascii="仿宋_GB2312" w:eastAsia="仿宋_GB2312"/>
          <w:color w:val="000000"/>
          <w:sz w:val="30"/>
          <w:szCs w:val="30"/>
        </w:rPr>
        <w:t>附件1：</w:t>
      </w:r>
    </w:p>
    <w:p w14:paraId="64B91933">
      <w:pPr>
        <w:spacing w:before="120" w:beforeLines="50" w:after="120" w:afterLines="50" w:line="440" w:lineRule="exact"/>
        <w:jc w:val="center"/>
        <w:rPr>
          <w:rFonts w:eastAsia="黑体"/>
          <w:color w:val="000000"/>
          <w:sz w:val="30"/>
          <w:szCs w:val="30"/>
        </w:rPr>
      </w:pPr>
      <w:r>
        <w:rPr>
          <w:rFonts w:eastAsia="黑体"/>
          <w:color w:val="000000"/>
          <w:sz w:val="30"/>
          <w:szCs w:val="30"/>
        </w:rPr>
        <w:t>工程质量保修书</w:t>
      </w:r>
    </w:p>
    <w:p w14:paraId="29675DC5">
      <w:pPr>
        <w:spacing w:line="440" w:lineRule="exact"/>
        <w:ind w:firstLine="600" w:firstLineChars="200"/>
        <w:rPr>
          <w:rFonts w:eastAsia="仿宋_GB2312"/>
          <w:color w:val="000000"/>
          <w:sz w:val="30"/>
          <w:szCs w:val="30"/>
        </w:rPr>
      </w:pPr>
      <w:r>
        <w:rPr>
          <w:rFonts w:eastAsia="仿宋_GB2312"/>
          <w:color w:val="000000"/>
          <w:sz w:val="30"/>
          <w:szCs w:val="30"/>
        </w:rPr>
        <w:t>发包人（全称）：</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p>
    <w:p w14:paraId="03AEA1E8">
      <w:pPr>
        <w:spacing w:line="440" w:lineRule="exact"/>
        <w:rPr>
          <w:rFonts w:eastAsia="仿宋_GB2312"/>
          <w:color w:val="000000"/>
          <w:sz w:val="30"/>
          <w:szCs w:val="30"/>
        </w:rPr>
      </w:pPr>
      <w:r>
        <w:rPr>
          <w:rFonts w:eastAsia="仿宋_GB2312"/>
          <w:color w:val="000000"/>
          <w:sz w:val="30"/>
          <w:szCs w:val="30"/>
        </w:rPr>
        <w:t>　　承包人（全称）：</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p>
    <w:p w14:paraId="3C5EF69E">
      <w:pPr>
        <w:spacing w:line="440" w:lineRule="exact"/>
        <w:rPr>
          <w:rFonts w:eastAsia="仿宋_GB2312"/>
          <w:color w:val="000000"/>
          <w:sz w:val="30"/>
          <w:szCs w:val="30"/>
        </w:rPr>
      </w:pPr>
    </w:p>
    <w:p w14:paraId="00D30864">
      <w:pPr>
        <w:spacing w:line="360" w:lineRule="auto"/>
        <w:rPr>
          <w:rFonts w:eastAsia="仿宋_GB2312"/>
          <w:color w:val="000000"/>
          <w:sz w:val="30"/>
          <w:szCs w:val="30"/>
        </w:rPr>
      </w:pPr>
      <w:r>
        <w:rPr>
          <w:rFonts w:eastAsia="仿宋_GB2312"/>
          <w:color w:val="000000"/>
          <w:sz w:val="30"/>
          <w:szCs w:val="30"/>
        </w:rPr>
        <w:t>　　发包人和承包人根据《中华人民共和国建筑法》和《建设工程质量管理条例》，经协商一致就</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r>
        <w:rPr>
          <w:rFonts w:eastAsia="仿宋_GB2312"/>
          <w:color w:val="000000"/>
          <w:sz w:val="30"/>
          <w:szCs w:val="30"/>
        </w:rPr>
        <w:t>（工程全称）签订工程质量保修书。</w:t>
      </w:r>
    </w:p>
    <w:p w14:paraId="35697F84">
      <w:pPr>
        <w:spacing w:line="360" w:lineRule="auto"/>
        <w:outlineLvl w:val="0"/>
        <w:rPr>
          <w:rFonts w:eastAsia="黑体"/>
          <w:color w:val="000000"/>
          <w:sz w:val="30"/>
          <w:szCs w:val="30"/>
        </w:rPr>
      </w:pPr>
      <w:r>
        <w:rPr>
          <w:rFonts w:eastAsia="黑体"/>
          <w:color w:val="000000"/>
          <w:sz w:val="30"/>
          <w:szCs w:val="30"/>
        </w:rPr>
        <w:t>　　一、工程质量保修范围和内容</w:t>
      </w:r>
    </w:p>
    <w:p w14:paraId="3B30C621">
      <w:pPr>
        <w:spacing w:line="360" w:lineRule="auto"/>
        <w:rPr>
          <w:rFonts w:eastAsia="仿宋_GB2312"/>
          <w:color w:val="000000"/>
          <w:sz w:val="30"/>
          <w:szCs w:val="30"/>
        </w:rPr>
      </w:pPr>
      <w:r>
        <w:rPr>
          <w:rFonts w:eastAsia="仿宋_GB2312"/>
          <w:color w:val="000000"/>
          <w:sz w:val="30"/>
          <w:szCs w:val="30"/>
        </w:rPr>
        <w:t>　　承包人在质量保修期内，按照有关法律规定和合同约定，承担工程质量保修责任。</w:t>
      </w:r>
    </w:p>
    <w:p w14:paraId="13AA951C">
      <w:pPr>
        <w:spacing w:line="360" w:lineRule="auto"/>
        <w:rPr>
          <w:rFonts w:eastAsia="仿宋_GB2312"/>
          <w:color w:val="000000"/>
          <w:sz w:val="30"/>
          <w:szCs w:val="30"/>
        </w:rPr>
      </w:pPr>
      <w:r>
        <w:rPr>
          <w:rFonts w:eastAsia="仿宋_GB2312"/>
          <w:color w:val="000000"/>
          <w:sz w:val="30"/>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eastAsia="仿宋_GB2312"/>
          <w:color w:val="000000"/>
          <w:sz w:val="30"/>
          <w:szCs w:val="30"/>
          <w:u w:val="single"/>
        </w:rPr>
        <w:t>工程承包合同约定的承包工程内容及按约定增加的内容</w:t>
      </w:r>
      <w:r>
        <w:rPr>
          <w:rFonts w:eastAsia="仿宋_GB2312"/>
          <w:color w:val="000000"/>
          <w:sz w:val="30"/>
          <w:szCs w:val="30"/>
          <w:u w:val="single"/>
        </w:rPr>
        <w:t xml:space="preserve">    </w:t>
      </w:r>
      <w:r>
        <w:rPr>
          <w:rFonts w:eastAsia="仿宋_GB2312"/>
          <w:color w:val="000000"/>
          <w:sz w:val="30"/>
          <w:szCs w:val="30"/>
        </w:rPr>
        <w:t>。</w:t>
      </w:r>
    </w:p>
    <w:p w14:paraId="30F3BFF1">
      <w:pPr>
        <w:spacing w:line="360" w:lineRule="auto"/>
        <w:outlineLvl w:val="0"/>
        <w:rPr>
          <w:rFonts w:eastAsia="黑体"/>
          <w:color w:val="000000"/>
          <w:sz w:val="30"/>
          <w:szCs w:val="30"/>
        </w:rPr>
      </w:pPr>
      <w:r>
        <w:rPr>
          <w:rFonts w:eastAsia="仿宋_GB2312"/>
          <w:b/>
          <w:color w:val="000000"/>
          <w:sz w:val="30"/>
          <w:szCs w:val="30"/>
        </w:rPr>
        <w:t>　　</w:t>
      </w:r>
      <w:r>
        <w:rPr>
          <w:rFonts w:eastAsia="黑体"/>
          <w:color w:val="000000"/>
          <w:sz w:val="30"/>
          <w:szCs w:val="30"/>
        </w:rPr>
        <w:t>二、质量保修期</w:t>
      </w:r>
    </w:p>
    <w:p w14:paraId="15E79B4B">
      <w:pPr>
        <w:spacing w:line="360" w:lineRule="auto"/>
        <w:ind w:firstLine="600" w:firstLineChars="200"/>
        <w:rPr>
          <w:rFonts w:eastAsia="仿宋_GB2312"/>
          <w:color w:val="000000"/>
          <w:sz w:val="30"/>
          <w:szCs w:val="30"/>
        </w:rPr>
      </w:pPr>
      <w:r>
        <w:rPr>
          <w:rFonts w:eastAsia="仿宋_GB2312"/>
          <w:color w:val="000000"/>
          <w:sz w:val="30"/>
          <w:szCs w:val="30"/>
        </w:rPr>
        <w:t>根据《建设工程质量管理条例》及有关规定，工程的质量保修期如下：</w:t>
      </w:r>
    </w:p>
    <w:p w14:paraId="7DF268E2">
      <w:pPr>
        <w:ind w:firstLine="600" w:firstLineChars="200"/>
        <w:rPr>
          <w:rFonts w:ascii="仿宋_GB2312" w:eastAsia="仿宋_GB2312"/>
          <w:sz w:val="30"/>
          <w:szCs w:val="30"/>
        </w:rPr>
      </w:pPr>
      <w:r>
        <w:rPr>
          <w:rFonts w:hint="eastAsia" w:ascii="仿宋_GB2312" w:eastAsia="仿宋_GB2312"/>
          <w:sz w:val="30"/>
          <w:szCs w:val="30"/>
        </w:rPr>
        <w:t>1</w:t>
      </w:r>
      <w:r>
        <w:rPr>
          <w:rFonts w:hint="eastAsia" w:eastAsia="仿宋_GB2312"/>
          <w:color w:val="000000"/>
          <w:sz w:val="30"/>
          <w:szCs w:val="30"/>
        </w:rPr>
        <w:t>．</w:t>
      </w:r>
      <w:r>
        <w:rPr>
          <w:rFonts w:hint="eastAsia" w:ascii="仿宋_GB2312" w:eastAsia="仿宋_GB2312"/>
          <w:sz w:val="30"/>
          <w:szCs w:val="30"/>
        </w:rPr>
        <w:t>地基基础工程和主体结构工程为设计文件规定的工程合理使用年限；</w:t>
      </w:r>
    </w:p>
    <w:p w14:paraId="6933CAF9">
      <w:pPr>
        <w:spacing w:line="360" w:lineRule="auto"/>
        <w:ind w:firstLine="600" w:firstLineChars="200"/>
        <w:rPr>
          <w:rFonts w:eastAsia="仿宋_GB2312"/>
          <w:color w:val="000000"/>
          <w:sz w:val="30"/>
          <w:szCs w:val="30"/>
        </w:rPr>
      </w:pPr>
      <w:r>
        <w:rPr>
          <w:rFonts w:hint="eastAsia" w:eastAsia="仿宋_GB2312"/>
          <w:color w:val="000000"/>
          <w:sz w:val="30"/>
          <w:szCs w:val="30"/>
        </w:rPr>
        <w:t>2</w:t>
      </w:r>
      <w:r>
        <w:rPr>
          <w:rFonts w:hint="eastAsia" w:ascii="仿宋_GB2312" w:eastAsia="仿宋_GB2312"/>
          <w:sz w:val="30"/>
          <w:szCs w:val="30"/>
        </w:rPr>
        <w:t>．</w:t>
      </w:r>
      <w:r>
        <w:rPr>
          <w:rFonts w:eastAsia="仿宋_GB2312"/>
          <w:color w:val="000000"/>
          <w:sz w:val="30"/>
          <w:szCs w:val="30"/>
        </w:rPr>
        <w:t>屋面防水工程、有防水要求的卫生间、房间和外墙面的防渗</w:t>
      </w:r>
      <w:r>
        <w:rPr>
          <w:rFonts w:hint="eastAsia" w:eastAsia="仿宋_GB2312"/>
          <w:color w:val="000000"/>
          <w:sz w:val="30"/>
          <w:szCs w:val="30"/>
        </w:rPr>
        <w:t>为</w:t>
      </w:r>
      <w:r>
        <w:rPr>
          <w:rFonts w:hint="eastAsia" w:eastAsia="仿宋_GB2312"/>
          <w:color w:val="000000"/>
          <w:sz w:val="30"/>
          <w:szCs w:val="30"/>
          <w:u w:val="single"/>
        </w:rPr>
        <w:t xml:space="preserve">   5  </w:t>
      </w:r>
      <w:r>
        <w:rPr>
          <w:rFonts w:eastAsia="仿宋_GB2312"/>
          <w:color w:val="000000"/>
          <w:sz w:val="30"/>
          <w:szCs w:val="30"/>
        </w:rPr>
        <w:t>年；</w:t>
      </w:r>
    </w:p>
    <w:p w14:paraId="6106CB5A">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3</w:t>
      </w:r>
      <w:r>
        <w:rPr>
          <w:rFonts w:hint="eastAsia" w:ascii="仿宋_GB2312" w:eastAsia="仿宋_GB2312"/>
          <w:sz w:val="30"/>
          <w:szCs w:val="30"/>
        </w:rPr>
        <w:t>．</w:t>
      </w:r>
      <w:r>
        <w:rPr>
          <w:rFonts w:eastAsia="仿宋_GB2312"/>
          <w:color w:val="000000"/>
          <w:sz w:val="30"/>
          <w:szCs w:val="30"/>
        </w:rPr>
        <w:t>装修工程为</w:t>
      </w:r>
      <w:r>
        <w:rPr>
          <w:rFonts w:eastAsia="仿宋_GB2312"/>
          <w:color w:val="000000"/>
          <w:sz w:val="30"/>
          <w:szCs w:val="30"/>
          <w:u w:val="single"/>
        </w:rPr>
        <w:t xml:space="preserve">   2  </w:t>
      </w:r>
      <w:r>
        <w:rPr>
          <w:rFonts w:eastAsia="仿宋_GB2312"/>
          <w:color w:val="000000"/>
          <w:sz w:val="30"/>
          <w:szCs w:val="30"/>
        </w:rPr>
        <w:t>年；</w:t>
      </w:r>
    </w:p>
    <w:p w14:paraId="4567FC47">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4</w:t>
      </w:r>
      <w:r>
        <w:rPr>
          <w:rFonts w:hint="eastAsia" w:ascii="仿宋_GB2312" w:eastAsia="仿宋_GB2312"/>
          <w:sz w:val="30"/>
          <w:szCs w:val="30"/>
        </w:rPr>
        <w:t>．</w:t>
      </w:r>
      <w:r>
        <w:rPr>
          <w:rFonts w:eastAsia="仿宋_GB2312"/>
          <w:color w:val="000000"/>
          <w:sz w:val="30"/>
          <w:szCs w:val="30"/>
        </w:rPr>
        <w:t>电气管线、给排水管道、设备安装工程为</w:t>
      </w:r>
      <w:r>
        <w:rPr>
          <w:rFonts w:eastAsia="仿宋_GB2312"/>
          <w:color w:val="000000"/>
          <w:sz w:val="30"/>
          <w:szCs w:val="30"/>
          <w:u w:val="single"/>
        </w:rPr>
        <w:t xml:space="preserve">   2  </w:t>
      </w:r>
      <w:r>
        <w:rPr>
          <w:rFonts w:eastAsia="仿宋_GB2312"/>
          <w:color w:val="000000"/>
          <w:sz w:val="30"/>
          <w:szCs w:val="30"/>
        </w:rPr>
        <w:t>年；</w:t>
      </w:r>
    </w:p>
    <w:p w14:paraId="6107E9D0">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5</w:t>
      </w:r>
      <w:r>
        <w:rPr>
          <w:rFonts w:hint="eastAsia" w:ascii="仿宋_GB2312" w:eastAsia="仿宋_GB2312"/>
          <w:sz w:val="30"/>
          <w:szCs w:val="30"/>
        </w:rPr>
        <w:t>．</w:t>
      </w:r>
      <w:r>
        <w:rPr>
          <w:rFonts w:eastAsia="仿宋_GB2312"/>
          <w:color w:val="000000"/>
          <w:sz w:val="30"/>
          <w:szCs w:val="30"/>
        </w:rPr>
        <w:t>供热与供冷系统为</w:t>
      </w:r>
      <w:r>
        <w:rPr>
          <w:rFonts w:eastAsia="仿宋_GB2312"/>
          <w:color w:val="000000"/>
          <w:sz w:val="30"/>
          <w:szCs w:val="30"/>
          <w:u w:val="single"/>
        </w:rPr>
        <w:t xml:space="preserve">  2  </w:t>
      </w:r>
      <w:r>
        <w:rPr>
          <w:rFonts w:eastAsia="仿宋_GB2312"/>
          <w:color w:val="000000"/>
          <w:sz w:val="30"/>
          <w:szCs w:val="30"/>
        </w:rPr>
        <w:t>个采暖期、供冷期；</w:t>
      </w:r>
    </w:p>
    <w:p w14:paraId="383C31DC">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6</w:t>
      </w:r>
      <w:r>
        <w:rPr>
          <w:rFonts w:hint="eastAsia" w:ascii="仿宋_GB2312" w:eastAsia="仿宋_GB2312"/>
          <w:sz w:val="30"/>
          <w:szCs w:val="30"/>
        </w:rPr>
        <w:t>．</w:t>
      </w:r>
      <w:r>
        <w:rPr>
          <w:rFonts w:hint="eastAsia" w:eastAsia="仿宋_GB2312"/>
          <w:color w:val="000000"/>
          <w:sz w:val="30"/>
          <w:szCs w:val="30"/>
        </w:rPr>
        <w:t>厂区</w:t>
      </w:r>
      <w:r>
        <w:rPr>
          <w:rFonts w:eastAsia="仿宋_GB2312"/>
          <w:color w:val="000000"/>
          <w:sz w:val="30"/>
          <w:szCs w:val="30"/>
        </w:rPr>
        <w:t>内的给排水设施、道路等配套工程为</w:t>
      </w:r>
      <w:r>
        <w:rPr>
          <w:rFonts w:eastAsia="仿宋_GB2312"/>
          <w:color w:val="000000"/>
          <w:sz w:val="30"/>
          <w:szCs w:val="30"/>
          <w:u w:val="single"/>
        </w:rPr>
        <w:t xml:space="preserve">  2  </w:t>
      </w:r>
      <w:r>
        <w:rPr>
          <w:rFonts w:eastAsia="仿宋_GB2312"/>
          <w:color w:val="000000"/>
          <w:sz w:val="30"/>
          <w:szCs w:val="30"/>
        </w:rPr>
        <w:t>年；</w:t>
      </w:r>
    </w:p>
    <w:p w14:paraId="10807CAB">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7</w:t>
      </w:r>
      <w:r>
        <w:rPr>
          <w:rFonts w:hint="eastAsia" w:ascii="仿宋_GB2312" w:eastAsia="仿宋_GB2312"/>
          <w:sz w:val="30"/>
          <w:szCs w:val="30"/>
        </w:rPr>
        <w:t>．</w:t>
      </w:r>
      <w:r>
        <w:rPr>
          <w:rFonts w:eastAsia="仿宋_GB2312"/>
          <w:color w:val="000000"/>
          <w:sz w:val="30"/>
          <w:szCs w:val="30"/>
        </w:rPr>
        <w:t>其他项目保修期限约定如下：</w:t>
      </w:r>
      <w:r>
        <w:rPr>
          <w:rFonts w:eastAsia="仿宋_GB2312"/>
          <w:color w:val="000000"/>
          <w:sz w:val="30"/>
          <w:szCs w:val="30"/>
          <w:highlight w:val="yellow"/>
          <w:u w:val="single"/>
        </w:rPr>
        <w:t xml:space="preserve">               </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r>
        <w:rPr>
          <w:rFonts w:eastAsia="仿宋_GB2312"/>
          <w:color w:val="000000"/>
          <w:sz w:val="30"/>
          <w:szCs w:val="30"/>
        </w:rPr>
        <w:t>。</w:t>
      </w:r>
    </w:p>
    <w:p w14:paraId="7FAB22BF">
      <w:pPr>
        <w:spacing w:line="360" w:lineRule="auto"/>
        <w:rPr>
          <w:rFonts w:eastAsia="仿宋_GB2312"/>
          <w:color w:val="000000"/>
          <w:sz w:val="30"/>
          <w:szCs w:val="30"/>
        </w:rPr>
      </w:pPr>
      <w:r>
        <w:rPr>
          <w:rFonts w:eastAsia="仿宋_GB2312"/>
          <w:color w:val="000000"/>
          <w:sz w:val="30"/>
          <w:szCs w:val="30"/>
        </w:rPr>
        <w:t>　　质量保修期自工程竣工验收合格之日起计算。</w:t>
      </w:r>
    </w:p>
    <w:p w14:paraId="2CC8CB68">
      <w:pPr>
        <w:spacing w:line="360" w:lineRule="auto"/>
        <w:ind w:firstLine="600" w:firstLineChars="200"/>
        <w:outlineLvl w:val="0"/>
        <w:rPr>
          <w:rFonts w:eastAsia="黑体"/>
          <w:color w:val="000000"/>
          <w:sz w:val="30"/>
          <w:szCs w:val="30"/>
        </w:rPr>
      </w:pPr>
      <w:r>
        <w:rPr>
          <w:rFonts w:eastAsia="黑体"/>
          <w:color w:val="000000"/>
          <w:sz w:val="30"/>
          <w:szCs w:val="30"/>
        </w:rPr>
        <w:t>三、缺陷责任期</w:t>
      </w:r>
    </w:p>
    <w:p w14:paraId="371E6FA8">
      <w:pPr>
        <w:spacing w:line="360" w:lineRule="auto"/>
        <w:ind w:firstLine="600" w:firstLineChars="200"/>
        <w:rPr>
          <w:rFonts w:eastAsia="仿宋_GB2312"/>
          <w:color w:val="000000"/>
          <w:sz w:val="30"/>
          <w:szCs w:val="30"/>
        </w:rPr>
      </w:pPr>
      <w:r>
        <w:rPr>
          <w:rFonts w:eastAsia="仿宋_GB2312"/>
          <w:color w:val="000000"/>
          <w:sz w:val="30"/>
          <w:szCs w:val="30"/>
        </w:rPr>
        <w:t>工程缺陷责任期为</w:t>
      </w:r>
      <w:r>
        <w:rPr>
          <w:rFonts w:eastAsia="仿宋_GB2312"/>
          <w:color w:val="000000"/>
          <w:sz w:val="30"/>
          <w:szCs w:val="30"/>
          <w:u w:val="single"/>
        </w:rPr>
        <w:t xml:space="preserve">   24  </w:t>
      </w:r>
      <w:r>
        <w:rPr>
          <w:rFonts w:eastAsia="仿宋_GB2312"/>
          <w:color w:val="000000"/>
          <w:sz w:val="30"/>
          <w:szCs w:val="30"/>
        </w:rPr>
        <w:t>个月，缺陷责任期自工程</w:t>
      </w:r>
      <w:r>
        <w:rPr>
          <w:rFonts w:hint="eastAsia" w:eastAsia="仿宋_GB2312"/>
          <w:color w:val="000000"/>
          <w:sz w:val="30"/>
          <w:szCs w:val="30"/>
        </w:rPr>
        <w:t>通过竣工验收</w:t>
      </w:r>
      <w:r>
        <w:rPr>
          <w:rFonts w:eastAsia="仿宋_GB2312"/>
          <w:color w:val="000000"/>
          <w:sz w:val="30"/>
          <w:szCs w:val="30"/>
        </w:rPr>
        <w:t>之日起计算。单位工程先于全部工程进行验收，单位工程缺陷责任期自单位工程验收合格之日起算。</w:t>
      </w:r>
    </w:p>
    <w:p w14:paraId="2E74241A">
      <w:pPr>
        <w:spacing w:line="360" w:lineRule="auto"/>
        <w:ind w:firstLine="600" w:firstLineChars="200"/>
        <w:rPr>
          <w:rFonts w:eastAsia="仿宋_GB2312"/>
          <w:color w:val="000000"/>
          <w:sz w:val="30"/>
          <w:szCs w:val="30"/>
        </w:rPr>
      </w:pPr>
      <w:r>
        <w:rPr>
          <w:rFonts w:eastAsia="仿宋_GB2312"/>
          <w:color w:val="000000"/>
          <w:sz w:val="30"/>
          <w:szCs w:val="30"/>
        </w:rPr>
        <w:t>缺陷责任期终止后，发包人应退还剩余的质量保证金。</w:t>
      </w:r>
    </w:p>
    <w:p w14:paraId="34883D4C">
      <w:pPr>
        <w:spacing w:line="360" w:lineRule="auto"/>
        <w:outlineLvl w:val="0"/>
        <w:rPr>
          <w:rFonts w:eastAsia="黑体"/>
          <w:color w:val="000000"/>
          <w:sz w:val="30"/>
          <w:szCs w:val="30"/>
        </w:rPr>
      </w:pPr>
      <w:r>
        <w:rPr>
          <w:rFonts w:eastAsia="黑体"/>
          <w:color w:val="000000"/>
          <w:sz w:val="30"/>
          <w:szCs w:val="30"/>
        </w:rPr>
        <w:t xml:space="preserve">    四、质量保修责任</w:t>
      </w:r>
    </w:p>
    <w:p w14:paraId="5E49128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1</w:t>
      </w:r>
      <w:r>
        <w:rPr>
          <w:rFonts w:hint="eastAsia" w:ascii="仿宋_GB2312" w:eastAsia="仿宋_GB2312"/>
          <w:sz w:val="30"/>
          <w:szCs w:val="30"/>
        </w:rPr>
        <w:t>．</w:t>
      </w:r>
      <w:r>
        <w:rPr>
          <w:rFonts w:eastAsia="仿宋_GB2312"/>
          <w:color w:val="000000"/>
          <w:sz w:val="30"/>
          <w:szCs w:val="30"/>
        </w:rPr>
        <w:t>属于保修范围、内容的项目，承包人应当在接到保修通知之日起24</w:t>
      </w:r>
      <w:r>
        <w:rPr>
          <w:rFonts w:hint="eastAsia" w:eastAsia="仿宋_GB2312"/>
          <w:color w:val="000000"/>
          <w:sz w:val="30"/>
          <w:szCs w:val="30"/>
        </w:rPr>
        <w:t>小时</w:t>
      </w:r>
      <w:r>
        <w:rPr>
          <w:rFonts w:eastAsia="仿宋_GB2312"/>
          <w:color w:val="000000"/>
          <w:sz w:val="30"/>
          <w:szCs w:val="30"/>
        </w:rPr>
        <w:t>内派人保修。承包人不在约定期限内派人保修的，发包人可以委托他人修理。</w:t>
      </w:r>
    </w:p>
    <w:p w14:paraId="0E2AD9FC">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2</w:t>
      </w:r>
      <w:r>
        <w:rPr>
          <w:rFonts w:hint="eastAsia" w:ascii="仿宋_GB2312" w:eastAsia="仿宋_GB2312"/>
          <w:sz w:val="30"/>
          <w:szCs w:val="30"/>
        </w:rPr>
        <w:t>．</w:t>
      </w:r>
      <w:r>
        <w:rPr>
          <w:rFonts w:eastAsia="仿宋_GB2312"/>
          <w:color w:val="000000"/>
          <w:sz w:val="30"/>
          <w:szCs w:val="30"/>
        </w:rPr>
        <w:t>发生紧急事故需抢修的，承包人在接到事故通知后，应当立即到达事故现场抢修。</w:t>
      </w:r>
    </w:p>
    <w:p w14:paraId="7F763A6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3</w:t>
      </w:r>
      <w:r>
        <w:rPr>
          <w:rFonts w:hint="eastAsia" w:ascii="仿宋_GB2312" w:eastAsia="仿宋_GB2312"/>
          <w:sz w:val="30"/>
          <w:szCs w:val="30"/>
        </w:rPr>
        <w:t>．</w:t>
      </w:r>
      <w:r>
        <w:rPr>
          <w:rFonts w:eastAsia="仿宋_GB2312"/>
          <w:color w:val="000000"/>
          <w:sz w:val="30"/>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3DCA25">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4</w:t>
      </w:r>
      <w:r>
        <w:rPr>
          <w:rFonts w:hint="eastAsia" w:ascii="仿宋_GB2312" w:eastAsia="仿宋_GB2312"/>
          <w:sz w:val="30"/>
          <w:szCs w:val="30"/>
        </w:rPr>
        <w:t>．</w:t>
      </w:r>
      <w:r>
        <w:rPr>
          <w:rFonts w:eastAsia="仿宋_GB2312"/>
          <w:color w:val="000000"/>
          <w:sz w:val="30"/>
          <w:szCs w:val="30"/>
        </w:rPr>
        <w:t>质量保修完成后，由发包人组织验收。</w:t>
      </w:r>
    </w:p>
    <w:p w14:paraId="69D586C4">
      <w:pPr>
        <w:spacing w:line="360" w:lineRule="auto"/>
        <w:outlineLvl w:val="0"/>
        <w:rPr>
          <w:rFonts w:eastAsia="黑体"/>
          <w:color w:val="000000"/>
          <w:sz w:val="30"/>
          <w:szCs w:val="30"/>
        </w:rPr>
      </w:pPr>
      <w:r>
        <w:rPr>
          <w:rFonts w:eastAsia="黑体"/>
          <w:color w:val="000000"/>
          <w:sz w:val="30"/>
          <w:szCs w:val="30"/>
        </w:rPr>
        <w:t>　　五、保修费用</w:t>
      </w:r>
    </w:p>
    <w:p w14:paraId="1E641764">
      <w:pPr>
        <w:spacing w:line="360" w:lineRule="auto"/>
        <w:rPr>
          <w:rFonts w:eastAsia="仿宋_GB2312"/>
          <w:color w:val="000000"/>
          <w:sz w:val="30"/>
          <w:szCs w:val="30"/>
        </w:rPr>
      </w:pPr>
      <w:r>
        <w:rPr>
          <w:rFonts w:eastAsia="仿宋_GB2312"/>
          <w:color w:val="000000"/>
          <w:sz w:val="30"/>
          <w:szCs w:val="30"/>
        </w:rPr>
        <w:t>　　保修费用由造成质量缺陷的责任方承担。</w:t>
      </w:r>
    </w:p>
    <w:p w14:paraId="65BB9AE2">
      <w:pPr>
        <w:spacing w:line="360" w:lineRule="auto"/>
        <w:ind w:firstLine="600"/>
        <w:jc w:val="left"/>
        <w:outlineLvl w:val="0"/>
        <w:rPr>
          <w:rFonts w:eastAsia="仿宋_GB2312"/>
          <w:color w:val="000000"/>
          <w:sz w:val="30"/>
          <w:szCs w:val="30"/>
        </w:rPr>
      </w:pPr>
      <w:r>
        <w:rPr>
          <w:rFonts w:eastAsia="黑体"/>
          <w:b/>
          <w:color w:val="000000"/>
          <w:sz w:val="30"/>
          <w:szCs w:val="30"/>
        </w:rPr>
        <w:t>六</w:t>
      </w:r>
      <w:r>
        <w:rPr>
          <w:rFonts w:eastAsia="黑体"/>
          <w:color w:val="000000"/>
          <w:sz w:val="30"/>
          <w:szCs w:val="30"/>
        </w:rPr>
        <w:t>、双方约定的其他工程质量保修事项</w:t>
      </w:r>
      <w:r>
        <w:rPr>
          <w:rFonts w:eastAsia="仿宋_GB2312"/>
          <w:color w:val="000000"/>
          <w:sz w:val="30"/>
          <w:szCs w:val="30"/>
        </w:rPr>
        <w:t>：</w:t>
      </w:r>
      <w:r>
        <w:rPr>
          <w:rFonts w:eastAsia="仿宋_GB2312"/>
          <w:color w:val="000000"/>
          <w:sz w:val="30"/>
          <w:szCs w:val="30"/>
          <w:highlight w:val="yellow"/>
          <w:u w:val="single"/>
        </w:rPr>
        <w:t xml:space="preserve">          </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r>
        <w:rPr>
          <w:rFonts w:eastAsia="仿宋_GB2312"/>
          <w:color w:val="000000"/>
          <w:sz w:val="30"/>
          <w:szCs w:val="30"/>
        </w:rPr>
        <w:t>。</w:t>
      </w:r>
    </w:p>
    <w:p w14:paraId="2BF921CD">
      <w:pPr>
        <w:spacing w:line="360" w:lineRule="auto"/>
        <w:ind w:firstLine="570" w:firstLineChars="190"/>
        <w:rPr>
          <w:rFonts w:eastAsia="仿宋_GB2312"/>
          <w:color w:val="000000"/>
          <w:sz w:val="30"/>
          <w:szCs w:val="30"/>
        </w:rPr>
      </w:pPr>
      <w:r>
        <w:rPr>
          <w:rFonts w:eastAsia="仿宋_GB2312"/>
          <w:color w:val="000000"/>
          <w:sz w:val="30"/>
          <w:szCs w:val="30"/>
        </w:rPr>
        <w:t>工程质量保修书由发包人、承包人在工程竣工验收前共同签署，作为施工合同附件，其有效期限至保修期满。</w:t>
      </w:r>
    </w:p>
    <w:p w14:paraId="2852D8C2">
      <w:pPr>
        <w:spacing w:line="360" w:lineRule="auto"/>
        <w:ind w:firstLine="420"/>
        <w:rPr>
          <w:rFonts w:eastAsia="仿宋_GB2312"/>
          <w:color w:val="000000"/>
          <w:sz w:val="30"/>
          <w:szCs w:val="30"/>
        </w:rPr>
      </w:pPr>
    </w:p>
    <w:p w14:paraId="32B1CFD1">
      <w:pPr>
        <w:spacing w:line="360" w:lineRule="auto"/>
        <w:rPr>
          <w:rFonts w:eastAsia="仿宋_GB2312"/>
          <w:color w:val="000000"/>
          <w:sz w:val="30"/>
          <w:szCs w:val="30"/>
          <w:u w:val="single"/>
        </w:rPr>
      </w:pPr>
      <w:r>
        <w:rPr>
          <w:rFonts w:eastAsia="仿宋_GB2312"/>
          <w:color w:val="000000"/>
          <w:sz w:val="30"/>
          <w:szCs w:val="30"/>
        </w:rPr>
        <w:t>发包人(公章)：</w:t>
      </w:r>
      <w:r>
        <w:rPr>
          <w:rFonts w:eastAsia="仿宋_GB2312"/>
          <w:color w:val="000000"/>
          <w:sz w:val="30"/>
          <w:szCs w:val="30"/>
          <w:u w:val="single"/>
        </w:rPr>
        <w:t xml:space="preserve">        </w:t>
      </w:r>
      <w:r>
        <w:rPr>
          <w:rFonts w:eastAsia="仿宋_GB2312"/>
          <w:color w:val="000000"/>
          <w:sz w:val="30"/>
          <w:szCs w:val="30"/>
        </w:rPr>
        <w:t xml:space="preserve"> 承包人(公章)：</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73B168E8">
      <w:pPr>
        <w:pStyle w:val="8"/>
        <w:ind w:left="63" w:right="63"/>
      </w:pPr>
    </w:p>
    <w:p w14:paraId="4D4FE435">
      <w:pPr>
        <w:spacing w:line="360" w:lineRule="auto"/>
        <w:rPr>
          <w:rFonts w:eastAsia="仿宋_GB2312"/>
          <w:color w:val="000000"/>
          <w:sz w:val="30"/>
          <w:szCs w:val="30"/>
          <w:u w:val="single"/>
        </w:rPr>
      </w:pPr>
      <w:r>
        <w:rPr>
          <w:rFonts w:eastAsia="仿宋_GB2312"/>
          <w:color w:val="000000"/>
          <w:sz w:val="30"/>
          <w:szCs w:val="30"/>
        </w:rPr>
        <w:t>法定代表人(签字)：</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法定代表人(签字)：</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18AEE510">
      <w:pPr>
        <w:pStyle w:val="8"/>
        <w:ind w:left="63" w:right="63"/>
      </w:pPr>
    </w:p>
    <w:p w14:paraId="3BE1E843">
      <w:pPr>
        <w:spacing w:line="360" w:lineRule="auto"/>
        <w:rPr>
          <w:rFonts w:eastAsia="仿宋_GB2312"/>
          <w:color w:val="000000"/>
          <w:sz w:val="30"/>
          <w:szCs w:val="30"/>
        </w:rPr>
      </w:pPr>
      <w:r>
        <w:rPr>
          <w:rFonts w:eastAsia="仿宋_GB2312"/>
          <w:color w:val="000000"/>
          <w:sz w:val="30"/>
          <w:szCs w:val="30"/>
        </w:rPr>
        <w:t>委托代理人(签字)：</w:t>
      </w:r>
      <w:r>
        <w:rPr>
          <w:rFonts w:eastAsia="仿宋_GB2312"/>
          <w:color w:val="000000"/>
          <w:sz w:val="30"/>
          <w:szCs w:val="30"/>
          <w:u w:val="single"/>
        </w:rPr>
        <w:t xml:space="preserve">      </w:t>
      </w:r>
      <w:r>
        <w:rPr>
          <w:rFonts w:eastAsia="仿宋_GB2312"/>
          <w:color w:val="000000"/>
          <w:sz w:val="30"/>
          <w:szCs w:val="30"/>
        </w:rPr>
        <w:t xml:space="preserve"> 委托代理人(签字)：</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0C875D54">
      <w:pPr>
        <w:spacing w:line="440" w:lineRule="exact"/>
        <w:rPr>
          <w:rFonts w:eastAsia="仿宋_GB2312"/>
          <w:color w:val="000000"/>
          <w:sz w:val="30"/>
          <w:szCs w:val="30"/>
        </w:rPr>
      </w:pPr>
      <w:r>
        <w:rPr>
          <w:rFonts w:eastAsia="仿宋_GB2312"/>
          <w:b/>
          <w:color w:val="000000"/>
          <w:sz w:val="30"/>
          <w:szCs w:val="30"/>
        </w:rPr>
        <w:br w:type="page"/>
      </w:r>
      <w:r>
        <w:rPr>
          <w:rFonts w:eastAsia="仿宋_GB2312"/>
          <w:color w:val="000000"/>
          <w:sz w:val="30"/>
          <w:szCs w:val="30"/>
        </w:rPr>
        <w:t>附件2：</w:t>
      </w:r>
    </w:p>
    <w:p w14:paraId="488A7DFA">
      <w:pPr>
        <w:widowControl/>
        <w:spacing w:before="120" w:beforeLines="50" w:line="580" w:lineRule="exact"/>
        <w:jc w:val="center"/>
        <w:rPr>
          <w:rFonts w:ascii="宋体" w:hAnsi="宋体" w:cs="宋体"/>
          <w:b/>
          <w:bCs/>
          <w:kern w:val="0"/>
          <w:sz w:val="40"/>
          <w:szCs w:val="40"/>
        </w:rPr>
      </w:pPr>
      <w:r>
        <w:rPr>
          <w:rFonts w:hint="eastAsia" w:ascii="宋体" w:hAnsi="宋体" w:cs="宋体"/>
          <w:b/>
          <w:bCs/>
          <w:kern w:val="0"/>
          <w:sz w:val="40"/>
          <w:szCs w:val="40"/>
        </w:rPr>
        <w:t>廉洁协议</w:t>
      </w:r>
    </w:p>
    <w:p w14:paraId="4F6B3CD8">
      <w:pPr>
        <w:widowControl/>
        <w:spacing w:line="260" w:lineRule="exact"/>
        <w:jc w:val="center"/>
        <w:rPr>
          <w:rFonts w:ascii="宋体" w:hAnsi="宋体" w:cs="宋体"/>
          <w:bCs/>
          <w:kern w:val="0"/>
          <w:sz w:val="18"/>
          <w:szCs w:val="18"/>
        </w:rPr>
      </w:pPr>
    </w:p>
    <w:p w14:paraId="175CE9B1">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发包人：</w:t>
      </w:r>
      <w:r>
        <w:rPr>
          <w:rFonts w:hint="eastAsia" w:ascii="宋体" w:hAnsi="宋体" w:cs="宋体"/>
          <w:kern w:val="0"/>
          <w:szCs w:val="21"/>
        </w:rPr>
        <w:t>重庆天泽新材料有限公司</w:t>
      </w:r>
      <w:r>
        <w:rPr>
          <w:rFonts w:hint="eastAsia" w:ascii="宋体" w:hAnsi="宋体" w:cs="宋体"/>
          <w:kern w:val="0"/>
          <w:sz w:val="18"/>
          <w:szCs w:val="18"/>
        </w:rPr>
        <w:t xml:space="preserve"> </w:t>
      </w:r>
    </w:p>
    <w:p w14:paraId="3D17D739">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承包人：</w:t>
      </w:r>
      <w:r>
        <w:rPr>
          <w:rFonts w:ascii="宋体" w:hAnsi="宋体" w:cs="宋体"/>
          <w:kern w:val="0"/>
          <w:sz w:val="18"/>
          <w:szCs w:val="18"/>
          <w:highlight w:val="yellow"/>
        </w:rPr>
        <w:t xml:space="preserve">                            </w:t>
      </w:r>
    </w:p>
    <w:p w14:paraId="378FEC86">
      <w:pPr>
        <w:widowControl/>
        <w:spacing w:line="320" w:lineRule="exact"/>
        <w:ind w:firstLine="360" w:firstLineChars="200"/>
        <w:rPr>
          <w:rFonts w:ascii="宋体" w:hAnsi="宋体" w:cs="宋体"/>
          <w:kern w:val="0"/>
          <w:sz w:val="18"/>
          <w:szCs w:val="18"/>
        </w:rPr>
      </w:pPr>
      <w:r>
        <w:rPr>
          <w:rFonts w:hint="eastAsia" w:ascii="宋体" w:hAnsi="宋体" w:cs="宋体"/>
          <w:kern w:val="0"/>
          <w:sz w:val="18"/>
          <w:szCs w:val="18"/>
        </w:rPr>
        <w:t>为促进发包人及承包人双方廉洁高效合作，促使发包人及承包人双方工作人员廉洁从业，按照《民法典》和国家其他有关法律法规、廉洁规定，经发包人及承包人双方协商一致，自愿签订以下廉洁协议。</w:t>
      </w:r>
    </w:p>
    <w:p w14:paraId="3991722E">
      <w:pPr>
        <w:widowControl/>
        <w:spacing w:line="320" w:lineRule="exact"/>
        <w:ind w:firstLine="361" w:firstLineChars="200"/>
        <w:jc w:val="left"/>
        <w:rPr>
          <w:rFonts w:ascii="宋体" w:hAnsi="宋体" w:cs="宋体"/>
          <w:kern w:val="0"/>
          <w:sz w:val="18"/>
          <w:szCs w:val="18"/>
        </w:rPr>
      </w:pPr>
      <w:r>
        <w:rPr>
          <w:rFonts w:hint="eastAsia" w:ascii="宋体" w:hAnsi="宋体" w:cs="宋体"/>
          <w:b/>
          <w:bCs/>
          <w:kern w:val="0"/>
          <w:sz w:val="18"/>
          <w:szCs w:val="18"/>
        </w:rPr>
        <w:t>第一条：</w:t>
      </w:r>
      <w:r>
        <w:rPr>
          <w:rFonts w:hint="eastAsia" w:ascii="宋体" w:hAnsi="宋体" w:cs="宋体"/>
          <w:kern w:val="0"/>
          <w:sz w:val="18"/>
          <w:szCs w:val="18"/>
        </w:rPr>
        <w:t>发包人在廉洁方面的义务</w:t>
      </w:r>
    </w:p>
    <w:p w14:paraId="4E935107">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 xml:space="preserve">（一）发包人及其工作人员不得干扰协作企业正常的生产经营活动，不得以任何理由要挟承包人从事不属于承包人义务的工作。 </w:t>
      </w:r>
    </w:p>
    <w:p w14:paraId="659FE37A">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（二）发包人及其工作人员不得违规索要或接受承包人的礼金、佣金、回扣、有价证券、支付凭证、贵重物品等财物。</w:t>
      </w:r>
    </w:p>
    <w:p w14:paraId="324A3597">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（三）发包人及其工作人员不得在承包人报销应由发包人或个人支付的任何费用。</w:t>
      </w:r>
    </w:p>
    <w:p w14:paraId="319376C3">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（四）发包人工作人员不得参加承包人提供的宴请、娱乐活动、高档消费；不得要求承包人提供交通工具、通讯工具、高档办公用品等。</w:t>
      </w:r>
    </w:p>
    <w:p w14:paraId="196ED88D">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（五）发包人及其工作人员不得要求或者接受承包人为其住房装修、婚丧嫁娶、配偶、子女、亲友出国（境）旅游等违反规定的相关活动提供方便。</w:t>
      </w:r>
    </w:p>
    <w:p w14:paraId="5E7929EC">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（六）发包人及其工作人员不得要求承包人为其配偶、子女及有利害关系的人员安排工作或劳务；不得违反规定从事与承包人施工项目有关的材料设备供应、工程分包等经济活动。</w:t>
      </w:r>
    </w:p>
    <w:p w14:paraId="6753C81F">
      <w:pPr>
        <w:widowControl/>
        <w:spacing w:line="320" w:lineRule="exact"/>
        <w:ind w:firstLine="361" w:firstLineChars="200"/>
        <w:jc w:val="left"/>
        <w:rPr>
          <w:rFonts w:ascii="宋体" w:hAnsi="宋体" w:cs="宋体"/>
          <w:kern w:val="0"/>
          <w:sz w:val="18"/>
          <w:szCs w:val="18"/>
        </w:rPr>
      </w:pPr>
      <w:r>
        <w:rPr>
          <w:rFonts w:hint="eastAsia" w:ascii="宋体" w:hAnsi="宋体" w:cs="宋体"/>
          <w:b/>
          <w:bCs/>
          <w:kern w:val="0"/>
          <w:sz w:val="18"/>
          <w:szCs w:val="18"/>
        </w:rPr>
        <w:t>第二条：</w:t>
      </w:r>
      <w:r>
        <w:rPr>
          <w:rFonts w:hint="eastAsia" w:ascii="宋体" w:hAnsi="宋体" w:cs="宋体"/>
          <w:kern w:val="0"/>
          <w:sz w:val="18"/>
          <w:szCs w:val="18"/>
        </w:rPr>
        <w:t>承包人在廉洁方面义务</w:t>
      </w:r>
    </w:p>
    <w:p w14:paraId="307F81D7">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（一）承包人不准以任何形式向发包人及其工作人员馈赠礼金、佣金、回扣、有价证券、支付凭证、贵重物品等财物。</w:t>
      </w:r>
    </w:p>
    <w:p w14:paraId="32C22D9B">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（二）承包人不准以任何名义为发包人及其工作人员报销应由发包人或个人支付的任何费用。</w:t>
      </w:r>
    </w:p>
    <w:p w14:paraId="077A01C1">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（三）承包人不准以任何理由邀请发包人工作人员参加有影响合作业务的宴请及娱乐活动；不准为其提供通讯工具、交通工具、高档办公用品等。</w:t>
      </w:r>
    </w:p>
    <w:p w14:paraId="63C86631">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（四）承包人不准为发包人工作人员在住房装修、婚丧嫁娶、配偶、子女、亲友出国（境）旅游提供方便；不准为发包人工作人员的配偶、子女及有利害关系的人员安排工作或劳务。</w:t>
      </w:r>
    </w:p>
    <w:p w14:paraId="163CC40B">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（五）承包人及其工作人员不准与监管单位串通，违反有关规定和程序，损害发包人利益。</w:t>
      </w:r>
    </w:p>
    <w:p w14:paraId="782BA87E">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（六）不得有其他违反法律法规行为。</w:t>
      </w:r>
    </w:p>
    <w:p w14:paraId="1550F2A8">
      <w:pPr>
        <w:widowControl/>
        <w:spacing w:line="320" w:lineRule="exact"/>
        <w:ind w:firstLine="361" w:firstLineChars="200"/>
        <w:jc w:val="left"/>
        <w:rPr>
          <w:rFonts w:ascii="宋体" w:hAnsi="宋体" w:cs="宋体"/>
          <w:kern w:val="0"/>
          <w:sz w:val="18"/>
          <w:szCs w:val="18"/>
        </w:rPr>
      </w:pPr>
      <w:r>
        <w:rPr>
          <w:rFonts w:hint="eastAsia" w:ascii="宋体" w:hAnsi="宋体" w:cs="宋体"/>
          <w:b/>
          <w:bCs/>
          <w:kern w:val="0"/>
          <w:sz w:val="18"/>
          <w:szCs w:val="18"/>
        </w:rPr>
        <w:t>第三条：</w:t>
      </w:r>
      <w:r>
        <w:rPr>
          <w:rFonts w:hint="eastAsia" w:ascii="宋体" w:hAnsi="宋体" w:cs="宋体"/>
          <w:kern w:val="0"/>
          <w:sz w:val="18"/>
          <w:szCs w:val="18"/>
        </w:rPr>
        <w:t>违约责任</w:t>
      </w:r>
    </w:p>
    <w:p w14:paraId="06988690">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（一）承包人违反本《廉洁协议》规定义务的，须向发包人承担经济合同总额3%的经济违约金。</w:t>
      </w:r>
    </w:p>
    <w:p w14:paraId="377D417A">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（二）承包人发生多次违反廉洁协议约定内容，发包人有权将承包人列入黑名单，禁止5年内进入发包人作业市场；给发包人造成经济损失、社会影响较大的，发包人有权终止履行经济合同。</w:t>
      </w:r>
    </w:p>
    <w:p w14:paraId="7E60FE49">
      <w:pPr>
        <w:widowControl/>
        <w:spacing w:line="320" w:lineRule="exact"/>
        <w:ind w:firstLine="360" w:firstLineChars="200"/>
        <w:jc w:val="left"/>
        <w:rPr>
          <w:rFonts w:ascii="宋体" w:hAnsi="宋体" w:cs="宋体"/>
          <w:kern w:val="0"/>
          <w:sz w:val="18"/>
          <w:szCs w:val="18"/>
        </w:rPr>
      </w:pPr>
      <w:r>
        <w:rPr>
          <w:rFonts w:hint="eastAsia" w:ascii="宋体" w:hAnsi="宋体" w:cs="宋体"/>
          <w:kern w:val="0"/>
          <w:sz w:val="18"/>
          <w:szCs w:val="18"/>
        </w:rPr>
        <w:t>（三）发包人若违反本《廉洁协议》有关规定的，对违法违纪人员，由发包人主管部门依据有关规定查处。</w:t>
      </w:r>
    </w:p>
    <w:p w14:paraId="170C856D">
      <w:pPr>
        <w:spacing w:line="320" w:lineRule="exact"/>
        <w:ind w:firstLine="361" w:firstLineChars="200"/>
        <w:rPr>
          <w:rFonts w:ascii="宋体" w:hAnsi="宋体" w:cs="宋体"/>
          <w:kern w:val="0"/>
          <w:sz w:val="18"/>
          <w:szCs w:val="18"/>
        </w:rPr>
      </w:pPr>
      <w:r>
        <w:rPr>
          <w:rFonts w:hint="eastAsia" w:ascii="宋体" w:hAnsi="宋体" w:cs="宋体"/>
          <w:b/>
          <w:bCs/>
          <w:kern w:val="0"/>
          <w:sz w:val="18"/>
          <w:szCs w:val="18"/>
        </w:rPr>
        <w:t>第四条：</w:t>
      </w:r>
      <w:r>
        <w:rPr>
          <w:rFonts w:hint="eastAsia" w:ascii="宋体" w:hAnsi="宋体" w:cs="宋体"/>
          <w:kern w:val="0"/>
          <w:sz w:val="18"/>
          <w:szCs w:val="18"/>
        </w:rPr>
        <w:t>本协议有效期同经济合同期限。</w:t>
      </w:r>
    </w:p>
    <w:p w14:paraId="43819BDD">
      <w:pPr>
        <w:widowControl/>
        <w:spacing w:line="320" w:lineRule="exact"/>
        <w:ind w:firstLine="361" w:firstLineChars="200"/>
        <w:jc w:val="left"/>
        <w:rPr>
          <w:rFonts w:ascii="宋体" w:hAnsi="宋体"/>
          <w:sz w:val="18"/>
          <w:szCs w:val="18"/>
        </w:rPr>
      </w:pPr>
      <w:r>
        <w:rPr>
          <w:rFonts w:hint="eastAsia" w:ascii="宋体" w:hAnsi="宋体" w:cs="宋体"/>
          <w:b/>
          <w:bCs/>
          <w:kern w:val="0"/>
          <w:sz w:val="18"/>
          <w:szCs w:val="18"/>
        </w:rPr>
        <w:t>第五条：</w:t>
      </w:r>
      <w:r>
        <w:rPr>
          <w:rFonts w:hint="eastAsia" w:ascii="宋体" w:hAnsi="宋体"/>
          <w:sz w:val="18"/>
          <w:szCs w:val="18"/>
        </w:rPr>
        <w:t>本协议为经济合同附件，与主合同具有同等法律效力，发包人及承包人双方签署后生效。</w:t>
      </w:r>
    </w:p>
    <w:p w14:paraId="4BE76F7C">
      <w:pPr>
        <w:widowControl/>
        <w:spacing w:line="320" w:lineRule="exact"/>
        <w:ind w:firstLine="361" w:firstLineChars="200"/>
        <w:jc w:val="left"/>
        <w:rPr>
          <w:rFonts w:ascii="宋体" w:hAnsi="宋体" w:cs="宋体"/>
          <w:kern w:val="0"/>
          <w:sz w:val="18"/>
          <w:szCs w:val="18"/>
        </w:rPr>
      </w:pPr>
      <w:r>
        <w:rPr>
          <w:rFonts w:hint="eastAsia" w:ascii="宋体" w:hAnsi="宋体" w:cs="宋体"/>
          <w:b/>
          <w:bCs/>
          <w:kern w:val="0"/>
          <w:sz w:val="18"/>
          <w:szCs w:val="18"/>
        </w:rPr>
        <w:t>第六条：</w:t>
      </w:r>
      <w:r>
        <w:rPr>
          <w:rFonts w:ascii="宋体" w:hAnsi="宋体"/>
          <w:sz w:val="18"/>
          <w:szCs w:val="18"/>
        </w:rPr>
        <w:t>承包人向发包人</w:t>
      </w:r>
      <w:r>
        <w:rPr>
          <w:rFonts w:hint="eastAsia" w:ascii="宋体" w:hAnsi="宋体"/>
          <w:sz w:val="18"/>
          <w:szCs w:val="18"/>
        </w:rPr>
        <w:t>反映廉洁问题的</w:t>
      </w:r>
      <w:r>
        <w:rPr>
          <w:rFonts w:ascii="宋体" w:hAnsi="宋体"/>
          <w:sz w:val="18"/>
          <w:szCs w:val="18"/>
        </w:rPr>
        <w:t>联系方式</w:t>
      </w:r>
      <w:r>
        <w:rPr>
          <w:rFonts w:hint="eastAsia" w:ascii="宋体" w:hAnsi="宋体"/>
          <w:sz w:val="18"/>
          <w:szCs w:val="18"/>
        </w:rPr>
        <w:t>。</w:t>
      </w:r>
      <w:r>
        <w:rPr>
          <w:rFonts w:hint="eastAsia" w:ascii="宋体" w:hAnsi="宋体" w:cs="宋体"/>
          <w:kern w:val="0"/>
          <w:sz w:val="18"/>
          <w:szCs w:val="18"/>
        </w:rPr>
        <w:t>邮寄地址：</w:t>
      </w:r>
      <w:r>
        <w:rPr>
          <w:rFonts w:ascii="宋体" w:hAnsi="宋体" w:cs="宋体"/>
          <w:kern w:val="0"/>
          <w:sz w:val="18"/>
          <w:szCs w:val="18"/>
        </w:rPr>
        <w:t>重庆国际复合材料</w:t>
      </w:r>
      <w:r>
        <w:rPr>
          <w:rFonts w:hint="eastAsia" w:ascii="宋体" w:hAnsi="宋体" w:cs="宋体"/>
          <w:kern w:val="0"/>
          <w:sz w:val="18"/>
          <w:szCs w:val="18"/>
        </w:rPr>
        <w:t>股份</w:t>
      </w:r>
      <w:r>
        <w:rPr>
          <w:rFonts w:ascii="宋体" w:hAnsi="宋体" w:cs="宋体"/>
          <w:kern w:val="0"/>
          <w:sz w:val="18"/>
          <w:szCs w:val="18"/>
        </w:rPr>
        <w:t>有限公司纪委办</w:t>
      </w:r>
      <w:r>
        <w:rPr>
          <w:rFonts w:hint="eastAsia" w:ascii="宋体" w:hAnsi="宋体" w:cs="宋体"/>
          <w:kern w:val="0"/>
          <w:sz w:val="18"/>
          <w:szCs w:val="18"/>
        </w:rPr>
        <w:t>，</w:t>
      </w:r>
      <w:r>
        <w:rPr>
          <w:rFonts w:ascii="宋体" w:hAnsi="宋体" w:cs="宋体"/>
          <w:kern w:val="0"/>
          <w:sz w:val="18"/>
          <w:szCs w:val="18"/>
        </w:rPr>
        <w:t>邮编</w:t>
      </w:r>
      <w:r>
        <w:rPr>
          <w:rFonts w:hint="eastAsia" w:ascii="宋体" w:hAnsi="宋体" w:cs="宋体"/>
          <w:kern w:val="0"/>
          <w:sz w:val="18"/>
          <w:szCs w:val="18"/>
        </w:rPr>
        <w:t>：4</w:t>
      </w:r>
      <w:r>
        <w:rPr>
          <w:rFonts w:ascii="宋体" w:hAnsi="宋体" w:cs="宋体"/>
          <w:kern w:val="0"/>
          <w:sz w:val="18"/>
          <w:szCs w:val="18"/>
        </w:rPr>
        <w:t>00082</w:t>
      </w:r>
    </w:p>
    <w:p w14:paraId="6956CB31">
      <w:pPr>
        <w:spacing w:line="320" w:lineRule="exact"/>
        <w:ind w:firstLine="360" w:firstLineChars="200"/>
        <w:rPr>
          <w:rFonts w:ascii="宋体" w:hAnsi="宋体" w:cs="宋体"/>
          <w:kern w:val="0"/>
          <w:sz w:val="18"/>
          <w:szCs w:val="18"/>
        </w:rPr>
      </w:pPr>
      <w:r>
        <w:rPr>
          <w:rFonts w:hint="eastAsia" w:ascii="宋体" w:hAnsi="宋体" w:cs="宋体"/>
          <w:kern w:val="0"/>
          <w:sz w:val="18"/>
          <w:szCs w:val="18"/>
        </w:rPr>
        <w:t>工作联系</w:t>
      </w:r>
      <w:r>
        <w:rPr>
          <w:rFonts w:ascii="宋体" w:hAnsi="宋体" w:cs="宋体"/>
          <w:kern w:val="0"/>
          <w:sz w:val="18"/>
          <w:szCs w:val="18"/>
        </w:rPr>
        <w:t>电话</w:t>
      </w:r>
      <w:r>
        <w:rPr>
          <w:rFonts w:hint="eastAsia" w:ascii="宋体" w:hAnsi="宋体" w:cs="宋体"/>
          <w:kern w:val="0"/>
          <w:sz w:val="18"/>
          <w:szCs w:val="18"/>
        </w:rPr>
        <w:t>：023-68157555。</w:t>
      </w:r>
    </w:p>
    <w:p w14:paraId="293F9E72">
      <w:pPr>
        <w:widowControl/>
        <w:spacing w:line="320" w:lineRule="exact"/>
        <w:ind w:firstLine="361" w:firstLineChars="200"/>
        <w:outlineLvl w:val="1"/>
        <w:rPr>
          <w:rFonts w:ascii="宋体" w:hAnsi="宋体" w:cs="宋体"/>
          <w:sz w:val="18"/>
          <w:szCs w:val="18"/>
        </w:rPr>
      </w:pPr>
      <w:r>
        <w:rPr>
          <w:rFonts w:hint="eastAsia" w:ascii="宋体" w:hAnsi="宋体" w:cs="宋体"/>
          <w:b/>
          <w:bCs/>
          <w:kern w:val="0"/>
          <w:sz w:val="18"/>
          <w:szCs w:val="18"/>
        </w:rPr>
        <w:t>第七条：</w:t>
      </w:r>
      <w:r>
        <w:rPr>
          <w:rFonts w:hint="eastAsia" w:ascii="宋体" w:hAnsi="宋体" w:cs="宋体"/>
          <w:sz w:val="18"/>
          <w:szCs w:val="18"/>
        </w:rPr>
        <w:t>未经公司制度特别规定或正式授权，员工在本合同/协议/或其他书面材料签章的行为，不对外产生效力。</w:t>
      </w:r>
    </w:p>
    <w:p w14:paraId="4DD13134">
      <w:pPr>
        <w:pStyle w:val="63"/>
        <w:spacing w:line="320" w:lineRule="exact"/>
      </w:pPr>
    </w:p>
    <w:p w14:paraId="09752516">
      <w:pPr>
        <w:pStyle w:val="63"/>
        <w:spacing w:line="320" w:lineRule="exact"/>
      </w:pPr>
    </w:p>
    <w:p w14:paraId="6F24D060">
      <w:pPr>
        <w:spacing w:line="320" w:lineRule="exact"/>
        <w:ind w:left="210" w:leftChars="100" w:firstLine="181" w:firstLineChars="100"/>
        <w:rPr>
          <w:sz w:val="18"/>
        </w:rPr>
      </w:pPr>
      <w:r>
        <w:rPr>
          <w:rFonts w:hint="eastAsia"/>
          <w:b/>
          <w:sz w:val="18"/>
        </w:rPr>
        <w:t>发包人（买方）</w:t>
      </w:r>
      <w:r>
        <w:rPr>
          <w:b/>
          <w:sz w:val="18"/>
        </w:rPr>
        <w:t>名称：</w:t>
      </w:r>
      <w:r>
        <w:rPr>
          <w:rFonts w:hint="eastAsia"/>
          <w:b/>
          <w:sz w:val="18"/>
        </w:rPr>
        <w:t xml:space="preserve">重庆天泽新材料有限公司 </w:t>
      </w:r>
      <w:r>
        <w:rPr>
          <w:b/>
          <w:sz w:val="18"/>
        </w:rPr>
        <w:t xml:space="preserve">              </w:t>
      </w:r>
      <w:r>
        <w:rPr>
          <w:rFonts w:hint="eastAsia"/>
          <w:b/>
          <w:sz w:val="18"/>
        </w:rPr>
        <w:t>承包人（卖方）</w:t>
      </w:r>
      <w:r>
        <w:rPr>
          <w:b/>
          <w:sz w:val="18"/>
        </w:rPr>
        <w:t>名称：</w:t>
      </w:r>
      <w:r>
        <w:rPr>
          <w:rFonts w:hint="eastAsia"/>
          <w:b/>
          <w:sz w:val="18"/>
        </w:rPr>
        <w:t xml:space="preserve">  </w:t>
      </w:r>
      <w:r>
        <w:rPr>
          <w:b/>
          <w:sz w:val="18"/>
          <w:highlight w:val="yellow"/>
        </w:rPr>
        <w:t xml:space="preserve">           </w:t>
      </w:r>
      <w:r>
        <w:rPr>
          <w:rFonts w:hint="eastAsia"/>
          <w:b/>
          <w:sz w:val="18"/>
        </w:rPr>
        <w:t xml:space="preserve">                  </w:t>
      </w:r>
    </w:p>
    <w:p w14:paraId="06B231C0">
      <w:pPr>
        <w:spacing w:line="320" w:lineRule="exact"/>
        <w:rPr>
          <w:sz w:val="18"/>
        </w:rPr>
      </w:pPr>
    </w:p>
    <w:p w14:paraId="7B018F43">
      <w:pPr>
        <w:spacing w:line="320" w:lineRule="exact"/>
        <w:ind w:firstLine="361" w:firstLineChars="200"/>
        <w:rPr>
          <w:b/>
          <w:sz w:val="18"/>
        </w:rPr>
      </w:pPr>
      <w:r>
        <w:rPr>
          <w:b/>
          <w:sz w:val="18"/>
        </w:rPr>
        <w:t xml:space="preserve">代表签字（盖章）：    </w:t>
      </w:r>
      <w:r>
        <w:rPr>
          <w:rFonts w:hint="eastAsia"/>
          <w:b/>
          <w:sz w:val="18"/>
        </w:rPr>
        <w:t xml:space="preserve">                                        </w:t>
      </w:r>
      <w:r>
        <w:rPr>
          <w:b/>
          <w:sz w:val="18"/>
        </w:rPr>
        <w:t>代表签字（盖章）：</w:t>
      </w:r>
    </w:p>
    <w:p w14:paraId="204D494A">
      <w:pPr>
        <w:spacing w:line="320" w:lineRule="exact"/>
        <w:rPr>
          <w:b/>
          <w:sz w:val="18"/>
        </w:rPr>
      </w:pPr>
    </w:p>
    <w:p w14:paraId="6F191987">
      <w:pPr>
        <w:spacing w:line="320" w:lineRule="exact"/>
        <w:ind w:firstLine="361" w:firstLineChars="200"/>
      </w:pPr>
      <w:r>
        <w:rPr>
          <w:b/>
          <w:sz w:val="18"/>
        </w:rPr>
        <w:t xml:space="preserve">日期：                        </w:t>
      </w:r>
      <w:r>
        <w:rPr>
          <w:rFonts w:hint="eastAsia"/>
          <w:b/>
          <w:sz w:val="18"/>
        </w:rPr>
        <w:t xml:space="preserve">                               </w:t>
      </w:r>
      <w:r>
        <w:rPr>
          <w:b/>
          <w:sz w:val="18"/>
        </w:rPr>
        <w:t xml:space="preserve">日期： </w:t>
      </w:r>
    </w:p>
    <w:p w14:paraId="49C59F18">
      <w:pPr>
        <w:wordWrap w:val="0"/>
        <w:topLinePunct/>
        <w:autoSpaceDE w:val="0"/>
        <w:autoSpaceDN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 xml:space="preserve"> </w:t>
      </w:r>
    </w:p>
    <w:p w14:paraId="34786079">
      <w:pPr>
        <w:rPr>
          <w:rFonts w:eastAsia="仿宋_GB2312"/>
          <w:color w:val="000000"/>
          <w:sz w:val="30"/>
          <w:szCs w:val="30"/>
        </w:rPr>
      </w:pPr>
      <w:r>
        <w:rPr>
          <w:rFonts w:eastAsia="仿宋_GB2312"/>
          <w:color w:val="000000"/>
          <w:sz w:val="30"/>
          <w:szCs w:val="30"/>
        </w:rPr>
        <w:br w:type="page"/>
      </w:r>
    </w:p>
    <w:p w14:paraId="50B36593">
      <w:pPr>
        <w:spacing w:line="440" w:lineRule="exact"/>
        <w:rPr>
          <w:rFonts w:eastAsia="仿宋_GB2312"/>
          <w:color w:val="000000"/>
          <w:sz w:val="30"/>
          <w:szCs w:val="30"/>
        </w:rPr>
      </w:pPr>
      <w:r>
        <w:rPr>
          <w:rFonts w:eastAsia="仿宋_GB2312"/>
          <w:color w:val="000000"/>
          <w:sz w:val="30"/>
          <w:szCs w:val="30"/>
        </w:rPr>
        <w:t>附件3：</w:t>
      </w:r>
    </w:p>
    <w:p w14:paraId="10F26C6D">
      <w:pPr>
        <w:pStyle w:val="2"/>
        <w:keepNext w:val="0"/>
        <w:keepLines w:val="0"/>
        <w:widowControl/>
        <w:spacing w:before="140"/>
        <w:jc w:val="center"/>
        <w:rPr>
          <w:rFonts w:ascii="宋体" w:hAnsi="宋体" w:cs="宋体"/>
          <w:sz w:val="32"/>
          <w:szCs w:val="32"/>
        </w:rPr>
      </w:pPr>
      <w:r>
        <w:rPr>
          <w:rFonts w:hint="eastAsia" w:ascii="宋体" w:hAnsi="宋体" w:cs="宋体"/>
          <w:sz w:val="32"/>
          <w:szCs w:val="32"/>
        </w:rPr>
        <w:t>安全环保管理协议</w:t>
      </w:r>
    </w:p>
    <w:p w14:paraId="56B25500"/>
    <w:p w14:paraId="36350FBC">
      <w:pPr>
        <w:pStyle w:val="64"/>
        <w:spacing w:before="0" w:after="0" w:line="360" w:lineRule="auto"/>
        <w:rPr>
          <w:rFonts w:ascii="宋体" w:hAnsi="宋体" w:eastAsia="宋体" w:cs="宋体"/>
          <w:sz w:val="24"/>
          <w:szCs w:val="24"/>
        </w:rPr>
      </w:pPr>
      <w:r>
        <w:rPr>
          <w:rFonts w:hint="eastAsia" w:ascii="宋体" w:hAnsi="宋体" w:eastAsia="宋体" w:cs="宋体"/>
          <w:sz w:val="24"/>
          <w:szCs w:val="24"/>
        </w:rPr>
        <w:t>发包人（全称）：重庆天泽新材料有限公司</w:t>
      </w:r>
    </w:p>
    <w:p w14:paraId="4AD65176">
      <w:pPr>
        <w:pStyle w:val="64"/>
        <w:spacing w:before="0" w:after="0" w:line="360" w:lineRule="auto"/>
        <w:rPr>
          <w:rFonts w:ascii="宋体" w:hAnsi="宋体" w:eastAsia="宋体" w:cs="宋体"/>
          <w:sz w:val="24"/>
          <w:szCs w:val="24"/>
        </w:rPr>
      </w:pPr>
      <w:r>
        <w:rPr>
          <w:rFonts w:hint="eastAsia" w:ascii="宋体" w:hAnsi="宋体" w:eastAsia="宋体" w:cs="宋体"/>
          <w:sz w:val="24"/>
          <w:szCs w:val="24"/>
        </w:rPr>
        <w:t>承包人（全称）：</w:t>
      </w:r>
    </w:p>
    <w:p w14:paraId="06705F8A">
      <w:pPr>
        <w:pStyle w:val="64"/>
        <w:spacing w:before="0" w:after="0" w:line="360" w:lineRule="auto"/>
        <w:rPr>
          <w:rFonts w:ascii="宋体" w:hAnsi="宋体" w:eastAsia="宋体" w:cs="宋体"/>
          <w:sz w:val="24"/>
          <w:szCs w:val="24"/>
        </w:rPr>
      </w:pPr>
    </w:p>
    <w:p w14:paraId="7B1F3558">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根据《安全生产法》《重庆市安全生产条例》等有关规定，基于已签订的合同文件，为进一步明确双方在承揽的（☑工程项目、设备设施安装、□检维修施工）时的安全、环保、消防职责和义务，落实 “谁发包、谁负责”“谁用工、谁管理”“属地管理” 和 “全过程、一体化” 管理原则，全面推行 “五个一”（一套标准、一套考核、一体运作、一个团队、一种文化）一体化管理模式，经双方协商同意后签订本协议，以期共同遵守。</w:t>
      </w:r>
    </w:p>
    <w:p w14:paraId="2E119D02">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一、核心协议内容</w:t>
      </w:r>
    </w:p>
    <w:p w14:paraId="3B48D44E">
      <w:pPr>
        <w:pStyle w:val="4"/>
        <w:keepNext w:val="0"/>
        <w:keepLines w:val="0"/>
        <w:widowControl/>
        <w:spacing w:before="0" w:after="0" w:line="360" w:lineRule="auto"/>
        <w:ind w:firstLine="562" w:firstLineChars="200"/>
        <w:rPr>
          <w:rFonts w:ascii="宋体" w:hAnsi="宋体" w:cs="宋体"/>
          <w:sz w:val="28"/>
          <w:szCs w:val="28"/>
        </w:rPr>
      </w:pPr>
      <w:r>
        <w:rPr>
          <w:rFonts w:hint="eastAsia" w:ascii="宋体" w:hAnsi="宋体" w:cs="宋体"/>
          <w:sz w:val="28"/>
          <w:szCs w:val="28"/>
        </w:rPr>
        <w:t>（一）发包企业安全规章制度告知</w:t>
      </w:r>
    </w:p>
    <w:p w14:paraId="0637DBA1">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1、发包人应向承包人全面告知公司安全环保规章制度、应急处理程序、“吹哨人” 及隐患内部报告制度（含奖励标准）、安全生产十大禁令、《云天化集团承包商安全管理指南》等核心要求，提供制度文本供承包人存档查阅，并通过专题培训或书面签收等方式确保承包人及全体从业人员知晓、理解并承诺遵守。</w:t>
      </w:r>
    </w:p>
    <w:p w14:paraId="489EB603">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2、承包人应组织内部全员传达学习发包人安全规章制度，留存学习记录备查，并将相关要求融入自身安全管理体系，确保落地执行。</w:t>
      </w:r>
    </w:p>
    <w:p w14:paraId="011AFB71">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（二）双方工作范围</w:t>
      </w:r>
    </w:p>
    <w:p w14:paraId="17854592">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1、发包人工作范围：</w:t>
      </w:r>
    </w:p>
    <w:p w14:paraId="383A417A">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提供符合安全要求的施工、维保场地，明确业务发包部门、使用部门及属地部门的具体职责分工，杜绝管理责任悬空。</w:t>
      </w:r>
    </w:p>
    <w:p w14:paraId="268C9DF9">
      <w:pPr>
        <w:spacing w:line="360" w:lineRule="auto"/>
        <w:ind w:firstLine="480" w:firstLineChars="200"/>
        <w:rPr>
          <w:rFonts w:ascii="宋体" w:hAnsi="宋体" w:cs="宋体"/>
          <w:sz w:val="24"/>
        </w:rPr>
      </w:pPr>
      <w:r>
        <w:rPr>
          <w:rFonts w:hint="eastAsia" w:ascii="宋体" w:hAnsi="宋体" w:cs="宋体"/>
          <w:sz w:val="24"/>
        </w:rPr>
        <w:t>发包人对应部门：</w:t>
      </w:r>
    </w:p>
    <w:p w14:paraId="1B7751C2">
      <w:pPr>
        <w:spacing w:line="360" w:lineRule="auto"/>
        <w:ind w:firstLine="480" w:firstLineChars="200"/>
        <w:rPr>
          <w:rFonts w:ascii="宋体" w:hAnsi="宋体" w:cs="宋体"/>
          <w:sz w:val="24"/>
          <w:u w:val="single"/>
          <w:shd w:val="clear" w:color="auto" w:fill="FFFF00"/>
        </w:rPr>
      </w:pPr>
      <w:r>
        <w:rPr>
          <w:rFonts w:hint="eastAsia" w:ascii="宋体" w:hAnsi="宋体" w:cs="宋体"/>
          <w:sz w:val="24"/>
          <w:shd w:val="clear" w:color="auto" w:fill="FFFF00"/>
        </w:rPr>
        <w:t>发包部门：</w:t>
      </w:r>
      <w:r>
        <w:rPr>
          <w:rFonts w:hint="eastAsia" w:ascii="宋体" w:hAnsi="宋体" w:cs="宋体"/>
          <w:sz w:val="24"/>
          <w:u w:val="single"/>
          <w:shd w:val="clear" w:color="auto" w:fill="FFFF00"/>
        </w:rPr>
        <w:t xml:space="preserve">XXXXXX  </w:t>
      </w:r>
    </w:p>
    <w:p w14:paraId="1AFFAA8B">
      <w:pPr>
        <w:spacing w:line="360" w:lineRule="auto"/>
        <w:ind w:firstLine="480" w:firstLineChars="200"/>
        <w:rPr>
          <w:rFonts w:ascii="宋体" w:hAnsi="宋体" w:cs="宋体"/>
          <w:sz w:val="24"/>
          <w:u w:val="single"/>
          <w:shd w:val="clear" w:color="auto" w:fill="FFFF00"/>
        </w:rPr>
      </w:pPr>
      <w:r>
        <w:rPr>
          <w:rFonts w:hint="eastAsia" w:ascii="宋体" w:hAnsi="宋体" w:cs="宋体"/>
          <w:sz w:val="24"/>
          <w:shd w:val="clear" w:color="auto" w:fill="FFFF00"/>
        </w:rPr>
        <w:t>使用部门：</w:t>
      </w:r>
      <w:r>
        <w:rPr>
          <w:rFonts w:hint="eastAsia" w:ascii="宋体" w:hAnsi="宋体" w:cs="宋体"/>
          <w:sz w:val="24"/>
          <w:u w:val="single"/>
          <w:shd w:val="clear" w:color="auto" w:fill="FFFF00"/>
        </w:rPr>
        <w:t xml:space="preserve"> </w:t>
      </w:r>
      <w:r>
        <w:rPr>
          <w:rFonts w:hint="eastAsia" w:ascii="宋体" w:hAnsi="宋体" w:cs="宋体"/>
          <w:sz w:val="24"/>
          <w:u w:val="thick"/>
          <w:shd w:val="clear" w:color="auto" w:fill="FFFF00"/>
        </w:rPr>
        <w:t xml:space="preserve">   </w:t>
      </w:r>
      <w:r>
        <w:rPr>
          <w:rFonts w:hint="eastAsia" w:ascii="宋体" w:hAnsi="宋体" w:cs="宋体"/>
          <w:sz w:val="24"/>
          <w:shd w:val="clear" w:color="auto" w:fill="FFFF00"/>
        </w:rPr>
        <w:t xml:space="preserve"> </w:t>
      </w:r>
      <w:r>
        <w:rPr>
          <w:rFonts w:hint="eastAsia" w:ascii="宋体" w:hAnsi="宋体" w:cs="宋体"/>
          <w:sz w:val="24"/>
          <w:u w:val="single"/>
          <w:shd w:val="clear" w:color="auto" w:fill="FFFF00"/>
        </w:rPr>
        <w:t xml:space="preserve">         </w:t>
      </w:r>
    </w:p>
    <w:p w14:paraId="1D6C90A9">
      <w:pPr>
        <w:spacing w:line="360" w:lineRule="auto"/>
        <w:ind w:firstLine="480" w:firstLineChars="200"/>
        <w:rPr>
          <w:rFonts w:ascii="宋体" w:hAnsi="宋体" w:cs="宋体"/>
          <w:sz w:val="24"/>
        </w:rPr>
      </w:pPr>
      <w:r>
        <w:rPr>
          <w:rFonts w:hint="eastAsia" w:ascii="宋体" w:hAnsi="宋体" w:cs="宋体"/>
          <w:sz w:val="24"/>
          <w:shd w:val="clear" w:color="auto" w:fill="FFFF00"/>
        </w:rPr>
        <w:t>属地部门：</w:t>
      </w:r>
      <w:r>
        <w:rPr>
          <w:rFonts w:hint="eastAsia" w:ascii="宋体" w:hAnsi="宋体" w:cs="宋体"/>
          <w:sz w:val="24"/>
          <w:u w:val="single"/>
          <w:shd w:val="clear" w:color="auto" w:fill="FFFF00"/>
        </w:rPr>
        <w:t xml:space="preserve">XXXXXX                       </w:t>
      </w:r>
      <w:r>
        <w:rPr>
          <w:rFonts w:hint="eastAsia" w:ascii="宋体" w:hAnsi="宋体" w:cs="宋体"/>
          <w:sz w:val="24"/>
          <w:u w:val="single"/>
        </w:rPr>
        <w:t xml:space="preserve"> </w:t>
      </w:r>
    </w:p>
    <w:p w14:paraId="69243A3C">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对承包人开展准入审查、安全培训考核、作业过程监督检查，统筹协调同一作业区域多承包商的安全管理；建立承包人管理档案，实施安全绩效评价、合格承包商名录及黑名单动态管理。</w:t>
      </w:r>
    </w:p>
    <w:p w14:paraId="60E3225B">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组织开展安全赋能与文化融合活动，监督承包人 “吹哨人” 及隐患内部报告制度的建立与执行，保障奖励资金落实。</w:t>
      </w:r>
    </w:p>
    <w:p w14:paraId="1771E00F">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2、承包人工作范围：</w:t>
      </w:r>
    </w:p>
    <w:p w14:paraId="0EB0E284">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按照合同约定完成承揽业务，履行安全生产主体责任，接受发包人及相关单位的监督管理。</w:t>
      </w:r>
    </w:p>
    <w:p w14:paraId="00D99D3B">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建立健全安全管理体系，配备相应安全管理人员，保障安全生产资金投入，落实各项安全环保措施；开展从业人员安全培训、职业健康监护、保险投保等工作。</w:t>
      </w:r>
    </w:p>
    <w:p w14:paraId="66FEA5E7">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建立并执行 “吹哨人” 及隐患内部报告制度，及时排查治理安全隐患，妥善处置事故事件。</w:t>
      </w:r>
    </w:p>
    <w:p w14:paraId="660C6ACB">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（三）安全责任划分</w:t>
      </w:r>
    </w:p>
    <w:p w14:paraId="4F3938B1">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1、发包人责任：</w:t>
      </w:r>
    </w:p>
    <w:p w14:paraId="6EEC838F">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履行安全规章制度告知、安全培训考核、作业现场监督检查等职责，对发现的隐患有权采取停工整改、扣除违约金、责令更换人员设备等措施。</w:t>
      </w:r>
    </w:p>
    <w:p w14:paraId="42B6EE14">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统筹协调承包商安全管理工作，每季度组织召开承包商安全管理会议，通报管理情况及问题；将承包商安全管理纳入本单位年度安全环保绩效考核体系。</w:t>
      </w:r>
    </w:p>
    <w:p w14:paraId="3309C534">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同一作业区域有两个或两个以上承包商作业时，组织签订安全生产管理协议，明确各自安全职责；指导与监督承包人 “吹哨人” 制度执行，将其纳入安全文化建设和考核范畴。</w:t>
      </w:r>
    </w:p>
    <w:p w14:paraId="18281C32">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2、承包人责任：</w:t>
      </w:r>
    </w:p>
    <w:p w14:paraId="31608305">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承担施工安全主体责任，建立安全生产管理机构，配备专（兼）职安全生产管理人员，健全安全生产责任制和管理制度；保障安全生产资金投入。</w:t>
      </w:r>
    </w:p>
    <w:p w14:paraId="178307BB">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负责从业人员的培训、管理、健康监护及保险投保，确保特种作业人员、特种设备作业人员 100% 持有效操作资格证上岗。</w:t>
      </w:r>
    </w:p>
    <w:p w14:paraId="2A99E35B">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发生事故事件后，现场负责人 30 分钟内报至发包人对口管理人员（特殊情况可越级上报），严禁迟报、漏报、谎报或瞒报；配合发包人在 1 小时内上报属地应急管理部门及主管部门，按 “四不放过” 原则调查处理并承担相应责任。</w:t>
      </w:r>
    </w:p>
    <w:p w14:paraId="5C77DFFA">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严格执行 “吹哨人” 及隐患内部报告制度，设立专项奖励，及时兑现奖励并建立台账，接受发包人监督。</w:t>
      </w:r>
    </w:p>
    <w:p w14:paraId="5BEBDC1C">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（四）安全管理规定</w:t>
      </w:r>
    </w:p>
    <w:p w14:paraId="3FFA57F8">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1、人员管理：</w:t>
      </w:r>
    </w:p>
    <w:p w14:paraId="177DDCB7">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承包人主要负责人、项目（现场）负责人、安全管理人员等关键岗位人员，需在入场前经发包人审核备案；任职期间确需调整的，应提前报请发包人批准，未经批准不得擅自变更。</w:t>
      </w:r>
    </w:p>
    <w:p w14:paraId="238ECA46">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控制人员流动率（月流动率 = 当月非因项目正常结束而离场的人员数量 ÷ 月初作业人员总数量 ×100%；月均作业人数超 50 人时≤15%，50 人及以下时≤20% 且绝对人数≤5 人），确保关键岗位及作业人员相对稳定。</w:t>
      </w:r>
    </w:p>
    <w:p w14:paraId="46835BF2">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从业人员应与承包人依法签订劳动合同，无职业禁忌，按规定参加职业健康体检；进入重大危险源区域的人员需提供无犯罪记录证明。</w:t>
      </w:r>
    </w:p>
    <w:p w14:paraId="45598AE2">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2、作业管理：</w:t>
      </w:r>
    </w:p>
    <w:p w14:paraId="448F1A58">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特殊作业及风险较高作业需配备具备监护能力的现场监护人员；高风险作业（特级、一级动火作业，涉及有毒有害、易燃易爆介质的受限空间作业，Ⅲ、Ⅳ 级高处作业，一级吊装作业等）执行 “双监护” 制度（发包企业和承包人各指派 1 名专人共同监护，必要时安排专职消防队监护），双方承担连带责任。</w:t>
      </w:r>
    </w:p>
    <w:p w14:paraId="7D1B2CE1">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特殊作业严格执行发包人特殊作业安全管理规定，办理作业许可审批及安全技术交底，全程监护；作业现场控制人数，特殊作业风险区域原则上不超过 6 人。</w:t>
      </w:r>
    </w:p>
    <w:p w14:paraId="02A8A7AA">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交叉作业需办理书面告知手续，签订安全生产管理协议；作业变更遵循 “风险分级、管控前置” 原则，重大变更需修订协议及方案并经发包人批准。</w:t>
      </w:r>
    </w:p>
    <w:p w14:paraId="229FB498">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3、现场管理：</w:t>
      </w:r>
    </w:p>
    <w:p w14:paraId="04C7EFB2">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按发包人核定的施工平面布置图设置临时设施，堆放材料、机具设备，不得侵占场内道路及安全防护设施；保持施工现场道路畅通、场容整洁，做到工完、料尽、场地清。</w:t>
      </w:r>
    </w:p>
    <w:p w14:paraId="4E512265">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建立施工现场消防安全责任制度，设置消防通道、水源及灭火器材，在现场入口处及危险部位设置明显安全警示标志；严格遵守厂区禁烟、治安保卫规定，按指定路线行走。</w:t>
      </w:r>
    </w:p>
    <w:p w14:paraId="64C015DD">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落实作业现场安全保卫及环保措施，控制粉尘、废气、废水、噪声等污染；按要求分类处置废弃物，危险废弃物需按指定方式存放处置。</w:t>
      </w:r>
    </w:p>
    <w:p w14:paraId="66023851">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4、设备与防护用品管理：</w:t>
      </w:r>
    </w:p>
    <w:p w14:paraId="4050C54C">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承包人拟进场的工机具及劳动防护用品需经发包人使用部门检验标识，提供检维修记录、检定证明等材料，不满足标准要求的不得进场。</w:t>
      </w:r>
    </w:p>
    <w:p w14:paraId="6A9E8309">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承包人为从业人员提供符合国家标准或行业标准的劳动防护用品，确保规范使用；定期对工机具进行维护保养，特种设备需具备合格检验标识且在检验周期内。</w:t>
      </w:r>
    </w:p>
    <w:p w14:paraId="4C0A5009">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（五）安全风险及安全措施要求</w:t>
      </w:r>
    </w:p>
    <w:p w14:paraId="262870CF">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1、发包人应向承包人明确作业区域的危险有害因素、重大危险源分布及防控要求；承包人需如实告知从业人员作业场所的危险有害因素、防范措施及事故应急措施。</w:t>
      </w:r>
    </w:p>
    <w:p w14:paraId="1C7525D7">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2、承包人需编制安全技术方案及专项安全施工方案（危险性较大项目需组织专家论证），报发包人或监理单位审批后实施；作业前组织风险辨识，工艺条件、作业环境变化时重新进行风险分析。</w:t>
      </w:r>
    </w:p>
    <w:p w14:paraId="58D22183">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3、针对高风险作业、特殊作业及重大危险源相关作业，制定专项安全措施，落实能量隔离、通风、检测、防护等要求；特级动火、受限空间作业实现视频监控全过程覆盖。</w:t>
      </w:r>
    </w:p>
    <w:p w14:paraId="22F3AE54">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4、发包人应对作业现场及作业环境的安全条件进行检查，确认风险管控措施全部落实到位后，方可允许承包人开工。</w:t>
      </w:r>
    </w:p>
    <w:p w14:paraId="7B9B67C0">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（六）安全教育培训</w:t>
      </w:r>
    </w:p>
    <w:p w14:paraId="37D4D2FB">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1、发包人培训：</w:t>
      </w:r>
    </w:p>
    <w:p w14:paraId="5EBFD91F">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对承包人人员进场前进行分级安全教育培训（长期合作人员实施三级培训，短期专项作业人员实施二级培训），由安全环保部门、使用部门及属地管理部门逐级实施（二级培训由安全环保部门及属地管理部门实施），培训内容包括企业安全规章制度、“吹哨人” 制度、作业风险及应急处置等。</w:t>
      </w:r>
    </w:p>
    <w:p w14:paraId="16F31BEF">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培训后组织考核，考核合格后方允许入场；建立培训档案，记录培训、考核情况，实行全程追溯管理。</w:t>
      </w:r>
    </w:p>
    <w:p w14:paraId="687F06A6">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2、承包人培训：</w:t>
      </w:r>
    </w:p>
    <w:p w14:paraId="67B1C0BF">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入场前自主开展安全培训，向发包人提供作业人员培训及考核合格的书面材料；发生人员、工艺、设备、方案或环境变更时，需对作业人员进行专项培训，考核合格后上岗并报发包人备案。</w:t>
      </w:r>
    </w:p>
    <w:p w14:paraId="2996188D">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主要负责人和安全生产管理人员（高危行业）必须 100% 取得安全生产知识和管理能力考核合格证；定期组织从业人员进行安全生产再培训及能力评价。</w:t>
      </w:r>
    </w:p>
    <w:p w14:paraId="2D28CCAF">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（七）应急处置</w:t>
      </w:r>
    </w:p>
    <w:p w14:paraId="6FB2BC34">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1、承包人应编制应急预案并定期组织应急演练，储备必要的应急物资，确保从业人员清楚应急处置流程和紧急联系方式。</w:t>
      </w:r>
    </w:p>
    <w:p w14:paraId="0D8427B0">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2、发生事故事件后，立即组织力量抢救伤员，防止事态扩大，保护事故现场并做好记录、拍照取证；人员伤亡事故立即送医救治或拨打 120 急救电话，情况紧急时可就近抢救，伤情平稳后转至工伤定点医院。</w:t>
      </w:r>
    </w:p>
    <w:p w14:paraId="2746078C">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3、发包人相关部门接到报告后立即赶赴现场协助处理，按规定开展事故调查；调查组包含双方安全管理人员、专业技术人员及工会代表（重伤以上）。</w:t>
      </w:r>
    </w:p>
    <w:p w14:paraId="7AA2FB0F">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4、事故调查处理权限：微伤事故由事故所在单位或发包人调查处理；轻微伤及以上事故由发包人组织调查处理；重伤 3 人以上及死亡事故按规定由政府部门或其授权单位调查处理。</w:t>
      </w:r>
    </w:p>
    <w:p w14:paraId="67CF4F26">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（八）终止施工特殊条款</w:t>
      </w:r>
    </w:p>
    <w:p w14:paraId="2ED2E6F6">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1、承包人存在下列情形之一的，发包人有权将承包人列为</w:t>
      </w:r>
      <w:r>
        <w:rPr>
          <w:rFonts w:hint="eastAsia" w:ascii="宋体" w:hAnsi="宋体" w:eastAsia="宋体" w:cs="宋体"/>
          <w:b/>
          <w:bCs/>
          <w:sz w:val="24"/>
          <w:szCs w:val="24"/>
        </w:rPr>
        <w:t>黑名单</w:t>
      </w:r>
      <w:r>
        <w:rPr>
          <w:rFonts w:hint="eastAsia" w:ascii="宋体" w:hAnsi="宋体" w:eastAsia="宋体" w:cs="宋体"/>
          <w:sz w:val="24"/>
          <w:szCs w:val="24"/>
        </w:rPr>
        <w:t>且有权立即终止施工并解除合同：</w:t>
      </w:r>
      <w:r>
        <w:rPr>
          <w:rFonts w:hint="eastAsia" w:ascii="宋体" w:hAnsi="宋体" w:eastAsia="宋体" w:cs="宋体"/>
          <w:b/>
          <w:bCs/>
          <w:sz w:val="24"/>
          <w:szCs w:val="24"/>
        </w:rPr>
        <w:t>（承包商被列入黑名单的管理期限原则上为三年，自云天化集团HSE 数字化系统终审公示之日起计算。）</w:t>
      </w:r>
    </w:p>
    <w:p w14:paraId="14451215">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（1）发现承包人作业人员违反发包人安全环保管理规定的，执行“三次提醒”机制（二次提醒：由责任部门与承包人管理层召开警示会议，约谈承包人管理层，限期</w:t>
      </w:r>
    </w:p>
    <w:p w14:paraId="3DB57F48">
      <w:pPr>
        <w:pStyle w:val="64"/>
        <w:spacing w:before="0" w:after="0" w:line="360" w:lineRule="auto"/>
        <w:rPr>
          <w:rFonts w:ascii="宋体" w:hAnsi="宋体" w:eastAsia="宋体" w:cs="宋体"/>
          <w:sz w:val="24"/>
          <w:szCs w:val="24"/>
        </w:rPr>
      </w:pPr>
      <w:r>
        <w:rPr>
          <w:rFonts w:hint="eastAsia" w:ascii="宋体" w:hAnsi="宋体" w:eastAsia="宋体" w:cs="宋体"/>
          <w:sz w:val="24"/>
          <w:szCs w:val="24"/>
        </w:rPr>
        <w:t>一个月内完成整改；三次提醒：列入黑名单，立即终止合同）</w:t>
      </w:r>
    </w:p>
    <w:p w14:paraId="247EEA0A">
      <w:pPr>
        <w:pStyle w:val="64"/>
        <w:numPr>
          <w:ilvl w:val="0"/>
          <w:numId w:val="9"/>
        </w:numPr>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连续两次安全绩效评价为 C 级（得分＜70 分）的；</w:t>
      </w:r>
    </w:p>
    <w:p w14:paraId="0B7DCAB7">
      <w:pPr>
        <w:pStyle w:val="64"/>
        <w:numPr>
          <w:ilvl w:val="0"/>
          <w:numId w:val="9"/>
        </w:numPr>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未进行入厂施工三级安全培训教育考试合格，直接安排到生产现场作业的。</w:t>
      </w:r>
    </w:p>
    <w:p w14:paraId="685BFF49">
      <w:pPr>
        <w:pStyle w:val="64"/>
        <w:numPr>
          <w:ilvl w:val="0"/>
          <w:numId w:val="9"/>
        </w:numPr>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重大事故隐患逾期未完成整改,又不能说明正当理由的。</w:t>
      </w:r>
    </w:p>
    <w:p w14:paraId="7A2778C0">
      <w:pPr>
        <w:pStyle w:val="64"/>
        <w:numPr>
          <w:ilvl w:val="0"/>
          <w:numId w:val="9"/>
        </w:numPr>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发生安全环保事故（事件），推诿，不积极处理的。</w:t>
      </w:r>
    </w:p>
    <w:p w14:paraId="0BA21390">
      <w:pPr>
        <w:pStyle w:val="64"/>
        <w:numPr>
          <w:ilvl w:val="0"/>
          <w:numId w:val="9"/>
        </w:numPr>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违反发包人及所属单位安全生产管理制度，发生死亡事故的。</w:t>
      </w:r>
    </w:p>
    <w:p w14:paraId="35B49702">
      <w:pPr>
        <w:pStyle w:val="64"/>
        <w:numPr>
          <w:ilvl w:val="0"/>
          <w:numId w:val="9"/>
        </w:numPr>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违反发包人及所属单位环境保护管理制度造成环境污染事件或火灾爆炸事故，给发包人造成严重影响或受到行政处罚的。</w:t>
      </w:r>
    </w:p>
    <w:p w14:paraId="576CB251">
      <w:pPr>
        <w:pStyle w:val="64"/>
        <w:numPr>
          <w:ilvl w:val="0"/>
          <w:numId w:val="9"/>
        </w:numPr>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承包商或分包商拖欠工人工资或拖欠机具费等情况的。</w:t>
      </w:r>
    </w:p>
    <w:p w14:paraId="1297BA1C">
      <w:pPr>
        <w:pStyle w:val="64"/>
        <w:numPr>
          <w:ilvl w:val="0"/>
          <w:numId w:val="9"/>
        </w:numPr>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发生5人及以上堵门岗或多次（大于1次）堵门岗事件的。</w:t>
      </w:r>
    </w:p>
    <w:p w14:paraId="207AA57D">
      <w:pPr>
        <w:pStyle w:val="64"/>
        <w:numPr>
          <w:ilvl w:val="0"/>
          <w:numId w:val="9"/>
        </w:numPr>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承包商、分包商产生纠纷，导致现场无法正常生产施工的。</w:t>
      </w:r>
    </w:p>
    <w:p w14:paraId="4B5C1128">
      <w:pPr>
        <w:pStyle w:val="64"/>
        <w:numPr>
          <w:ilvl w:val="0"/>
          <w:numId w:val="9"/>
        </w:numPr>
        <w:spacing w:before="0" w:after="0" w:line="360" w:lineRule="auto"/>
        <w:ind w:firstLine="480" w:firstLineChars="200"/>
        <w:rPr>
          <w:rFonts w:ascii="宋体" w:hAnsi="宋体" w:eastAsia="宋体" w:cs="宋体"/>
          <w:sz w:val="24"/>
          <w:szCs w:val="24"/>
          <w:highlight w:val="yellow"/>
        </w:rPr>
      </w:pPr>
      <w:r>
        <w:rPr>
          <w:rFonts w:hint="eastAsia" w:ascii="宋体" w:hAnsi="宋体" w:eastAsia="宋体" w:cs="宋体"/>
          <w:sz w:val="24"/>
          <w:szCs w:val="24"/>
        </w:rPr>
        <w:t>其他违反安全生产、环保管理规定等对发包人形象有恶劣影响的。</w:t>
      </w:r>
    </w:p>
    <w:p w14:paraId="43F141F6">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2、因终止施工造成的损失由承包人承担，发包人有权追究承包人的违约责任。</w:t>
      </w:r>
    </w:p>
    <w:p w14:paraId="30682BA2">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（九）考核及奖励规定</w:t>
      </w:r>
    </w:p>
    <w:p w14:paraId="40AA06C6">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1、发包人对承包人实行日常检查、专项检查、月度检查、季度考核、每半年综合评估与年度综合评价相结合的安全绩效评价机制，评价结果分为 A、B、C 三级（A 级：得分≥90 分；B 级：70 分≤得分＜90 分；C 级：得分＜70 分）。（详见附件3：承包商评价表）</w:t>
      </w:r>
    </w:p>
    <w:p w14:paraId="4C7CCB71">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2、评价内容包括资质与合规管理、安全培训与能力、作业过程安全控制、安全绩效与改进、综合管理与文化等，其中 “吹哨人” 制度执行效果为核心评价指标之一。</w:t>
      </w:r>
    </w:p>
    <w:p w14:paraId="29B3A9C3">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3、评价结果应用及分级管理：</w:t>
      </w:r>
    </w:p>
    <w:p w14:paraId="542E72C9">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作为续聘、业务范围调整、合同续签的重要依据；</w:t>
      </w:r>
    </w:p>
    <w:p w14:paraId="2CAEF1EA">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连续两次 B 级降为 C 级，连续两次 C 级纳入黑名单；</w:t>
      </w:r>
    </w:p>
    <w:p w14:paraId="4EB04625">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C 级承包人需提交整改申请，经发包人使用部门牵头，联合安全环保管理部门、属地部门共同审核批准后方可作业；</w:t>
      </w:r>
    </w:p>
    <w:p w14:paraId="3DC00403">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对安全绩效优秀的承包人，给予业务优先、履约激励、声誉宣传等奖励。</w:t>
      </w:r>
    </w:p>
    <w:p w14:paraId="5A3631E7">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4、承包人从业人员存在下列行为之一，经查实，应立即清除出厂并纳入</w:t>
      </w:r>
      <w:r>
        <w:rPr>
          <w:rFonts w:hint="eastAsia" w:ascii="宋体" w:hAnsi="宋体" w:eastAsia="宋体" w:cs="宋体"/>
          <w:b/>
          <w:bCs/>
          <w:sz w:val="24"/>
          <w:szCs w:val="24"/>
        </w:rPr>
        <w:t>个人黑名单（个人黑名单管理期限原则上为 1 至 3 年）</w:t>
      </w:r>
      <w:r>
        <w:rPr>
          <w:rFonts w:hint="eastAsia" w:ascii="宋体" w:hAnsi="宋体" w:eastAsia="宋体" w:cs="宋体"/>
          <w:sz w:val="24"/>
          <w:szCs w:val="24"/>
        </w:rPr>
        <w:t>：</w:t>
      </w:r>
    </w:p>
    <w:p w14:paraId="3B227C58">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（1）发生生产安全责任事故的直接责任者；</w:t>
      </w:r>
    </w:p>
    <w:p w14:paraId="32E98E95">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（2）伪造、变造、 冒用、转借相关资质证书、身份证明或入厂证件的；</w:t>
      </w:r>
    </w:p>
    <w:p w14:paraId="03907A27">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（3）在厂区内存在饮酒、吸毒、赌博、打架斗殴等严重违反劳动纪律行为；</w:t>
      </w:r>
    </w:p>
    <w:p w14:paraId="281F3DBC">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（4）无证、 冒名顶替或伪造审批手续从事特种作业、特种设备作业；</w:t>
      </w:r>
    </w:p>
    <w:p w14:paraId="384CD976">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（5）恶意隐瞒作业风险、破坏安全设施或拒不执行重大安全隐患停工指令；</w:t>
      </w:r>
    </w:p>
    <w:p w14:paraId="6358DC99">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（6）一年内因同类 “ 三违”行为被处罚达到 3 次，或连续两个季度安全绩效评价为不合格；</w:t>
      </w:r>
    </w:p>
    <w:p w14:paraId="4C882E04">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（7）因盗窃、故意破坏等行为被查实并造成企业财产损失；</w:t>
      </w:r>
    </w:p>
    <w:p w14:paraId="02A199D5">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（8）其他被认定为严重违反安全生产规章制度或可能对企业安全生产造成极端恶劣影响的行为；</w:t>
      </w:r>
    </w:p>
    <w:p w14:paraId="3B5CA26F">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（9）在施工区内随地大小便。</w:t>
      </w:r>
    </w:p>
    <w:p w14:paraId="3C6DECD1">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（10）违反</w:t>
      </w:r>
      <w:r>
        <w:rPr>
          <w:rFonts w:hint="eastAsia" w:ascii="宋体" w:hAnsi="宋体" w:eastAsia="宋体" w:cs="宋体"/>
          <w:b/>
          <w:bCs/>
          <w:sz w:val="24"/>
          <w:szCs w:val="24"/>
        </w:rPr>
        <w:t xml:space="preserve"> “安全生产十大禁令”（1、严禁谎报、瞒报事故。2、严禁携带火种进入易燃易爆区域。3、严禁高处作业不系安全带。4、严禁电气、焊接与热切割作业无证操作或未经许可作业。5、严禁在起重吊物上站人、吊物下行走或停留。6、严禁未经许可进入有限空间内作业。7、严禁无证驾驶机动车辆。8、严禁叉车门架下站人、用货叉或托盘带人作业。9、严禁未经批准解除安全联锁。10、严禁违章指挥，强令他人违章作业。）</w:t>
      </w:r>
    </w:p>
    <w:p w14:paraId="01A01AA8">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5、承包人违反本协议及发包人安全环保规章制度的，发包人可酌情给予暂停作业整改、更换管理人员或</w:t>
      </w:r>
      <w:r>
        <w:rPr>
          <w:rFonts w:hint="eastAsia" w:ascii="宋体" w:hAnsi="宋体" w:eastAsia="宋体" w:cs="宋体"/>
          <w:b/>
          <w:bCs/>
          <w:sz w:val="24"/>
          <w:szCs w:val="24"/>
        </w:rPr>
        <w:t>经济扣罚</w:t>
      </w:r>
      <w:r>
        <w:rPr>
          <w:rFonts w:hint="eastAsia" w:ascii="宋体" w:hAnsi="宋体" w:eastAsia="宋体" w:cs="宋体"/>
          <w:sz w:val="24"/>
          <w:szCs w:val="24"/>
        </w:rPr>
        <w:t>。</w:t>
      </w:r>
      <w:r>
        <w:rPr>
          <w:rFonts w:hint="eastAsia" w:ascii="宋体" w:hAnsi="宋体" w:eastAsia="宋体" w:cs="宋体"/>
          <w:color w:val="0000FF"/>
          <w:sz w:val="24"/>
          <w:szCs w:val="24"/>
        </w:rPr>
        <w:t>见附件1安全违约考核标准</w:t>
      </w:r>
    </w:p>
    <w:p w14:paraId="64D30AAB">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6、发包人处罚通报以电子文档形式发送至承包人指定邮箱即生效，因处罚影响工期的后果由承包人承担，工期不予延长。</w:t>
      </w:r>
    </w:p>
    <w:p w14:paraId="2702101E">
      <w:pPr>
        <w:pStyle w:val="4"/>
        <w:keepNext w:val="0"/>
        <w:keepLines w:val="0"/>
        <w:widowControl/>
        <w:spacing w:before="120"/>
        <w:ind w:firstLine="482" w:firstLineChars="200"/>
        <w:rPr>
          <w:rFonts w:ascii="宋体" w:hAnsi="宋体" w:cs="宋体"/>
          <w:sz w:val="24"/>
          <w:szCs w:val="24"/>
        </w:rPr>
      </w:pPr>
      <w:r>
        <w:rPr>
          <w:rFonts w:hint="eastAsia" w:ascii="宋体" w:hAnsi="宋体" w:cs="宋体"/>
          <w:sz w:val="24"/>
          <w:szCs w:val="24"/>
        </w:rPr>
        <w:t>7、安全奖励（具体奖励金额见附件 2）</w:t>
      </w:r>
    </w:p>
    <w:p w14:paraId="02F4BFE9">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（十）安全管理机构设置及人员配置要求</w:t>
      </w:r>
    </w:p>
    <w:p w14:paraId="49364ABE">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1、承包人应建立安全生产管理机构：高危行业或从业人数超过 100 人的，设置专门安全管理机构并配置专职安全管理人员；检维修、工程项目类承包人不论人员多少，必须配置专职安全管理人员（配置比例不低于从业人员的 2%）；其他承包人宜配置专职或兼职安全管理人员。</w:t>
      </w:r>
    </w:p>
    <w:p w14:paraId="3D36CE02">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2、承包人项目（现场）负责人应具备与所承揽业务相匹配的专业技术能力与安全管理经验，作业期间必须坚守现场履行职责，确需离开须指定符合资质要求的接替人员，并报发包人批准。</w:t>
      </w:r>
    </w:p>
    <w:p w14:paraId="754E8C00">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3、关键岗位人员需定期参加培训与履职能力评估，确保持续胜任岗位要求。</w:t>
      </w:r>
    </w:p>
    <w:p w14:paraId="4CC61CAD">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（十一）从业人员及工机具管理要求</w:t>
      </w:r>
    </w:p>
    <w:p w14:paraId="70D3E60E">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1、从业人员管理：</w:t>
      </w:r>
    </w:p>
    <w:p w14:paraId="03F52B63">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承包人确保从业人员满足国家及发包人规定的学历、技能与岗位能力要求，无从事作业所涉及的职业禁忌，行为能力满足安全作业和应急处置要求。</w:t>
      </w:r>
    </w:p>
    <w:p w14:paraId="59280080">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依法与从业人员签订劳动合同，明确隶属与权责；定期组织职业健康体检（岗前、岗中、离岗），建立职业健康监护档案，并如实向发包人业务管理部门报告检查结果。</w:t>
      </w:r>
    </w:p>
    <w:p w14:paraId="4EF168E6">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特种作业人员、特种设备作业人员必须 100% 持有效操作资格证上岗，严禁无证、冒名顶替或伪造审批手续从事相关作业。</w:t>
      </w:r>
    </w:p>
    <w:p w14:paraId="36BDA386">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2、工机具管理：</w:t>
      </w:r>
    </w:p>
    <w:p w14:paraId="042B054E">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承包人拟进场的工机具需经发包人使用部门检验、检查并标识，提供检维修记录、检定证明等材料，不满足相关标准要求的不得进场使用。</w:t>
      </w:r>
    </w:p>
    <w:p w14:paraId="7CE8D717">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工机具的使用、维护、保养需符合安全要求，严禁使用不合格或存在安全隐患的工机具；临时用电线路敷设规范，符合安全要求。</w:t>
      </w:r>
    </w:p>
    <w:p w14:paraId="1B32F96C">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（十二）安全管理的权利与义务</w:t>
      </w:r>
    </w:p>
    <w:p w14:paraId="700D4907">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1、发包人权利：</w:t>
      </w:r>
    </w:p>
    <w:p w14:paraId="222F84E1">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对承包人作业现场及人员、车辆进行安全环保检查，发现隐患、违章作业或事故时，有权采取停工整改、扣除违约金、责令更换人员设备等措施；</w:t>
      </w:r>
    </w:p>
    <w:p w14:paraId="4CCDF2A6">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对承包人安全绩效进行评价，依据评价结果调整业务合作范围，建立合格承包商名录及黑名单。</w:t>
      </w:r>
    </w:p>
    <w:p w14:paraId="460B4E49">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对承包人报告的隐患进行核实，按规定落实奖励；对承包人拒不执行 “吹哨人” 制度等违规行为，依据合同条款及相关管理制度进行处罚。</w:t>
      </w:r>
    </w:p>
    <w:p w14:paraId="109C16A6">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要求承包人提供人员名单、组织机构文件、管理制度、主要管理人员资质证书、近 3 年安全业绩证明、保险缴纳凭证等材料，进行审核备案。</w:t>
      </w:r>
    </w:p>
    <w:p w14:paraId="53C6AE28">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2、发包人义务：</w:t>
      </w:r>
    </w:p>
    <w:p w14:paraId="7BED18CC">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向承包人告知安全环保规章制度、应急处理程序及 “吹哨人” 制度等核心要求；提供施工、维保所需场地及必要的安全管理标准和工具。</w:t>
      </w:r>
    </w:p>
    <w:p w14:paraId="09D14379">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组织分级安全教育培训及考核，统筹协调承包商安全管理工作，及时处理承包人反馈的合理诉求，组织开展安全赋能与经验交流活动。</w:t>
      </w:r>
    </w:p>
    <w:p w14:paraId="2BE63015">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保障 “吹哨人” 奖励资金专项落实。</w:t>
      </w:r>
    </w:p>
    <w:p w14:paraId="564547F5">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3、承包人权利：</w:t>
      </w:r>
    </w:p>
    <w:p w14:paraId="160A10F8">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要求发包人提供必要的作业条件和安全保障信息；对发包人提出的不合理整改要求可提出异议并协商解决。</w:t>
      </w:r>
    </w:p>
    <w:p w14:paraId="132187ED">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按规定获得发包人提供的安全培训资源和技术支持；申请 “吹哨人” 专项奖励资金，对符合条件的隐患报告人予以奖励。</w:t>
      </w:r>
    </w:p>
    <w:p w14:paraId="2B6EE8D8">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4、承包人义务：</w:t>
      </w:r>
    </w:p>
    <w:p w14:paraId="7E8DC839">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严格遵守发包人安全环保规章制度及本协议约定，接受发包人及相关单位监督管理；及时整改安全隐患，如实上报事故事件，承担相应的安全责任。</w:t>
      </w:r>
    </w:p>
    <w:p w14:paraId="3453608E">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建立并执行 “吹哨人” 及隐患内部报告制度，设立专项奖励，保障从业人员合法权益；积极参与发包人组织的安全文化活动、应急演练及经验交流，推动安全文化融合。</w:t>
      </w:r>
    </w:p>
    <w:p w14:paraId="12032A52">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二、“吹哨人” 及隐患内部报告制度专项约定</w:t>
      </w:r>
    </w:p>
    <w:p w14:paraId="1D23DED2">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1、承包人必须建立并有效执行安全生产 “吹哨人” 及隐患内部报告制度，明确报告流程、受理部门、反馈时限及奖励标准，形成书面制度文件报发包人备案。</w:t>
      </w:r>
    </w:p>
    <w:p w14:paraId="08A8D85B">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2、承包人应设立 “吹哨人” 专项奖励额度，奖励标准不低于发包人规定的相关标准，奖励资金从安全生产费用或专项奖励基金中列支。</w:t>
      </w:r>
    </w:p>
    <w:p w14:paraId="0513B2BB">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3、承包人需依据发包人核实的隐患情况和评估意见，在收到发包人通知后 15 个工作日内对 “吹哨人”（隐患报告人）予以奖励，并将奖励发放情况（含报告人信息、隐患内容、核实结果、奖励金额及发放时间）报发包人安全环保管理部门备案。</w:t>
      </w:r>
    </w:p>
    <w:p w14:paraId="4578BD73">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4、承包人应建立 “吹哨人” 奖励台账，详细记录相关信息，接受发包人定期检查；发包人安全环保管理部门负责收集、审核《承包商安全生产 “吹哨人” 和隐患内部报告奖励统计表》并归档。见附件4</w:t>
      </w:r>
    </w:p>
    <w:p w14:paraId="1A444E79">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5、如承包人拒不建立 “吹哨人” 及隐患内部报告制度、未按规定设立专项奖励或未及时兑现奖励的，发包人有权依据合同条款及相关管理制度对承包人进行经济处罚，情节严重的纳入黑名单，直至终止合同。</w:t>
      </w:r>
    </w:p>
    <w:p w14:paraId="44114516">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6、发包人工会对 “吹哨人” 制度的执行情况实施监督与指导，每年会同安全环保管理部门组织对 “吹哨人” 报告事项进行评选与奖励，营造全员参与、主动排查隐患的安全文化氛围。</w:t>
      </w:r>
    </w:p>
    <w:p w14:paraId="6D402BF5">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三、“五个一” 一体化管理专项约定</w:t>
      </w:r>
    </w:p>
    <w:p w14:paraId="322C9123">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1、一套标准：承包人必须严格遵守发包人统一的安全管理标准、技术标准与操作标准，将发包人安全规章制度融入自身管理体系，实现安全管理同质化。</w:t>
      </w:r>
    </w:p>
    <w:p w14:paraId="2F5F9294">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2、一套考核：承包人接受发包人统一的安全绩效评价体系，评价结果与其业务承揽范围、合同续签、评优评先直接挂钩，形成 “安全表现决定市场机会” 的导向。</w:t>
      </w:r>
    </w:p>
    <w:p w14:paraId="179B1836">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3、一体运作：承包人关键岗位人员需参加发包人的安全生产例会、班前会和安全活动，遵循发包人管理流程；双方建立安全信息双向通报机制，实现风险共知、信息互通。</w:t>
      </w:r>
    </w:p>
    <w:p w14:paraId="4B2DF147">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4、一个团队：承包人现场负责人深度参与发包人安全例会、联合检查等活动，被纳入发包人现场管理团队，形成目标一致、行动协同的管理合力。</w:t>
      </w:r>
    </w:p>
    <w:p w14:paraId="26B6A42A">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5、一种文化：承包人积极参与发包人组织的安全月、应急演练、安全知识竞赛等活动，认同并践行发包人 “生命至上、安全第一” 的核心安全价值观，共同营造 “彼此尊重、相互监督、责任共担、安全共赢” 的安全文化氛围。</w:t>
      </w:r>
    </w:p>
    <w:p w14:paraId="3B4019BE">
      <w:pPr>
        <w:pStyle w:val="3"/>
        <w:keepNext w:val="0"/>
        <w:keepLines w:val="0"/>
        <w:widowControl/>
        <w:spacing w:before="0" w:after="0" w:line="360" w:lineRule="auto"/>
        <w:ind w:firstLine="562" w:firstLineChars="200"/>
        <w:rPr>
          <w:rFonts w:ascii="宋体" w:hAnsi="宋体" w:eastAsia="宋体" w:cs="宋体"/>
          <w:sz w:val="28"/>
          <w:szCs w:val="28"/>
        </w:rPr>
      </w:pPr>
      <w:r>
        <w:rPr>
          <w:rFonts w:hint="eastAsia" w:ascii="宋体" w:hAnsi="宋体" w:eastAsia="宋体" w:cs="宋体"/>
          <w:sz w:val="28"/>
          <w:szCs w:val="28"/>
        </w:rPr>
        <w:t>四、其他约定</w:t>
      </w:r>
    </w:p>
    <w:p w14:paraId="762B659E">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1、本协议未尽事宜由双方协商补充解决，协商不成的按所签合同争议条款处理。</w:t>
      </w:r>
    </w:p>
    <w:p w14:paraId="5FA7CB0C">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2、本协议内容与国家有关规定相抵触的，按国家规定执行。</w:t>
      </w:r>
    </w:p>
    <w:p w14:paraId="30E996ED">
      <w:pPr>
        <w:pStyle w:val="64"/>
        <w:spacing w:before="0"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3、本协议一式两份，甲乙双方各执一份，签字盖章后生效，有效期与合同有效期一致。</w:t>
      </w:r>
    </w:p>
    <w:p w14:paraId="7E566AA6">
      <w:pPr>
        <w:pStyle w:val="64"/>
        <w:spacing w:before="0" w:after="0" w:line="360" w:lineRule="auto"/>
        <w:rPr>
          <w:rFonts w:ascii="宋体" w:hAnsi="宋体" w:eastAsia="宋体" w:cs="宋体"/>
          <w:sz w:val="24"/>
          <w:szCs w:val="24"/>
        </w:rPr>
      </w:pPr>
    </w:p>
    <w:p w14:paraId="1E3F2F93">
      <w:pPr>
        <w:pStyle w:val="64"/>
        <w:spacing w:before="0" w:after="0" w:line="360" w:lineRule="auto"/>
        <w:ind w:firstLine="480" w:firstLineChars="200"/>
        <w:rPr>
          <w:rFonts w:ascii="宋体" w:hAnsi="宋体" w:eastAsia="宋体" w:cs="宋体"/>
          <w:sz w:val="24"/>
          <w:szCs w:val="24"/>
        </w:rPr>
      </w:pPr>
    </w:p>
    <w:p w14:paraId="310DFBC9">
      <w:pPr>
        <w:pStyle w:val="64"/>
        <w:spacing w:before="0" w:after="0" w:line="360" w:lineRule="auto"/>
        <w:rPr>
          <w:rFonts w:ascii="宋体" w:hAnsi="宋体" w:eastAsia="宋体" w:cs="宋体"/>
          <w:sz w:val="24"/>
          <w:szCs w:val="24"/>
        </w:rPr>
      </w:pPr>
      <w:r>
        <w:rPr>
          <w:rFonts w:hint="eastAsia" w:ascii="宋体" w:hAnsi="宋体" w:eastAsia="宋体" w:cs="宋体"/>
          <w:sz w:val="24"/>
          <w:szCs w:val="24"/>
        </w:rPr>
        <w:t>发包人：重庆天泽新材料有限公司</w:t>
      </w:r>
    </w:p>
    <w:p w14:paraId="7B7759A7">
      <w:pPr>
        <w:pStyle w:val="64"/>
        <w:spacing w:before="0" w:after="0" w:line="360" w:lineRule="auto"/>
        <w:rPr>
          <w:rFonts w:ascii="宋体" w:hAnsi="宋体" w:eastAsia="宋体" w:cs="宋体"/>
          <w:sz w:val="24"/>
          <w:szCs w:val="24"/>
        </w:rPr>
      </w:pPr>
    </w:p>
    <w:p w14:paraId="3E41A1CC">
      <w:pPr>
        <w:pStyle w:val="64"/>
        <w:spacing w:before="0" w:after="0" w:line="360" w:lineRule="auto"/>
        <w:rPr>
          <w:rFonts w:ascii="宋体" w:hAnsi="宋体" w:eastAsia="宋体" w:cs="宋体"/>
          <w:sz w:val="24"/>
          <w:szCs w:val="24"/>
        </w:rPr>
      </w:pPr>
      <w:r>
        <w:rPr>
          <w:rFonts w:hint="eastAsia" w:ascii="宋体" w:hAnsi="宋体" w:eastAsia="宋体" w:cs="宋体"/>
          <w:sz w:val="24"/>
          <w:szCs w:val="24"/>
        </w:rPr>
        <w:t xml:space="preserve">法定代表人 </w:t>
      </w:r>
    </w:p>
    <w:p w14:paraId="7B61DF40">
      <w:pPr>
        <w:pStyle w:val="64"/>
        <w:spacing w:before="0" w:after="0" w:line="360" w:lineRule="auto"/>
        <w:rPr>
          <w:rFonts w:ascii="宋体" w:hAnsi="宋体" w:eastAsia="宋体" w:cs="宋体"/>
          <w:sz w:val="24"/>
          <w:szCs w:val="24"/>
        </w:rPr>
      </w:pPr>
      <w:r>
        <w:rPr>
          <w:rFonts w:hint="eastAsia" w:ascii="宋体" w:hAnsi="宋体" w:eastAsia="宋体" w:cs="宋体"/>
          <w:sz w:val="24"/>
          <w:szCs w:val="24"/>
        </w:rPr>
        <w:t>或其授权的代理人：</w:t>
      </w:r>
    </w:p>
    <w:p w14:paraId="613F19DD">
      <w:pPr>
        <w:pStyle w:val="64"/>
        <w:spacing w:before="0" w:after="0" w:line="360" w:lineRule="auto"/>
        <w:rPr>
          <w:rFonts w:ascii="宋体" w:hAnsi="宋体" w:eastAsia="宋体" w:cs="宋体"/>
          <w:sz w:val="24"/>
          <w:szCs w:val="24"/>
        </w:rPr>
      </w:pPr>
    </w:p>
    <w:p w14:paraId="12DA72B2">
      <w:pPr>
        <w:pStyle w:val="64"/>
        <w:spacing w:before="0" w:after="0" w:line="360" w:lineRule="auto"/>
        <w:rPr>
          <w:rFonts w:ascii="宋体" w:hAnsi="宋体" w:eastAsia="宋体" w:cs="宋体"/>
          <w:sz w:val="24"/>
          <w:szCs w:val="24"/>
        </w:rPr>
      </w:pPr>
      <w:r>
        <w:rPr>
          <w:rFonts w:hint="eastAsia" w:ascii="宋体" w:hAnsi="宋体" w:eastAsia="宋体" w:cs="宋体"/>
          <w:sz w:val="24"/>
          <w:szCs w:val="24"/>
        </w:rPr>
        <w:t>承包人：</w:t>
      </w:r>
    </w:p>
    <w:p w14:paraId="2EFFA653">
      <w:pPr>
        <w:pStyle w:val="64"/>
        <w:spacing w:before="0" w:after="0" w:line="360" w:lineRule="auto"/>
        <w:rPr>
          <w:rFonts w:ascii="宋体" w:hAnsi="宋体" w:eastAsia="宋体" w:cs="宋体"/>
          <w:sz w:val="24"/>
          <w:szCs w:val="24"/>
        </w:rPr>
      </w:pPr>
    </w:p>
    <w:p w14:paraId="2CB46511">
      <w:pPr>
        <w:pStyle w:val="64"/>
        <w:spacing w:before="0" w:after="0" w:line="360" w:lineRule="auto"/>
        <w:rPr>
          <w:rFonts w:ascii="宋体" w:hAnsi="宋体" w:eastAsia="宋体" w:cs="宋体"/>
          <w:sz w:val="24"/>
          <w:szCs w:val="24"/>
        </w:rPr>
      </w:pPr>
      <w:r>
        <w:rPr>
          <w:rFonts w:hint="eastAsia" w:ascii="宋体" w:hAnsi="宋体" w:eastAsia="宋体" w:cs="宋体"/>
          <w:sz w:val="24"/>
          <w:szCs w:val="24"/>
        </w:rPr>
        <w:t xml:space="preserve">法定代表人 </w:t>
      </w:r>
    </w:p>
    <w:p w14:paraId="4011EA8F">
      <w:pPr>
        <w:spacing w:line="480" w:lineRule="exact"/>
        <w:rPr>
          <w:rFonts w:ascii="宋体" w:hAnsi="宋体" w:cs="宋体"/>
          <w:sz w:val="24"/>
        </w:rPr>
      </w:pPr>
      <w:r>
        <w:rPr>
          <w:rFonts w:hint="eastAsia" w:ascii="宋体" w:hAnsi="宋体" w:cs="宋体"/>
          <w:sz w:val="24"/>
        </w:rPr>
        <w:t>或其授权的代理人：</w:t>
      </w:r>
    </w:p>
    <w:p w14:paraId="50C6BD34">
      <w:pPr>
        <w:spacing w:line="480" w:lineRule="exact"/>
        <w:rPr>
          <w:rFonts w:ascii="宋体" w:hAnsi="宋体" w:cs="宋体"/>
          <w:sz w:val="24"/>
        </w:rPr>
      </w:pPr>
    </w:p>
    <w:p w14:paraId="058D17B1">
      <w:pPr>
        <w:spacing w:line="480" w:lineRule="exact"/>
        <w:rPr>
          <w:rFonts w:ascii="宋体" w:hAnsi="宋体" w:cs="宋体"/>
          <w:sz w:val="24"/>
        </w:rPr>
      </w:pPr>
    </w:p>
    <w:p w14:paraId="6776A255">
      <w:pPr>
        <w:spacing w:line="480" w:lineRule="exact"/>
        <w:rPr>
          <w:rFonts w:ascii="宋体" w:hAnsi="宋体" w:cs="宋体"/>
          <w:sz w:val="24"/>
        </w:rPr>
      </w:pPr>
    </w:p>
    <w:p w14:paraId="5FB02956">
      <w:pPr>
        <w:spacing w:line="480" w:lineRule="exact"/>
        <w:rPr>
          <w:rFonts w:ascii="宋体" w:hAnsi="宋体" w:cs="宋体"/>
          <w:sz w:val="24"/>
        </w:rPr>
      </w:pPr>
    </w:p>
    <w:p w14:paraId="33B3215F">
      <w:pPr>
        <w:spacing w:line="480" w:lineRule="exact"/>
        <w:rPr>
          <w:rFonts w:ascii="宋体" w:hAnsi="宋体" w:cs="宋体"/>
          <w:sz w:val="24"/>
        </w:rPr>
      </w:pPr>
    </w:p>
    <w:p w14:paraId="7C625ABB">
      <w:pPr>
        <w:spacing w:line="480" w:lineRule="exact"/>
        <w:rPr>
          <w:rFonts w:ascii="宋体" w:hAnsi="宋体" w:cs="宋体"/>
          <w:sz w:val="24"/>
        </w:rPr>
      </w:pPr>
    </w:p>
    <w:p w14:paraId="3B546905">
      <w:pPr>
        <w:spacing w:line="480" w:lineRule="exact"/>
        <w:rPr>
          <w:rFonts w:ascii="宋体" w:hAnsi="宋体" w:cs="宋体"/>
          <w:sz w:val="24"/>
        </w:rPr>
      </w:pPr>
    </w:p>
    <w:p w14:paraId="321A6B07">
      <w:pPr>
        <w:spacing w:line="480" w:lineRule="exact"/>
        <w:rPr>
          <w:rFonts w:ascii="宋体" w:hAnsi="宋体" w:cs="宋体"/>
          <w:sz w:val="24"/>
        </w:rPr>
      </w:pPr>
    </w:p>
    <w:p w14:paraId="03D99879">
      <w:pPr>
        <w:spacing w:line="480" w:lineRule="exact"/>
        <w:ind w:left="-50" w:firstLine="643" w:firstLineChars="200"/>
        <w:jc w:val="center"/>
        <w:rPr>
          <w:b/>
          <w:sz w:val="32"/>
          <w:szCs w:val="32"/>
        </w:rPr>
      </w:pPr>
      <w:r>
        <w:rPr>
          <w:rFonts w:hint="eastAsia"/>
          <w:b/>
          <w:sz w:val="32"/>
          <w:szCs w:val="32"/>
        </w:rPr>
        <w:t>授权委托书</w:t>
      </w:r>
    </w:p>
    <w:p w14:paraId="684BFCCB">
      <w:pPr>
        <w:spacing w:line="480" w:lineRule="exact"/>
        <w:ind w:left="-50" w:firstLine="720" w:firstLineChars="300"/>
        <w:rPr>
          <w:sz w:val="24"/>
        </w:rPr>
      </w:pPr>
      <w:r>
        <w:rPr>
          <w:rFonts w:hint="eastAsia"/>
          <w:sz w:val="24"/>
        </w:rPr>
        <w:t>本人</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r>
        <w:rPr>
          <w:rFonts w:hint="eastAsia"/>
          <w:sz w:val="24"/>
          <w:u w:val="single"/>
        </w:rPr>
        <w:t xml:space="preserve"> </w:t>
      </w:r>
      <w:r>
        <w:rPr>
          <w:rFonts w:hint="eastAsia"/>
          <w:sz w:val="24"/>
        </w:rPr>
        <w:t>，系</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r>
        <w:rPr>
          <w:rFonts w:hint="eastAsia"/>
          <w:sz w:val="24"/>
        </w:rPr>
        <w:t>公司法定代表人，现委托</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r>
        <w:rPr>
          <w:rFonts w:hint="eastAsia"/>
          <w:sz w:val="24"/>
        </w:rPr>
        <w:t>，（身份证号</w:t>
      </w:r>
      <w:r>
        <w:rPr>
          <w:rFonts w:hint="eastAsia"/>
          <w:sz w:val="24"/>
          <w:u w:val="single"/>
        </w:rPr>
        <w:t>：</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r>
        <w:rPr>
          <w:rFonts w:hint="eastAsia"/>
          <w:sz w:val="24"/>
        </w:rPr>
        <w:t>）为我方代理人，以我方名义处理与重庆天泽新材料有限公司的工程维保合同及相关协议书的签署、递交、说明、修改事宜，遵从工程合同及相关协议书规定的有关义务和处理方式，其法律后果由我方承担。</w:t>
      </w:r>
    </w:p>
    <w:p w14:paraId="142417AD">
      <w:pPr>
        <w:spacing w:line="480" w:lineRule="exact"/>
        <w:ind w:left="-50" w:firstLine="720" w:firstLineChars="300"/>
        <w:rPr>
          <w:sz w:val="24"/>
        </w:rPr>
      </w:pPr>
      <w:r>
        <w:rPr>
          <w:rFonts w:hint="eastAsia"/>
          <w:sz w:val="24"/>
        </w:rPr>
        <w:t xml:space="preserve">                            </w:t>
      </w:r>
    </w:p>
    <w:p w14:paraId="6BBDFF48">
      <w:pPr>
        <w:spacing w:line="480" w:lineRule="exact"/>
        <w:ind w:left="-50" w:firstLine="4080" w:firstLineChars="1700"/>
        <w:rPr>
          <w:sz w:val="24"/>
        </w:rPr>
      </w:pPr>
      <w:r>
        <w:rPr>
          <w:rFonts w:hint="eastAsia"/>
          <w:sz w:val="24"/>
        </w:rPr>
        <w:t xml:space="preserve">  </w:t>
      </w:r>
    </w:p>
    <w:p w14:paraId="7B9BD0D8">
      <w:pPr>
        <w:spacing w:line="480" w:lineRule="exact"/>
        <w:ind w:left="-50" w:firstLine="4080" w:firstLineChars="1700"/>
        <w:rPr>
          <w:sz w:val="24"/>
        </w:rPr>
      </w:pPr>
    </w:p>
    <w:p w14:paraId="60347D99">
      <w:pPr>
        <w:spacing w:line="480" w:lineRule="exact"/>
        <w:ind w:left="-50" w:firstLine="4320" w:firstLineChars="1800"/>
        <w:rPr>
          <w:sz w:val="24"/>
          <w:u w:val="single"/>
        </w:rPr>
      </w:pPr>
      <w:r>
        <w:rPr>
          <w:rFonts w:hint="eastAsia"/>
          <w:sz w:val="24"/>
        </w:rPr>
        <w:t>委托单位：</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p>
    <w:p w14:paraId="2D686A2D">
      <w:pPr>
        <w:spacing w:line="480" w:lineRule="exact"/>
        <w:ind w:left="-50" w:firstLine="720" w:firstLineChars="300"/>
        <w:rPr>
          <w:sz w:val="24"/>
        </w:rPr>
      </w:pPr>
      <w:r>
        <w:rPr>
          <w:sz w:val="24"/>
        </w:rPr>
        <w:t xml:space="preserve">                               </w:t>
      </w:r>
    </w:p>
    <w:p w14:paraId="6B5C7783">
      <w:pPr>
        <w:spacing w:line="480" w:lineRule="exact"/>
        <w:ind w:left="-50" w:firstLine="4320" w:firstLineChars="1800"/>
        <w:rPr>
          <w:sz w:val="24"/>
          <w:u w:val="single"/>
        </w:rPr>
      </w:pPr>
      <w:r>
        <w:rPr>
          <w:rFonts w:hint="eastAsia"/>
          <w:sz w:val="24"/>
        </w:rPr>
        <w:t>法定代表人（签章）：</w:t>
      </w:r>
      <w:r>
        <w:rPr>
          <w:rFonts w:hint="eastAsia"/>
          <w:sz w:val="24"/>
          <w:u w:val="single"/>
        </w:rPr>
        <w:t xml:space="preserve">                         </w:t>
      </w:r>
    </w:p>
    <w:p w14:paraId="79D38065">
      <w:pPr>
        <w:spacing w:line="480" w:lineRule="exact"/>
        <w:ind w:left="-50" w:firstLine="480" w:firstLineChars="200"/>
        <w:rPr>
          <w:sz w:val="24"/>
        </w:rPr>
      </w:pPr>
      <w:r>
        <w:rPr>
          <w:rFonts w:hint="eastAsia"/>
          <w:sz w:val="24"/>
        </w:rPr>
        <w:t xml:space="preserve">                                </w:t>
      </w:r>
    </w:p>
    <w:p w14:paraId="12FF3E12">
      <w:pPr>
        <w:spacing w:line="480" w:lineRule="exact"/>
        <w:ind w:left="-50" w:firstLine="4320" w:firstLineChars="1800"/>
        <w:rPr>
          <w:sz w:val="24"/>
          <w:u w:val="single"/>
        </w:rPr>
      </w:pPr>
      <w:r>
        <w:rPr>
          <w:rFonts w:hint="eastAsia"/>
          <w:sz w:val="24"/>
        </w:rPr>
        <w:t>身份证号码：</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r>
        <w:rPr>
          <w:rFonts w:hint="eastAsia"/>
          <w:sz w:val="24"/>
          <w:u w:val="single"/>
        </w:rPr>
        <w:t xml:space="preserve"> </w:t>
      </w:r>
    </w:p>
    <w:p w14:paraId="6C7D2066">
      <w:pPr>
        <w:spacing w:line="480" w:lineRule="exact"/>
        <w:ind w:left="-50" w:firstLine="480" w:firstLineChars="200"/>
        <w:rPr>
          <w:sz w:val="24"/>
        </w:rPr>
      </w:pPr>
      <w:r>
        <w:rPr>
          <w:sz w:val="24"/>
        </w:rPr>
        <w:t xml:space="preserve">                                </w:t>
      </w:r>
    </w:p>
    <w:p w14:paraId="0CD9FAE5">
      <w:pPr>
        <w:spacing w:line="480" w:lineRule="exact"/>
        <w:ind w:left="-50" w:firstLine="4320" w:firstLineChars="1800"/>
        <w:rPr>
          <w:sz w:val="24"/>
          <w:u w:val="single"/>
        </w:rPr>
      </w:pPr>
      <w:r>
        <w:rPr>
          <w:rFonts w:hint="eastAsia"/>
          <w:sz w:val="24"/>
        </w:rPr>
        <w:t>委托代理人：</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14:paraId="70484CC0">
      <w:pPr>
        <w:spacing w:line="480" w:lineRule="exact"/>
        <w:ind w:left="-50" w:firstLine="480" w:firstLineChars="200"/>
        <w:rPr>
          <w:sz w:val="24"/>
        </w:rPr>
      </w:pPr>
      <w:r>
        <w:rPr>
          <w:rFonts w:hint="eastAsia"/>
          <w:sz w:val="24"/>
        </w:rPr>
        <w:t xml:space="preserve">                                </w:t>
      </w:r>
      <w:r>
        <w:rPr>
          <w:sz w:val="24"/>
        </w:rPr>
        <w:t xml:space="preserve"> </w:t>
      </w:r>
    </w:p>
    <w:p w14:paraId="721C3F2C">
      <w:pPr>
        <w:spacing w:line="480" w:lineRule="exact"/>
        <w:ind w:left="-50" w:firstLine="4320" w:firstLineChars="1800"/>
        <w:rPr>
          <w:sz w:val="24"/>
          <w:u w:val="single"/>
        </w:rPr>
      </w:pPr>
      <w:r>
        <w:rPr>
          <w:rFonts w:hint="eastAsia"/>
          <w:sz w:val="24"/>
        </w:rPr>
        <w:t>身份证号：</w:t>
      </w:r>
      <w:r>
        <w:rPr>
          <w:rFonts w:hint="eastAsia" w:eastAsia="仿宋_GB2312"/>
          <w:color w:val="000000"/>
          <w:sz w:val="30"/>
          <w:szCs w:val="30"/>
          <w:highlight w:val="yellow"/>
          <w:u w:val="single"/>
        </w:rPr>
        <w:t xml:space="preserve"> </w:t>
      </w:r>
      <w:r>
        <w:rPr>
          <w:rFonts w:eastAsia="仿宋_GB2312"/>
          <w:color w:val="000000"/>
          <w:sz w:val="30"/>
          <w:szCs w:val="30"/>
          <w:highlight w:val="yellow"/>
          <w:u w:val="single"/>
        </w:rPr>
        <w:t xml:space="preserve">                           </w:t>
      </w:r>
    </w:p>
    <w:p w14:paraId="62F17744">
      <w:pPr>
        <w:autoSpaceDE w:val="0"/>
        <w:autoSpaceDN w:val="0"/>
        <w:adjustRightInd w:val="0"/>
        <w:spacing w:line="233" w:lineRule="exact"/>
        <w:rPr>
          <w:sz w:val="22"/>
        </w:rPr>
      </w:pPr>
      <w:r>
        <w:rPr>
          <w:rFonts w:hint="eastAsia"/>
          <w:sz w:val="22"/>
        </w:rPr>
        <w:t xml:space="preserve">                                      </w:t>
      </w:r>
      <w:r>
        <w:rPr>
          <w:sz w:val="22"/>
        </w:rPr>
        <w:t xml:space="preserve">           </w:t>
      </w:r>
    </w:p>
    <w:p w14:paraId="3374327D">
      <w:pPr>
        <w:autoSpaceDE w:val="0"/>
        <w:autoSpaceDN w:val="0"/>
        <w:adjustRightInd w:val="0"/>
        <w:spacing w:line="233" w:lineRule="exact"/>
        <w:rPr>
          <w:sz w:val="22"/>
        </w:rPr>
      </w:pPr>
    </w:p>
    <w:p w14:paraId="67CD7F54">
      <w:pPr>
        <w:spacing w:line="480" w:lineRule="exact"/>
        <w:ind w:left="-50" w:firstLine="480" w:firstLineChars="200"/>
        <w:rPr>
          <w:sz w:val="24"/>
        </w:rPr>
      </w:pPr>
    </w:p>
    <w:p w14:paraId="15EF9467">
      <w:pPr>
        <w:spacing w:line="480" w:lineRule="exact"/>
        <w:ind w:left="-50" w:firstLine="480" w:firstLineChars="200"/>
        <w:rPr>
          <w:sz w:val="24"/>
        </w:rPr>
      </w:pPr>
      <w:r>
        <w:rPr>
          <w:sz w:val="24"/>
        </w:rPr>
        <w:t xml:space="preserve">                                                      </w:t>
      </w:r>
      <w:r>
        <w:rPr>
          <w:rFonts w:hint="eastAsia"/>
          <w:sz w:val="24"/>
        </w:rPr>
        <w:t xml:space="preserve">年 </w:t>
      </w:r>
      <w:r>
        <w:rPr>
          <w:sz w:val="24"/>
        </w:rPr>
        <w:t xml:space="preserve">  </w:t>
      </w:r>
      <w:r>
        <w:rPr>
          <w:rFonts w:hint="eastAsia"/>
          <w:sz w:val="24"/>
        </w:rPr>
        <w:t xml:space="preserve"> 月 </w:t>
      </w:r>
      <w:r>
        <w:rPr>
          <w:sz w:val="24"/>
        </w:rPr>
        <w:t xml:space="preserve">  </w:t>
      </w:r>
      <w:r>
        <w:rPr>
          <w:rFonts w:hint="eastAsia"/>
          <w:sz w:val="24"/>
        </w:rPr>
        <w:t xml:space="preserve"> 日</w:t>
      </w:r>
    </w:p>
    <w:p w14:paraId="171D340E">
      <w:pPr>
        <w:autoSpaceDE w:val="0"/>
        <w:autoSpaceDN w:val="0"/>
        <w:adjustRightInd w:val="0"/>
        <w:spacing w:line="233" w:lineRule="exact"/>
        <w:rPr>
          <w:sz w:val="22"/>
        </w:rPr>
      </w:pPr>
    </w:p>
    <w:p w14:paraId="58CB7095">
      <w:pPr>
        <w:autoSpaceDE w:val="0"/>
        <w:autoSpaceDN w:val="0"/>
        <w:adjustRightInd w:val="0"/>
        <w:spacing w:line="233" w:lineRule="exact"/>
        <w:rPr>
          <w:sz w:val="22"/>
        </w:rPr>
      </w:pPr>
    </w:p>
    <w:p w14:paraId="2F2D5397">
      <w:pPr>
        <w:autoSpaceDE w:val="0"/>
        <w:autoSpaceDN w:val="0"/>
        <w:adjustRightInd w:val="0"/>
        <w:spacing w:line="233" w:lineRule="exact"/>
        <w:rPr>
          <w:sz w:val="22"/>
        </w:rPr>
      </w:pPr>
    </w:p>
    <w:p w14:paraId="035E37EE">
      <w:pPr>
        <w:autoSpaceDE w:val="0"/>
        <w:autoSpaceDN w:val="0"/>
        <w:adjustRightInd w:val="0"/>
        <w:spacing w:line="233" w:lineRule="exact"/>
        <w:rPr>
          <w:sz w:val="22"/>
        </w:rPr>
      </w:pPr>
    </w:p>
    <w:p w14:paraId="6495BD4F">
      <w:pPr>
        <w:autoSpaceDE w:val="0"/>
        <w:autoSpaceDN w:val="0"/>
        <w:adjustRightInd w:val="0"/>
        <w:spacing w:line="233" w:lineRule="exact"/>
        <w:rPr>
          <w:sz w:val="22"/>
        </w:rPr>
      </w:pPr>
    </w:p>
    <w:p w14:paraId="751A5329">
      <w:pPr>
        <w:autoSpaceDE w:val="0"/>
        <w:autoSpaceDN w:val="0"/>
        <w:adjustRightInd w:val="0"/>
        <w:spacing w:line="233" w:lineRule="exact"/>
        <w:rPr>
          <w:sz w:val="22"/>
        </w:rPr>
      </w:pPr>
    </w:p>
    <w:p w14:paraId="75B15D96">
      <w:pPr>
        <w:autoSpaceDE w:val="0"/>
        <w:autoSpaceDN w:val="0"/>
        <w:adjustRightInd w:val="0"/>
        <w:spacing w:line="233" w:lineRule="exact"/>
        <w:rPr>
          <w:sz w:val="22"/>
        </w:rPr>
      </w:pPr>
    </w:p>
    <w:p w14:paraId="5D973C74">
      <w:pPr>
        <w:autoSpaceDE w:val="0"/>
        <w:autoSpaceDN w:val="0"/>
        <w:adjustRightInd w:val="0"/>
        <w:spacing w:line="233" w:lineRule="exact"/>
        <w:rPr>
          <w:sz w:val="22"/>
        </w:rPr>
      </w:pPr>
    </w:p>
    <w:p w14:paraId="3A09A9BB">
      <w:pPr>
        <w:autoSpaceDE w:val="0"/>
        <w:autoSpaceDN w:val="0"/>
        <w:adjustRightInd w:val="0"/>
        <w:spacing w:line="233" w:lineRule="exact"/>
        <w:rPr>
          <w:sz w:val="22"/>
        </w:rPr>
      </w:pPr>
    </w:p>
    <w:p w14:paraId="2031E882">
      <w:pPr>
        <w:autoSpaceDE w:val="0"/>
        <w:autoSpaceDN w:val="0"/>
        <w:adjustRightInd w:val="0"/>
        <w:spacing w:line="233" w:lineRule="exact"/>
        <w:rPr>
          <w:sz w:val="22"/>
        </w:rPr>
      </w:pPr>
      <w:r>
        <w:rPr>
          <w:sz w:val="22"/>
        </w:rPr>
        <w:br w:type="page"/>
      </w:r>
    </w:p>
    <w:p w14:paraId="3DC7A6C4">
      <w:pPr>
        <w:tabs>
          <w:tab w:val="left" w:pos="2065"/>
          <w:tab w:val="left" w:pos="4770"/>
        </w:tabs>
        <w:spacing w:line="480" w:lineRule="auto"/>
        <w:rPr>
          <w:sz w:val="22"/>
        </w:rPr>
      </w:pPr>
      <w:r>
        <w:rPr>
          <w:rFonts w:hint="eastAsia"/>
          <w:sz w:val="22"/>
        </w:rPr>
        <w:t>附件：</w:t>
      </w:r>
    </w:p>
    <w:p w14:paraId="27A2B81C">
      <w:pPr>
        <w:pStyle w:val="64"/>
        <w:spacing w:before="0" w:after="0" w:line="360" w:lineRule="auto"/>
        <w:jc w:val="center"/>
        <w:rPr>
          <w:rFonts w:ascii="宋体" w:hAnsi="宋体" w:eastAsia="宋体" w:cs="宋体"/>
          <w:b/>
          <w:bCs/>
          <w:sz w:val="24"/>
          <w:szCs w:val="24"/>
        </w:rPr>
      </w:pPr>
      <w:r>
        <w:rPr>
          <w:rFonts w:hint="eastAsia" w:ascii="宋体" w:hAnsi="宋体" w:eastAsia="宋体" w:cs="宋体"/>
          <w:b/>
          <w:bCs/>
          <w:sz w:val="24"/>
          <w:szCs w:val="24"/>
        </w:rPr>
        <w:t>附件 1、安全违约考核标准</w:t>
      </w:r>
    </w:p>
    <w:tbl>
      <w:tblPr>
        <w:tblStyle w:val="20"/>
        <w:tblpPr w:leftFromText="180" w:rightFromText="180" w:vertAnchor="text" w:horzAnchor="page" w:tblpX="1497" w:tblpY="519"/>
        <w:tblOverlap w:val="never"/>
        <w:tblW w:w="9367" w:type="dxa"/>
        <w:tblInd w:w="0" w:type="dxa"/>
        <w:tblLayout w:type="fixed"/>
        <w:tblCellMar>
          <w:top w:w="0" w:type="dxa"/>
          <w:left w:w="108" w:type="dxa"/>
          <w:bottom w:w="0" w:type="dxa"/>
          <w:right w:w="108" w:type="dxa"/>
        </w:tblCellMar>
      </w:tblPr>
      <w:tblGrid>
        <w:gridCol w:w="846"/>
        <w:gridCol w:w="7211"/>
        <w:gridCol w:w="1310"/>
      </w:tblGrid>
      <w:tr w14:paraId="2AAAD565">
        <w:trPr>
          <w:trHeight w:val="465" w:hRule="atLeast"/>
        </w:trPr>
        <w:tc>
          <w:tcPr>
            <w:tcW w:w="805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41E984">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违规事项</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3C6E7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扣罚金额</w:t>
            </w:r>
          </w:p>
        </w:tc>
      </w:tr>
      <w:tr w14:paraId="0C1D92EF">
        <w:tblPrEx>
          <w:tblCellMar>
            <w:top w:w="0" w:type="dxa"/>
            <w:left w:w="108" w:type="dxa"/>
            <w:bottom w:w="0" w:type="dxa"/>
            <w:right w:w="108" w:type="dxa"/>
          </w:tblCellMar>
        </w:tblPrEx>
        <w:trPr>
          <w:trHeight w:val="285" w:hRule="atLeast"/>
        </w:trPr>
        <w:tc>
          <w:tcPr>
            <w:tcW w:w="936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83413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说明：扣罚金额为事件每发生1次或1人次的金额，金额单位：元，币种为人民币。同一事务，未及时完成整改，重复发生的，加倍扣罚，连续多次发生，3倍扣罚。</w:t>
            </w:r>
          </w:p>
        </w:tc>
      </w:tr>
      <w:tr w14:paraId="2427E8C1">
        <w:tblPrEx>
          <w:tblCellMar>
            <w:top w:w="0" w:type="dxa"/>
            <w:left w:w="108" w:type="dxa"/>
            <w:bottom w:w="0" w:type="dxa"/>
            <w:right w:w="108" w:type="dxa"/>
          </w:tblCellMar>
        </w:tblPrEx>
        <w:trPr>
          <w:trHeight w:val="285" w:hRule="atLeast"/>
        </w:trPr>
        <w:tc>
          <w:tcPr>
            <w:tcW w:w="936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A9E9A2">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一、保证措施</w:t>
            </w:r>
          </w:p>
        </w:tc>
      </w:tr>
      <w:tr w14:paraId="477B4CE5">
        <w:tblPrEx>
          <w:tblCellMar>
            <w:top w:w="0" w:type="dxa"/>
            <w:left w:w="108" w:type="dxa"/>
            <w:bottom w:w="0" w:type="dxa"/>
            <w:right w:w="108" w:type="dxa"/>
          </w:tblCellMar>
        </w:tblPrEx>
        <w:trPr>
          <w:trHeight w:val="690"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095295">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EDE5D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施工作业期间，同承发包项目相关的企业、人员资质发生变更应报批的隐瞒不报，未经建设单位同意私自分包，聘用的分包商无有效资质，与分包单位无安全协议。</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D5833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5000~10000</w:t>
            </w:r>
          </w:p>
        </w:tc>
      </w:tr>
      <w:tr w14:paraId="45EC69DA">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080205">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8AAFB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未获开工令私自开工，不执行建设（监理）单位发出的停工指令。</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DDEA4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5000~10000</w:t>
            </w:r>
          </w:p>
        </w:tc>
      </w:tr>
      <w:tr w14:paraId="06DAFD0E">
        <w:tblPrEx>
          <w:tblCellMar>
            <w:top w:w="0" w:type="dxa"/>
            <w:left w:w="108" w:type="dxa"/>
            <w:bottom w:w="0" w:type="dxa"/>
            <w:right w:w="108" w:type="dxa"/>
          </w:tblCellMar>
        </w:tblPrEx>
        <w:trPr>
          <w:trHeight w:val="690"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ECDDB8">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3</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669B43">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安全制度不健全，缺乏符合本企业需要的《安全环保责任制》《隐患排查整改》《事故应急管理》等安全管理制度。</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987D9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1000~5000</w:t>
            </w:r>
          </w:p>
        </w:tc>
      </w:tr>
      <w:tr w14:paraId="612505BA">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768A78">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04D76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三级安全教育、日常安全教育不符合国家规定、公司制度要求。</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5DC1C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1DFD3185">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90ABC9">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5</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B98DF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项目经理、技术负责人、安全管理人员、特种作业人员未持证上岗。</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F65793">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040DE34E">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944F3E">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6</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0976E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安全风险辨识不全，安全措施不齐全。施工组织设计（方案）应编制但未编制、未经审批完成就施工，未履行书面的安全技术交底就施工。</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F7C2B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016B4297">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035A15">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7</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BECC3E">
            <w:pPr>
              <w:widowControl/>
              <w:jc w:val="left"/>
              <w:textAlignment w:val="center"/>
              <w:rPr>
                <w:rFonts w:ascii="等线" w:hAnsi="等线" w:eastAsia="等线" w:cs="等线"/>
                <w:sz w:val="22"/>
                <w:szCs w:val="22"/>
              </w:rPr>
            </w:pPr>
            <w:r>
              <w:rPr>
                <w:rFonts w:hint="eastAsia" w:ascii="等线" w:hAnsi="等线" w:eastAsia="等线" w:cs="等线"/>
                <w:sz w:val="22"/>
                <w:szCs w:val="22"/>
              </w:rPr>
              <w:t>不服从会议决议、业主（监理）方工程指令。</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F47A7A">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6A76BEC5">
        <w:tblPrEx>
          <w:tblCellMar>
            <w:top w:w="0" w:type="dxa"/>
            <w:left w:w="108" w:type="dxa"/>
            <w:bottom w:w="0" w:type="dxa"/>
            <w:right w:w="108" w:type="dxa"/>
          </w:tblCellMar>
        </w:tblPrEx>
        <w:trPr>
          <w:trHeight w:val="414"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12D9BF">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8</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CE7B1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未定期进行安全检查，安全隐患纠正措施不力，隐患排查、整改记录缺失。</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F570A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0EE5CA0E">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64540B">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9</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5F1EA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施工作业无安全操作规程以及违反操作规程作业。</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AEE7C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63844B4B">
        <w:tblPrEx>
          <w:tblCellMar>
            <w:top w:w="0" w:type="dxa"/>
            <w:left w:w="108" w:type="dxa"/>
            <w:bottom w:w="0" w:type="dxa"/>
            <w:right w:w="108" w:type="dxa"/>
          </w:tblCellMar>
        </w:tblPrEx>
        <w:trPr>
          <w:trHeight w:val="548"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1C627B">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10</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E3BCAE">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工机具、车辆、设备入场前，大型登高、吊装设备、脚手架架设后应进行备案、报批、验收的，未经同意就使用。</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DF15F0">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73D715A6">
        <w:tblPrEx>
          <w:tblCellMar>
            <w:top w:w="0" w:type="dxa"/>
            <w:left w:w="108" w:type="dxa"/>
            <w:bottom w:w="0" w:type="dxa"/>
            <w:right w:w="108" w:type="dxa"/>
          </w:tblCellMar>
        </w:tblPrEx>
        <w:trPr>
          <w:trHeight w:val="392"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0D80C6">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11</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AD80B2">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违章指挥，强令他人违章作业</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36E093">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1C7461FC">
        <w:tblPrEx>
          <w:tblCellMar>
            <w:top w:w="0" w:type="dxa"/>
            <w:left w:w="108" w:type="dxa"/>
            <w:bottom w:w="0" w:type="dxa"/>
            <w:right w:w="108" w:type="dxa"/>
          </w:tblCellMar>
        </w:tblPrEx>
        <w:trPr>
          <w:trHeight w:val="392"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FA2779">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12</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EDD58B">
            <w:pPr>
              <w:widowControl/>
              <w:jc w:val="left"/>
              <w:textAlignment w:val="center"/>
              <w:rPr>
                <w:rFonts w:ascii="等线" w:hAnsi="等线" w:eastAsia="等线" w:cs="等线"/>
                <w:color w:val="0000FF"/>
                <w:kern w:val="0"/>
                <w:sz w:val="22"/>
                <w:szCs w:val="22"/>
                <w:lang w:bidi="ar"/>
              </w:rPr>
            </w:pPr>
            <w:r>
              <w:rPr>
                <w:rFonts w:hint="eastAsia" w:ascii="等线" w:hAnsi="等线" w:eastAsia="等线" w:cs="等线"/>
                <w:color w:val="0000FF"/>
                <w:kern w:val="0"/>
                <w:sz w:val="22"/>
                <w:szCs w:val="22"/>
                <w:lang w:bidi="ar"/>
              </w:rPr>
              <w:t xml:space="preserve"> 拒不执行安全生产 “吹哨人” 及隐患内部报告制度或未按规定给予 “吹哨人” 奖励</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9006EE">
            <w:pPr>
              <w:widowControl/>
              <w:jc w:val="left"/>
              <w:textAlignment w:val="center"/>
              <w:rPr>
                <w:rFonts w:ascii="等线" w:hAnsi="等线" w:eastAsia="等线" w:cs="等线"/>
                <w:color w:val="0000FF"/>
                <w:kern w:val="0"/>
                <w:sz w:val="22"/>
                <w:szCs w:val="22"/>
                <w:lang w:bidi="ar"/>
              </w:rPr>
            </w:pPr>
            <w:r>
              <w:rPr>
                <w:rFonts w:hint="eastAsia" w:ascii="等线" w:hAnsi="等线" w:eastAsia="等线" w:cs="等线"/>
                <w:color w:val="0000FF"/>
                <w:kern w:val="0"/>
                <w:sz w:val="22"/>
                <w:szCs w:val="22"/>
                <w:lang w:bidi="ar"/>
              </w:rPr>
              <w:t>5000</w:t>
            </w:r>
          </w:p>
        </w:tc>
      </w:tr>
      <w:tr w14:paraId="7A05788A">
        <w:tblPrEx>
          <w:tblCellMar>
            <w:top w:w="0" w:type="dxa"/>
            <w:left w:w="108" w:type="dxa"/>
            <w:bottom w:w="0" w:type="dxa"/>
            <w:right w:w="108" w:type="dxa"/>
          </w:tblCellMar>
        </w:tblPrEx>
        <w:trPr>
          <w:trHeight w:val="285" w:hRule="atLeast"/>
        </w:trPr>
        <w:tc>
          <w:tcPr>
            <w:tcW w:w="936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E18F72">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二、个人违章</w:t>
            </w:r>
          </w:p>
        </w:tc>
      </w:tr>
      <w:tr w14:paraId="2B159BCF">
        <w:tblPrEx>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58C819">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13</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DCFE4D">
            <w:pPr>
              <w:widowControl/>
              <w:jc w:val="left"/>
              <w:textAlignment w:val="center"/>
              <w:rPr>
                <w:rFonts w:ascii="等线" w:hAnsi="等线" w:eastAsia="等线" w:cs="等线"/>
                <w:color w:val="0000FF"/>
                <w:sz w:val="22"/>
                <w:szCs w:val="22"/>
              </w:rPr>
            </w:pPr>
            <w:r>
              <w:rPr>
                <w:rFonts w:hint="eastAsia" w:ascii="等线" w:hAnsi="等线" w:eastAsia="等线" w:cs="等线"/>
                <w:color w:val="0000FF"/>
                <w:kern w:val="0"/>
                <w:sz w:val="22"/>
                <w:szCs w:val="22"/>
                <w:lang w:bidi="ar"/>
              </w:rPr>
              <w:t>未参加施工单位培训及建设单位三级安全教育培训和考试就入场、借用、冒用他人入场许可证的。</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D6D3BB">
            <w:pPr>
              <w:widowControl/>
              <w:jc w:val="left"/>
              <w:textAlignment w:val="center"/>
              <w:rPr>
                <w:rFonts w:ascii="等线" w:hAnsi="等线" w:eastAsia="等线" w:cs="等线"/>
                <w:color w:val="0000FF"/>
                <w:sz w:val="22"/>
                <w:szCs w:val="22"/>
              </w:rPr>
            </w:pPr>
            <w:r>
              <w:rPr>
                <w:rFonts w:hint="eastAsia" w:ascii="等线" w:hAnsi="等线" w:eastAsia="等线" w:cs="等线"/>
                <w:color w:val="0000FF"/>
                <w:kern w:val="0"/>
                <w:sz w:val="22"/>
                <w:szCs w:val="22"/>
                <w:lang w:bidi="ar"/>
              </w:rPr>
              <w:t>5000~10000</w:t>
            </w:r>
          </w:p>
        </w:tc>
      </w:tr>
      <w:tr w14:paraId="199D9B92">
        <w:tblPrEx>
          <w:tblCellMar>
            <w:top w:w="0" w:type="dxa"/>
            <w:left w:w="108" w:type="dxa"/>
            <w:bottom w:w="0" w:type="dxa"/>
            <w:right w:w="108" w:type="dxa"/>
          </w:tblCellMar>
        </w:tblPrEx>
        <w:trPr>
          <w:trHeight w:val="366"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B8CF5F">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14</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DE3DF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安全帽、护目镜、劳保鞋、工作服、反光背心等劳动防护用品未按规定穿佩戴。使用的劳动防护用品受损或质量达不到规范要求。</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44E0E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200~500</w:t>
            </w:r>
          </w:p>
        </w:tc>
      </w:tr>
      <w:tr w14:paraId="74B6E7A4">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9464C9">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15</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F24901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班前或班中饮酒后，仍然进入施工现场工作。</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BB9DD4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w:t>
            </w:r>
          </w:p>
        </w:tc>
      </w:tr>
      <w:tr w14:paraId="4FCD7F51">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CC0DF1">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16</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EF87DA">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超过2米有可能跌落的场所施工作业未系或未按规范系双钩安全带。</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E133F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w:t>
            </w:r>
          </w:p>
        </w:tc>
      </w:tr>
      <w:tr w14:paraId="024263FE">
        <w:tblPrEx>
          <w:tblCellMar>
            <w:top w:w="0" w:type="dxa"/>
            <w:left w:w="108" w:type="dxa"/>
            <w:bottom w:w="0" w:type="dxa"/>
            <w:right w:w="108" w:type="dxa"/>
          </w:tblCellMar>
        </w:tblPrEx>
        <w:trPr>
          <w:trHeight w:val="260"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2408FC">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17</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222BAF">
            <w:pPr>
              <w:widowControl/>
              <w:jc w:val="left"/>
              <w:textAlignment w:val="center"/>
              <w:rPr>
                <w:rFonts w:ascii="宋体" w:hAnsi="宋体" w:cs="宋体"/>
                <w:szCs w:val="21"/>
              </w:rPr>
            </w:pPr>
            <w:r>
              <w:rPr>
                <w:rFonts w:hint="eastAsia" w:ascii="等线" w:hAnsi="等线" w:eastAsia="等线" w:cs="等线"/>
                <w:kern w:val="0"/>
                <w:sz w:val="22"/>
                <w:szCs w:val="22"/>
                <w:lang w:bidi="ar"/>
              </w:rPr>
              <w:t>在施工区内禁止吸烟处吸烟（非一级禁烟区），乱丢垃圾，污损破坏环境设施等不文明行为。</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8F3917">
            <w:pPr>
              <w:widowControl/>
              <w:jc w:val="left"/>
              <w:textAlignment w:val="center"/>
              <w:rPr>
                <w:rFonts w:eastAsia="等线"/>
                <w:szCs w:val="21"/>
              </w:rPr>
            </w:pPr>
            <w:r>
              <w:rPr>
                <w:rFonts w:hint="eastAsia" w:ascii="等线" w:hAnsi="等线" w:eastAsia="等线" w:cs="等线"/>
                <w:kern w:val="0"/>
                <w:sz w:val="22"/>
                <w:szCs w:val="22"/>
                <w:lang w:bidi="ar"/>
              </w:rPr>
              <w:t>100~500</w:t>
            </w:r>
          </w:p>
        </w:tc>
      </w:tr>
      <w:tr w14:paraId="3769FC09">
        <w:tblPrEx>
          <w:tblCellMar>
            <w:top w:w="0" w:type="dxa"/>
            <w:left w:w="108" w:type="dxa"/>
            <w:bottom w:w="0" w:type="dxa"/>
            <w:right w:w="108" w:type="dxa"/>
          </w:tblCellMar>
        </w:tblPrEx>
        <w:trPr>
          <w:trHeight w:val="260"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13507D">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18</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160B93">
            <w:pPr>
              <w:widowControl/>
              <w:jc w:val="left"/>
              <w:textAlignment w:val="center"/>
              <w:rPr>
                <w:rFonts w:ascii="等线" w:hAnsi="等线" w:eastAsia="等线" w:cs="等线"/>
                <w:color w:val="0000FF"/>
                <w:kern w:val="0"/>
                <w:sz w:val="22"/>
                <w:szCs w:val="22"/>
                <w:lang w:bidi="ar"/>
              </w:rPr>
            </w:pPr>
            <w:r>
              <w:rPr>
                <w:rFonts w:hint="eastAsia" w:ascii="等线" w:hAnsi="等线" w:eastAsia="等线" w:cs="等线"/>
                <w:color w:val="0000FF"/>
                <w:kern w:val="0"/>
                <w:sz w:val="22"/>
                <w:szCs w:val="22"/>
                <w:lang w:bidi="ar"/>
              </w:rPr>
              <w:t>在施工区内随地大小便</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B7D05A">
            <w:pPr>
              <w:widowControl/>
              <w:jc w:val="left"/>
              <w:textAlignment w:val="center"/>
              <w:rPr>
                <w:rFonts w:ascii="等线" w:hAnsi="等线" w:eastAsia="等线" w:cs="等线"/>
                <w:color w:val="0000FF"/>
                <w:kern w:val="0"/>
                <w:sz w:val="22"/>
                <w:szCs w:val="22"/>
                <w:lang w:bidi="ar"/>
              </w:rPr>
            </w:pPr>
            <w:r>
              <w:rPr>
                <w:rFonts w:hint="eastAsia" w:ascii="等线" w:hAnsi="等线" w:eastAsia="等线" w:cs="等线"/>
                <w:color w:val="0000FF"/>
                <w:kern w:val="0"/>
                <w:sz w:val="22"/>
                <w:szCs w:val="22"/>
                <w:lang w:bidi="ar"/>
              </w:rPr>
              <w:t>10000</w:t>
            </w:r>
          </w:p>
        </w:tc>
      </w:tr>
      <w:tr w14:paraId="5516EA94">
        <w:tblPrEx>
          <w:tblCellMar>
            <w:top w:w="0" w:type="dxa"/>
            <w:left w:w="108" w:type="dxa"/>
            <w:bottom w:w="0" w:type="dxa"/>
            <w:right w:w="108" w:type="dxa"/>
          </w:tblCellMar>
        </w:tblPrEx>
        <w:trPr>
          <w:trHeight w:val="285" w:hRule="atLeast"/>
        </w:trPr>
        <w:tc>
          <w:tcPr>
            <w:tcW w:w="936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B642D5">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三、现场及施工作业违章</w:t>
            </w:r>
          </w:p>
        </w:tc>
      </w:tr>
      <w:tr w14:paraId="29334C32">
        <w:tblPrEx>
          <w:tblCellMar>
            <w:top w:w="0" w:type="dxa"/>
            <w:left w:w="108" w:type="dxa"/>
            <w:bottom w:w="0" w:type="dxa"/>
            <w:right w:w="108" w:type="dxa"/>
          </w:tblCellMar>
        </w:tblPrEx>
        <w:trPr>
          <w:trHeight w:val="1292"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07C4C0">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19</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69613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施工平面布置图不符合规定，现场状况与图不相符；施工维保现场搭设临时建筑，未经业主方同意后就实施。 班组工具房的布设未经过业主方统一规划或认可，布置不整齐，施工常用工器具、材料应规划区域、堆放整齐、标识清楚，不影响外观形象，未做到上述措施的。</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A0886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14:paraId="3E522A12">
        <w:tblPrEx>
          <w:tblCellMar>
            <w:top w:w="0" w:type="dxa"/>
            <w:left w:w="108" w:type="dxa"/>
            <w:bottom w:w="0" w:type="dxa"/>
            <w:right w:w="108" w:type="dxa"/>
          </w:tblCellMar>
        </w:tblPrEx>
        <w:trPr>
          <w:trHeight w:val="648"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23D3BE">
            <w:pPr>
              <w:widowControl/>
              <w:jc w:val="center"/>
              <w:textAlignment w:val="center"/>
              <w:rPr>
                <w:rFonts w:ascii="等线" w:hAnsi="等线" w:eastAsia="等线" w:cs="等线"/>
                <w:sz w:val="22"/>
                <w:szCs w:val="22"/>
              </w:rPr>
            </w:pPr>
            <w:r>
              <w:rPr>
                <w:rFonts w:hint="eastAsia" w:ascii="等线" w:hAnsi="等线" w:eastAsia="等线" w:cs="等线"/>
                <w:sz w:val="22"/>
                <w:szCs w:val="22"/>
              </w:rPr>
              <w:t>20</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85D89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施工维保场所的井、坑、孔、洞、地沟、临边等，未及时设置有效的孔洞、临边防护设施及安全警告标志，安全网搭设不健全。未经许可，私自拆除安全防护设施。</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A0542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000666D2">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E355F1">
            <w:pPr>
              <w:widowControl/>
              <w:jc w:val="center"/>
              <w:textAlignment w:val="center"/>
              <w:rPr>
                <w:rFonts w:ascii="等线" w:hAnsi="等线" w:eastAsia="等线" w:cs="等线"/>
                <w:sz w:val="22"/>
                <w:szCs w:val="22"/>
              </w:rPr>
            </w:pPr>
            <w:r>
              <w:rPr>
                <w:rFonts w:hint="eastAsia" w:ascii="等线" w:hAnsi="等线" w:eastAsia="等线" w:cs="等线"/>
                <w:sz w:val="22"/>
                <w:szCs w:val="22"/>
              </w:rPr>
              <w:t>21</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69C35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不严格执行工作票、证制度，监护人玩忽职守、无票作业。</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BCF9A8">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01835C0C">
        <w:tblPrEx>
          <w:tblCellMar>
            <w:top w:w="0" w:type="dxa"/>
            <w:left w:w="108" w:type="dxa"/>
            <w:bottom w:w="0" w:type="dxa"/>
            <w:right w:w="108" w:type="dxa"/>
          </w:tblCellMar>
        </w:tblPrEx>
        <w:trPr>
          <w:trHeight w:val="549"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C7AE14">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22</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B4070E">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现场临时用电、吊装、有限空间、动火、盲板抽堵、高空作业不符合规范要求，安全设施带病作业、措施不健全，违章作业。</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03946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1000~5000</w:t>
            </w:r>
          </w:p>
        </w:tc>
      </w:tr>
      <w:tr w14:paraId="1DDDDBC5">
        <w:tblPrEx>
          <w:tblCellMar>
            <w:top w:w="0" w:type="dxa"/>
            <w:left w:w="108" w:type="dxa"/>
            <w:bottom w:w="0" w:type="dxa"/>
            <w:right w:w="108" w:type="dxa"/>
          </w:tblCellMar>
        </w:tblPrEx>
        <w:trPr>
          <w:trHeight w:val="502"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DC6C4B">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23</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2496F5">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登高作业工具、设备、脚手架、跳板、安全网、栏杆等等安全设施、附件不健全，带病作业，未按安全规程、技术要求使用操作。</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80AC213">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07D3DD77">
        <w:tblPrEx>
          <w:tblCellMar>
            <w:top w:w="0" w:type="dxa"/>
            <w:left w:w="108" w:type="dxa"/>
            <w:bottom w:w="0" w:type="dxa"/>
            <w:right w:w="108" w:type="dxa"/>
          </w:tblCellMar>
        </w:tblPrEx>
        <w:trPr>
          <w:trHeight w:val="531"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C113C0">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24</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BE0AA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入场工、器具安全附件不健全，临时搭设的平台不符合安全标准，使用淘汰落后的设备、设施，设备设施配置不符合国家规范标准要求。</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5A00D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560D0D3F">
        <w:tblPrEx>
          <w:tblCellMar>
            <w:top w:w="0" w:type="dxa"/>
            <w:left w:w="108" w:type="dxa"/>
            <w:bottom w:w="0" w:type="dxa"/>
            <w:right w:w="108" w:type="dxa"/>
          </w:tblCellMar>
        </w:tblPrEx>
        <w:trPr>
          <w:trHeight w:val="570"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92A385">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25</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7259D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文明施工措施不健全，责任区清洁、扬尘、污泥控制不到位，工人操作未做到“工完料尽场地清”；剩余物料、废旧物料、危险废弃物未分类处置，未按要求在指定区域按指定方式处理。</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6FE16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567493D4">
        <w:tblPrEx>
          <w:tblCellMar>
            <w:top w:w="0" w:type="dxa"/>
            <w:left w:w="108" w:type="dxa"/>
            <w:bottom w:w="0" w:type="dxa"/>
            <w:right w:w="108" w:type="dxa"/>
          </w:tblCellMar>
        </w:tblPrEx>
        <w:trPr>
          <w:trHeight w:val="570"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1881B6">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26</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643600">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场地内部道路未硬化、进出场车辆冲洗设施、“五牌一图”、大门、围挡、宿舍、厕所、淋浴间、开水间、绿化、办公室等临时设施设置不符规范或缺失。</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9187DE">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3000~5000</w:t>
            </w:r>
          </w:p>
        </w:tc>
      </w:tr>
      <w:tr w14:paraId="6F9A4749">
        <w:tblPrEx>
          <w:tblCellMar>
            <w:top w:w="0" w:type="dxa"/>
            <w:left w:w="108" w:type="dxa"/>
            <w:bottom w:w="0" w:type="dxa"/>
            <w:right w:w="108" w:type="dxa"/>
          </w:tblCellMar>
        </w:tblPrEx>
        <w:trPr>
          <w:trHeight w:val="621"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A2201B">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27</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B29B7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堵塞消防通道、易燃、易爆品、易腐蚀品未按规范存放和使用，消防设施配备不符合要求，未按消防规范作业。</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70595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0ADB110B">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EE8150">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28</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C5222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未履行成品保护制度，对设施、路面保护不力，成品保护措施不健全。 </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66F0D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0A78F623">
        <w:tblPrEx>
          <w:tblCellMar>
            <w:top w:w="0" w:type="dxa"/>
            <w:left w:w="108" w:type="dxa"/>
            <w:bottom w:w="0" w:type="dxa"/>
            <w:right w:w="108" w:type="dxa"/>
          </w:tblCellMar>
        </w:tblPrEx>
        <w:trPr>
          <w:trHeight w:val="285" w:hRule="atLeast"/>
        </w:trPr>
        <w:tc>
          <w:tcPr>
            <w:tcW w:w="936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A747BB">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四、厂区规范管理</w:t>
            </w:r>
          </w:p>
        </w:tc>
      </w:tr>
      <w:tr w14:paraId="756AF065">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CB96D6">
            <w:pPr>
              <w:widowControl/>
              <w:jc w:val="center"/>
              <w:textAlignment w:val="center"/>
              <w:rPr>
                <w:rFonts w:ascii="等线" w:hAnsi="等线" w:eastAsia="等线" w:cs="等线"/>
                <w:sz w:val="22"/>
                <w:szCs w:val="22"/>
              </w:rPr>
            </w:pPr>
            <w:r>
              <w:rPr>
                <w:rFonts w:hint="eastAsia" w:ascii="等线" w:hAnsi="等线" w:eastAsia="等线" w:cs="等线"/>
                <w:sz w:val="22"/>
                <w:szCs w:val="22"/>
              </w:rPr>
              <w:t>29</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96ED65">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入场车辆未按规定入场、行驶、停放的，行人在限定区域以外行走的。</w:t>
            </w:r>
          </w:p>
          <w:p w14:paraId="707B825E">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发包人组织的安全检查、安全会议迟到、早退、缺席的。</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2845D2">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200~500</w:t>
            </w:r>
          </w:p>
        </w:tc>
      </w:tr>
      <w:tr w14:paraId="57485602">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0001CE">
            <w:pPr>
              <w:widowControl/>
              <w:jc w:val="center"/>
              <w:textAlignment w:val="center"/>
              <w:rPr>
                <w:rFonts w:ascii="等线" w:hAnsi="等线" w:eastAsia="等线" w:cs="等线"/>
                <w:sz w:val="22"/>
                <w:szCs w:val="22"/>
              </w:rPr>
            </w:pPr>
            <w:r>
              <w:rPr>
                <w:rFonts w:hint="eastAsia" w:ascii="等线" w:hAnsi="等线" w:eastAsia="等线" w:cs="等线"/>
                <w:sz w:val="22"/>
                <w:szCs w:val="22"/>
              </w:rPr>
              <w:t>30</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B6CD9A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打架斗殴、威胁发包人管理人员的。</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E6DD3E">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14:paraId="5CC2ED41">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C41862">
            <w:pPr>
              <w:widowControl/>
              <w:jc w:val="center"/>
              <w:textAlignment w:val="center"/>
              <w:rPr>
                <w:rFonts w:ascii="等线" w:hAnsi="等线" w:eastAsia="等线" w:cs="等线"/>
                <w:sz w:val="22"/>
                <w:szCs w:val="22"/>
              </w:rPr>
            </w:pPr>
            <w:r>
              <w:rPr>
                <w:rFonts w:hint="eastAsia" w:ascii="等线" w:hAnsi="等线" w:eastAsia="等线" w:cs="等线"/>
                <w:sz w:val="22"/>
                <w:szCs w:val="22"/>
              </w:rPr>
              <w:t>31</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B2522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违反业主方生产场所相关安全、环保、消防、文明管理规定的。</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BFEB7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500~3000</w:t>
            </w:r>
          </w:p>
        </w:tc>
      </w:tr>
      <w:tr w14:paraId="22DB0B3B">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480643">
            <w:pPr>
              <w:widowControl/>
              <w:jc w:val="center"/>
              <w:textAlignment w:val="center"/>
              <w:rPr>
                <w:rFonts w:ascii="等线" w:hAnsi="等线" w:eastAsia="等线" w:cs="等线"/>
                <w:sz w:val="22"/>
                <w:szCs w:val="22"/>
              </w:rPr>
            </w:pPr>
            <w:r>
              <w:rPr>
                <w:rFonts w:hint="eastAsia" w:ascii="等线" w:hAnsi="等线" w:eastAsia="等线" w:cs="等线"/>
                <w:sz w:val="22"/>
                <w:szCs w:val="22"/>
              </w:rPr>
              <w:t>32</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99E48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违反业主方制定的门岗、治安、保卫管理规章制度的行为。</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2C420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500~3000</w:t>
            </w:r>
          </w:p>
        </w:tc>
      </w:tr>
      <w:tr w14:paraId="21D488F3">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63A044">
            <w:pPr>
              <w:widowControl/>
              <w:jc w:val="center"/>
              <w:textAlignment w:val="center"/>
              <w:rPr>
                <w:rFonts w:ascii="等线" w:hAnsi="等线" w:eastAsia="等线" w:cs="等线"/>
                <w:sz w:val="22"/>
                <w:szCs w:val="22"/>
              </w:rPr>
            </w:pPr>
            <w:r>
              <w:rPr>
                <w:rFonts w:hint="eastAsia" w:ascii="等线" w:hAnsi="等线" w:eastAsia="等线" w:cs="等线"/>
                <w:sz w:val="22"/>
                <w:szCs w:val="22"/>
              </w:rPr>
              <w:t>33</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0E552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私自操作发包人生产设施、设备，故意损坏设施设备，造成事故的，照价赔偿。</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79BD14">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6CCBEC8C">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F15B3E">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34</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FB2A8C">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进入易燃易爆区域抽烟、未经许可私自携带火种、违规动火。</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7311B0">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573B65DB">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56E0CB">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35</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0232CF">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未经批准解除安全联锁。</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E6F1D5">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38200EDF">
        <w:tblPrEx>
          <w:tblCellMar>
            <w:top w:w="0" w:type="dxa"/>
            <w:left w:w="108" w:type="dxa"/>
            <w:bottom w:w="0" w:type="dxa"/>
            <w:right w:w="108" w:type="dxa"/>
          </w:tblCellMar>
        </w:tblPrEx>
        <w:trPr>
          <w:trHeight w:val="285" w:hRule="atLeast"/>
        </w:trPr>
        <w:tc>
          <w:tcPr>
            <w:tcW w:w="936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B32C86">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五、环保管理</w:t>
            </w:r>
          </w:p>
        </w:tc>
      </w:tr>
      <w:tr w14:paraId="0060F876">
        <w:tblPrEx>
          <w:tblCellMar>
            <w:top w:w="0" w:type="dxa"/>
            <w:left w:w="108" w:type="dxa"/>
            <w:bottom w:w="0" w:type="dxa"/>
            <w:right w:w="108" w:type="dxa"/>
          </w:tblCellMar>
        </w:tblPrEx>
        <w:trPr>
          <w:trHeight w:val="37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69E6BD">
            <w:pPr>
              <w:widowControl/>
              <w:jc w:val="center"/>
              <w:textAlignment w:val="center"/>
              <w:rPr>
                <w:rFonts w:ascii="等线" w:hAnsi="等线" w:eastAsia="等线" w:cs="等线"/>
                <w:sz w:val="22"/>
                <w:szCs w:val="22"/>
              </w:rPr>
            </w:pPr>
            <w:r>
              <w:rPr>
                <w:rFonts w:hint="eastAsia" w:ascii="等线" w:hAnsi="等线" w:eastAsia="等线" w:cs="等线"/>
                <w:sz w:val="22"/>
                <w:szCs w:val="22"/>
              </w:rPr>
              <w:t>36</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BA70D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污水、废气、噪音、粉尘等未按要求排放或排放超过标准的，控制措施不力的。</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C06C9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5CC956ED">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1791F1">
            <w:pPr>
              <w:widowControl/>
              <w:jc w:val="center"/>
              <w:textAlignment w:val="center"/>
              <w:rPr>
                <w:rFonts w:ascii="等线" w:hAnsi="等线" w:eastAsia="等线" w:cs="等线"/>
                <w:sz w:val="22"/>
                <w:szCs w:val="22"/>
              </w:rPr>
            </w:pPr>
            <w:r>
              <w:rPr>
                <w:rFonts w:hint="eastAsia" w:ascii="等线" w:hAnsi="等线" w:eastAsia="等线" w:cs="等线"/>
                <w:sz w:val="22"/>
                <w:szCs w:val="22"/>
              </w:rPr>
              <w:t>37</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5CC45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未按规定分类处置废弃物，废弃物处置不当，油漆、清洗剂等危险化学品未按规定进行存储、废弃处理，工地违规燃烧垃圾废物</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0345A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2639C1E3">
        <w:tblPrEx>
          <w:tblCellMar>
            <w:top w:w="0" w:type="dxa"/>
            <w:left w:w="108" w:type="dxa"/>
            <w:bottom w:w="0" w:type="dxa"/>
            <w:right w:w="108" w:type="dxa"/>
          </w:tblCellMar>
        </w:tblPrEx>
        <w:trPr>
          <w:trHeight w:val="285" w:hRule="atLeast"/>
        </w:trPr>
        <w:tc>
          <w:tcPr>
            <w:tcW w:w="936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3DB59B">
            <w:pPr>
              <w:widowControl/>
              <w:jc w:val="center"/>
              <w:textAlignment w:val="center"/>
              <w:rPr>
                <w:rFonts w:ascii="等线" w:hAnsi="等线" w:eastAsia="等线" w:cs="等线"/>
                <w:b/>
                <w:sz w:val="22"/>
                <w:szCs w:val="22"/>
              </w:rPr>
            </w:pPr>
            <w:r>
              <w:rPr>
                <w:rFonts w:hint="eastAsia" w:ascii="等线" w:hAnsi="等线" w:eastAsia="等线" w:cs="等线"/>
                <w:b/>
                <w:kern w:val="0"/>
                <w:sz w:val="22"/>
                <w:szCs w:val="22"/>
                <w:lang w:bidi="ar"/>
              </w:rPr>
              <w:t>六、事故管理</w:t>
            </w:r>
          </w:p>
        </w:tc>
      </w:tr>
      <w:tr w14:paraId="61C213F6">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D117D4">
            <w:pPr>
              <w:widowControl/>
              <w:jc w:val="center"/>
              <w:textAlignment w:val="center"/>
              <w:rPr>
                <w:rFonts w:ascii="等线" w:hAnsi="等线" w:eastAsia="等线" w:cs="等线"/>
                <w:sz w:val="22"/>
                <w:szCs w:val="22"/>
              </w:rPr>
            </w:pPr>
            <w:r>
              <w:rPr>
                <w:rFonts w:hint="eastAsia" w:ascii="等线" w:hAnsi="等线" w:eastAsia="等线" w:cs="等线"/>
                <w:sz w:val="22"/>
                <w:szCs w:val="22"/>
              </w:rPr>
              <w:t>38</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4599D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发生事故后故意瞒报，影响救援的； </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50B050">
            <w:pPr>
              <w:widowControl/>
              <w:jc w:val="left"/>
              <w:textAlignment w:val="center"/>
              <w:rPr>
                <w:rFonts w:ascii="等线" w:hAnsi="等线" w:eastAsia="等线" w:cs="等线"/>
                <w:sz w:val="22"/>
                <w:szCs w:val="22"/>
              </w:rPr>
            </w:pPr>
            <w:r>
              <w:rPr>
                <w:rFonts w:hint="eastAsia" w:ascii="等线" w:hAnsi="等线" w:eastAsia="等线" w:cs="等线"/>
                <w:sz w:val="22"/>
                <w:szCs w:val="22"/>
              </w:rPr>
              <w:t>依据CPIC制度执行</w:t>
            </w:r>
          </w:p>
        </w:tc>
      </w:tr>
      <w:tr w14:paraId="4FC31EF4">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7D4C78">
            <w:pPr>
              <w:widowControl/>
              <w:jc w:val="center"/>
              <w:textAlignment w:val="center"/>
              <w:rPr>
                <w:rFonts w:ascii="等线" w:hAnsi="等线" w:eastAsia="等线" w:cs="等线"/>
                <w:sz w:val="22"/>
                <w:szCs w:val="22"/>
              </w:rPr>
            </w:pPr>
            <w:r>
              <w:rPr>
                <w:rFonts w:hint="eastAsia" w:ascii="等线" w:hAnsi="等线" w:eastAsia="等线" w:cs="等线"/>
                <w:sz w:val="22"/>
                <w:szCs w:val="22"/>
              </w:rPr>
              <w:t>39</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EE91F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发生事故后，不在规定时间向发包方报告的，故意不按真实情况报告的，应由施工方组织调查而不组织调查的，不按照"四不放过"进行调查处理的，承包方故意不配合调查的；    </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C75A3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14:paraId="0AB7055E">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7EC208">
            <w:pPr>
              <w:widowControl/>
              <w:jc w:val="center"/>
              <w:textAlignment w:val="center"/>
              <w:rPr>
                <w:rFonts w:ascii="等线" w:hAnsi="等线" w:eastAsia="等线" w:cs="等线"/>
                <w:sz w:val="22"/>
                <w:szCs w:val="22"/>
              </w:rPr>
            </w:pPr>
            <w:r>
              <w:rPr>
                <w:rFonts w:hint="eastAsia" w:ascii="等线" w:hAnsi="等线" w:eastAsia="等线" w:cs="等线"/>
                <w:sz w:val="22"/>
                <w:szCs w:val="22"/>
              </w:rPr>
              <w:t>40</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26222F">
            <w:pPr>
              <w:widowControl/>
              <w:jc w:val="left"/>
              <w:textAlignment w:val="center"/>
              <w:rPr>
                <w:rFonts w:ascii="等线" w:hAnsi="等线" w:eastAsia="等线" w:cs="等线"/>
                <w:sz w:val="22"/>
                <w:szCs w:val="22"/>
              </w:rPr>
            </w:pPr>
            <w:r>
              <w:rPr>
                <w:rFonts w:hint="eastAsia" w:ascii="等线" w:hAnsi="等线" w:eastAsia="等线" w:cs="等线"/>
                <w:sz w:val="22"/>
                <w:szCs w:val="22"/>
              </w:rPr>
              <w:t>未遂事故、微伤事故、直接经济损失1万元以下的事故、发生火情等</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067C4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3000~5000</w:t>
            </w:r>
          </w:p>
        </w:tc>
      </w:tr>
      <w:tr w14:paraId="19ACE568">
        <w:tblPrEx>
          <w:tblCellMar>
            <w:top w:w="0" w:type="dxa"/>
            <w:left w:w="108" w:type="dxa"/>
            <w:bottom w:w="0" w:type="dxa"/>
            <w:right w:w="108" w:type="dxa"/>
          </w:tblCellMar>
        </w:tblPrEx>
        <w:trPr>
          <w:trHeight w:val="690"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648611">
            <w:pPr>
              <w:widowControl/>
              <w:jc w:val="center"/>
              <w:textAlignment w:val="center"/>
              <w:rPr>
                <w:rFonts w:ascii="等线" w:hAnsi="等线" w:eastAsia="等线" w:cs="等线"/>
                <w:sz w:val="22"/>
                <w:szCs w:val="22"/>
              </w:rPr>
            </w:pPr>
            <w:r>
              <w:rPr>
                <w:rFonts w:hint="eastAsia" w:ascii="等线" w:hAnsi="等线" w:eastAsia="等线" w:cs="等线"/>
                <w:sz w:val="22"/>
                <w:szCs w:val="22"/>
              </w:rPr>
              <w:t>41</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1E260D">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轻微伤以上事故；或造成 1 万元以下直接经济损失的火灾事故；或造成 1 万元以上 5 万元以下直接经济损失的其它事故。 </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28916B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3000~1万</w:t>
            </w:r>
          </w:p>
        </w:tc>
      </w:tr>
      <w:tr w14:paraId="6189CD6E">
        <w:tblPrEx>
          <w:tblCellMar>
            <w:top w:w="0" w:type="dxa"/>
            <w:left w:w="108" w:type="dxa"/>
            <w:bottom w:w="0" w:type="dxa"/>
            <w:right w:w="108" w:type="dxa"/>
          </w:tblCellMar>
        </w:tblPrEx>
        <w:trPr>
          <w:trHeight w:val="690"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5B622A">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42</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62B98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轻伤二级事故；或造成 1万元以上10 万元以下直接经济损失的火灾事故；或造成 1 万元以上 5 万元以下直接经济损失的其它事故。 </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0A024F">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5000~2万</w:t>
            </w:r>
          </w:p>
        </w:tc>
      </w:tr>
      <w:tr w14:paraId="22D61873">
        <w:tblPrEx>
          <w:tblCellMar>
            <w:top w:w="0" w:type="dxa"/>
            <w:left w:w="108" w:type="dxa"/>
            <w:bottom w:w="0" w:type="dxa"/>
            <w:right w:w="108" w:type="dxa"/>
          </w:tblCellMar>
        </w:tblPrEx>
        <w:trPr>
          <w:trHeight w:val="690"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DE2138">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43</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B14AB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轻伤一级事故；或造成 10 万元以上 </w:t>
            </w:r>
            <w:r>
              <w:rPr>
                <w:rFonts w:ascii="等线" w:hAnsi="等线" w:eastAsia="等线" w:cs="等线"/>
                <w:kern w:val="0"/>
                <w:sz w:val="22"/>
                <w:szCs w:val="22"/>
                <w:lang w:bidi="ar"/>
              </w:rPr>
              <w:t>3</w:t>
            </w:r>
            <w:r>
              <w:rPr>
                <w:rFonts w:hint="eastAsia" w:ascii="等线" w:hAnsi="等线" w:eastAsia="等线" w:cs="等线"/>
                <w:kern w:val="0"/>
                <w:sz w:val="22"/>
                <w:szCs w:val="22"/>
                <w:lang w:bidi="ar"/>
              </w:rPr>
              <w:t xml:space="preserve">0 万元以下直接经济损失的火灾事故；或造成 5 万元以上 </w:t>
            </w:r>
            <w:r>
              <w:rPr>
                <w:rFonts w:ascii="等线" w:hAnsi="等线" w:eastAsia="等线" w:cs="等线"/>
                <w:kern w:val="0"/>
                <w:sz w:val="22"/>
                <w:szCs w:val="22"/>
                <w:lang w:bidi="ar"/>
              </w:rPr>
              <w:t>30</w:t>
            </w:r>
            <w:r>
              <w:rPr>
                <w:rFonts w:hint="eastAsia" w:ascii="等线" w:hAnsi="等线" w:eastAsia="等线" w:cs="等线"/>
                <w:kern w:val="0"/>
                <w:sz w:val="22"/>
                <w:szCs w:val="22"/>
                <w:lang w:bidi="ar"/>
              </w:rPr>
              <w:t xml:space="preserve"> 万元以下直接经济损失的其它事故。 </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F71C41">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2万~5万，赔偿额另计</w:t>
            </w:r>
          </w:p>
        </w:tc>
      </w:tr>
      <w:tr w14:paraId="0ACFD8B1">
        <w:tblPrEx>
          <w:tblCellMar>
            <w:top w:w="0" w:type="dxa"/>
            <w:left w:w="108" w:type="dxa"/>
            <w:bottom w:w="0" w:type="dxa"/>
            <w:right w:w="108" w:type="dxa"/>
          </w:tblCellMar>
        </w:tblPrEx>
        <w:trPr>
          <w:trHeight w:val="43"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957B23">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44</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17BBD2">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重伤及以上事故，直接经济损失超过</w:t>
            </w:r>
            <w:r>
              <w:rPr>
                <w:rFonts w:ascii="等线" w:hAnsi="等线" w:eastAsia="等线" w:cs="等线"/>
                <w:kern w:val="0"/>
                <w:sz w:val="22"/>
                <w:szCs w:val="22"/>
                <w:lang w:bidi="ar"/>
              </w:rPr>
              <w:t>3</w:t>
            </w:r>
            <w:r>
              <w:rPr>
                <w:rFonts w:hint="eastAsia" w:ascii="等线" w:hAnsi="等线" w:eastAsia="等线" w:cs="等线"/>
                <w:kern w:val="0"/>
                <w:sz w:val="22"/>
                <w:szCs w:val="22"/>
                <w:lang w:bidi="ar"/>
              </w:rPr>
              <w:t>0万元以上的事故，消防出警，社会影响较大，出水或启动灭火设施参与抢险，被立案调查但未受到处罚的事故。</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B9B45E6">
            <w:pPr>
              <w:widowControl/>
              <w:jc w:val="left"/>
              <w:textAlignment w:val="center"/>
              <w:rPr>
                <w:rFonts w:ascii="等线" w:hAnsi="等线" w:eastAsia="等线" w:cs="等线"/>
                <w:sz w:val="22"/>
                <w:szCs w:val="22"/>
              </w:rPr>
            </w:pPr>
            <w:r>
              <w:rPr>
                <w:rFonts w:hint="eastAsia" w:ascii="等线" w:hAnsi="等线" w:eastAsia="等线" w:cs="等线"/>
                <w:sz w:val="22"/>
                <w:szCs w:val="22"/>
              </w:rPr>
              <w:t>依据CPIC制度执行</w:t>
            </w:r>
          </w:p>
        </w:tc>
      </w:tr>
      <w:tr w14:paraId="16F104DE">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277282">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45</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AF9E59">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一般环境污染事故</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EC4E2C">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1000~3000</w:t>
            </w:r>
          </w:p>
        </w:tc>
      </w:tr>
      <w:tr w14:paraId="5679FB29">
        <w:tblPrEx>
          <w:tblCellMar>
            <w:top w:w="0" w:type="dxa"/>
            <w:left w:w="108" w:type="dxa"/>
            <w:bottom w:w="0" w:type="dxa"/>
            <w:right w:w="108" w:type="dxa"/>
          </w:tblCellMar>
        </w:tblPrEx>
        <w:trPr>
          <w:trHeight w:val="43"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88639A">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46</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9A4D28">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较大环境污染事故 </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0886CB">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3000~6000</w:t>
            </w:r>
          </w:p>
        </w:tc>
      </w:tr>
      <w:tr w14:paraId="7439698C">
        <w:tblPrEx>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69E33C">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47</w:t>
            </w:r>
          </w:p>
        </w:tc>
        <w:tc>
          <w:tcPr>
            <w:tcW w:w="72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425FC7">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重大及以上环境污染事故 </w:t>
            </w:r>
          </w:p>
        </w:tc>
        <w:tc>
          <w:tcPr>
            <w:tcW w:w="13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2F3225">
            <w:pPr>
              <w:widowControl/>
              <w:jc w:val="left"/>
              <w:textAlignment w:val="center"/>
              <w:rPr>
                <w:rFonts w:ascii="等线" w:hAnsi="等线" w:eastAsia="等线" w:cs="等线"/>
                <w:sz w:val="22"/>
                <w:szCs w:val="22"/>
              </w:rPr>
            </w:pPr>
            <w:r>
              <w:rPr>
                <w:rFonts w:hint="eastAsia" w:ascii="等线" w:hAnsi="等线" w:eastAsia="等线" w:cs="等线"/>
                <w:sz w:val="22"/>
                <w:szCs w:val="22"/>
              </w:rPr>
              <w:t>依据CPIC制度执行</w:t>
            </w:r>
          </w:p>
        </w:tc>
      </w:tr>
      <w:tr w14:paraId="1B70C1C5">
        <w:tblPrEx>
          <w:tblCellMar>
            <w:top w:w="0" w:type="dxa"/>
            <w:left w:w="108" w:type="dxa"/>
            <w:bottom w:w="0" w:type="dxa"/>
            <w:right w:w="108" w:type="dxa"/>
          </w:tblCellMar>
        </w:tblPrEx>
        <w:trPr>
          <w:trHeight w:val="700" w:hRule="atLeast"/>
        </w:trPr>
        <w:tc>
          <w:tcPr>
            <w:tcW w:w="9367"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8C24B6">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 xml:space="preserve">    说明：事故级别依据《人体损伤程度鉴定标准》、CPIC《事故管理办法》的规定进行判定。事故给建设单位或第三方人员、财产造成损失的，直接经济损失应另计赔偿额。以上CPIC制度如有更新已最新制度标准为准。</w:t>
            </w:r>
          </w:p>
        </w:tc>
      </w:tr>
    </w:tbl>
    <w:p w14:paraId="27A5E9C1">
      <w:pPr>
        <w:pStyle w:val="64"/>
        <w:spacing w:before="0" w:after="0" w:line="360" w:lineRule="auto"/>
        <w:rPr>
          <w:rFonts w:ascii="宋体" w:hAnsi="宋体" w:eastAsia="宋体" w:cs="宋体"/>
          <w:sz w:val="24"/>
          <w:szCs w:val="24"/>
        </w:rPr>
      </w:pPr>
    </w:p>
    <w:p w14:paraId="244BF43D">
      <w:pPr>
        <w:pStyle w:val="64"/>
        <w:spacing w:before="0" w:after="0" w:line="360" w:lineRule="auto"/>
        <w:rPr>
          <w:rFonts w:ascii="宋体" w:hAnsi="宋体" w:eastAsia="宋体" w:cs="宋体"/>
          <w:sz w:val="24"/>
          <w:szCs w:val="24"/>
        </w:rPr>
      </w:pPr>
    </w:p>
    <w:p w14:paraId="7551F808">
      <w:pPr>
        <w:pStyle w:val="64"/>
        <w:spacing w:before="0" w:after="0" w:line="360" w:lineRule="auto"/>
        <w:rPr>
          <w:rFonts w:ascii="宋体" w:hAnsi="宋体" w:eastAsia="宋体" w:cs="宋体"/>
          <w:sz w:val="24"/>
          <w:szCs w:val="24"/>
        </w:rPr>
      </w:pPr>
    </w:p>
    <w:p w14:paraId="2A883385">
      <w:pPr>
        <w:pStyle w:val="64"/>
        <w:spacing w:before="0" w:after="0" w:line="360" w:lineRule="auto"/>
        <w:rPr>
          <w:rFonts w:ascii="宋体" w:hAnsi="宋体" w:eastAsia="宋体" w:cs="宋体"/>
          <w:sz w:val="24"/>
          <w:szCs w:val="24"/>
        </w:rPr>
      </w:pPr>
    </w:p>
    <w:p w14:paraId="04C931AC">
      <w:pPr>
        <w:pStyle w:val="64"/>
        <w:spacing w:before="0" w:after="0" w:line="360" w:lineRule="auto"/>
        <w:rPr>
          <w:rFonts w:ascii="宋体" w:hAnsi="宋体" w:eastAsia="宋体" w:cs="宋体"/>
          <w:sz w:val="24"/>
          <w:szCs w:val="24"/>
        </w:rPr>
      </w:pPr>
    </w:p>
    <w:p w14:paraId="0583E71B">
      <w:pPr>
        <w:pStyle w:val="64"/>
        <w:spacing w:before="0" w:after="0" w:line="360" w:lineRule="auto"/>
        <w:rPr>
          <w:rFonts w:ascii="宋体" w:hAnsi="宋体" w:eastAsia="宋体" w:cs="宋体"/>
          <w:sz w:val="24"/>
          <w:szCs w:val="24"/>
        </w:rPr>
      </w:pPr>
    </w:p>
    <w:p w14:paraId="392FAB05">
      <w:pPr>
        <w:pStyle w:val="64"/>
        <w:spacing w:before="0" w:after="0" w:line="360" w:lineRule="auto"/>
        <w:rPr>
          <w:rFonts w:ascii="宋体" w:hAnsi="宋体" w:eastAsia="宋体" w:cs="宋体"/>
          <w:sz w:val="24"/>
          <w:szCs w:val="24"/>
        </w:rPr>
      </w:pPr>
    </w:p>
    <w:p w14:paraId="2D71177F">
      <w:pPr>
        <w:pStyle w:val="64"/>
        <w:spacing w:before="0" w:after="0" w:line="360" w:lineRule="auto"/>
        <w:rPr>
          <w:rFonts w:ascii="宋体" w:hAnsi="宋体" w:eastAsia="宋体" w:cs="宋体"/>
          <w:sz w:val="24"/>
          <w:szCs w:val="24"/>
        </w:rPr>
      </w:pPr>
    </w:p>
    <w:p w14:paraId="5A6CBDB0">
      <w:pPr>
        <w:pStyle w:val="64"/>
        <w:spacing w:before="0" w:after="0" w:line="360" w:lineRule="auto"/>
        <w:rPr>
          <w:rFonts w:ascii="宋体" w:hAnsi="宋体" w:eastAsia="宋体" w:cs="宋体"/>
          <w:sz w:val="24"/>
          <w:szCs w:val="24"/>
        </w:rPr>
      </w:pPr>
    </w:p>
    <w:p w14:paraId="50250AE7">
      <w:pPr>
        <w:pStyle w:val="64"/>
        <w:spacing w:before="0" w:after="0" w:line="360" w:lineRule="auto"/>
        <w:rPr>
          <w:rFonts w:ascii="宋体" w:hAnsi="宋体" w:eastAsia="宋体" w:cs="宋体"/>
          <w:sz w:val="24"/>
          <w:szCs w:val="24"/>
        </w:rPr>
      </w:pPr>
    </w:p>
    <w:p w14:paraId="7EFD56A1">
      <w:pPr>
        <w:pStyle w:val="64"/>
        <w:spacing w:before="0" w:after="0" w:line="360" w:lineRule="auto"/>
        <w:rPr>
          <w:rFonts w:ascii="宋体" w:hAnsi="宋体" w:eastAsia="宋体" w:cs="宋体"/>
          <w:sz w:val="24"/>
          <w:szCs w:val="24"/>
        </w:rPr>
      </w:pPr>
    </w:p>
    <w:p w14:paraId="2314F4D4">
      <w:pPr>
        <w:pStyle w:val="64"/>
        <w:spacing w:before="0" w:after="0" w:line="360" w:lineRule="auto"/>
        <w:rPr>
          <w:rFonts w:ascii="宋体" w:hAnsi="宋体" w:eastAsia="宋体" w:cs="宋体"/>
          <w:sz w:val="24"/>
          <w:szCs w:val="24"/>
        </w:rPr>
      </w:pPr>
    </w:p>
    <w:p w14:paraId="46E7295A">
      <w:pPr>
        <w:pStyle w:val="64"/>
        <w:spacing w:before="0" w:after="0" w:line="360" w:lineRule="auto"/>
        <w:rPr>
          <w:rFonts w:ascii="宋体" w:hAnsi="宋体" w:eastAsia="宋体" w:cs="宋体"/>
          <w:sz w:val="24"/>
          <w:szCs w:val="24"/>
        </w:rPr>
      </w:pPr>
    </w:p>
    <w:p w14:paraId="35F7AD81">
      <w:pPr>
        <w:pStyle w:val="64"/>
        <w:spacing w:before="0" w:after="0" w:line="360" w:lineRule="auto"/>
        <w:rPr>
          <w:rFonts w:ascii="宋体" w:hAnsi="宋体" w:eastAsia="宋体" w:cs="宋体"/>
          <w:sz w:val="24"/>
          <w:szCs w:val="24"/>
        </w:rPr>
      </w:pPr>
    </w:p>
    <w:p w14:paraId="21E1453E">
      <w:pPr>
        <w:pStyle w:val="64"/>
        <w:spacing w:before="0" w:after="0" w:line="360" w:lineRule="auto"/>
        <w:rPr>
          <w:rFonts w:ascii="宋体" w:hAnsi="宋体" w:eastAsia="宋体" w:cs="宋体"/>
          <w:sz w:val="24"/>
          <w:szCs w:val="24"/>
        </w:rPr>
      </w:pPr>
    </w:p>
    <w:p w14:paraId="33369E49">
      <w:pPr>
        <w:pStyle w:val="64"/>
        <w:spacing w:before="0" w:after="0" w:line="360" w:lineRule="auto"/>
        <w:jc w:val="center"/>
        <w:rPr>
          <w:rFonts w:ascii="宋体" w:hAnsi="宋体" w:eastAsia="宋体" w:cs="宋体"/>
          <w:b/>
          <w:bCs/>
          <w:sz w:val="24"/>
          <w:szCs w:val="24"/>
        </w:rPr>
      </w:pPr>
    </w:p>
    <w:p w14:paraId="4319482F">
      <w:pPr>
        <w:pStyle w:val="64"/>
        <w:spacing w:before="0" w:after="0" w:line="360" w:lineRule="auto"/>
        <w:jc w:val="center"/>
        <w:rPr>
          <w:rFonts w:ascii="宋体" w:hAnsi="宋体" w:eastAsia="宋体" w:cs="宋体"/>
          <w:b/>
          <w:bCs/>
          <w:sz w:val="24"/>
          <w:szCs w:val="24"/>
        </w:rPr>
      </w:pPr>
    </w:p>
    <w:p w14:paraId="77FEF39C">
      <w:pPr>
        <w:pStyle w:val="64"/>
        <w:spacing w:before="0" w:after="0" w:line="360" w:lineRule="auto"/>
        <w:jc w:val="center"/>
        <w:rPr>
          <w:rFonts w:ascii="宋体" w:hAnsi="宋体" w:eastAsia="宋体" w:cs="宋体"/>
          <w:sz w:val="24"/>
          <w:szCs w:val="24"/>
        </w:rPr>
      </w:pPr>
      <w:r>
        <w:rPr>
          <w:rFonts w:hint="eastAsia" w:ascii="宋体" w:hAnsi="宋体" w:eastAsia="宋体" w:cs="宋体"/>
          <w:b/>
          <w:bCs/>
          <w:sz w:val="24"/>
          <w:szCs w:val="24"/>
        </w:rPr>
        <w:t>附件 2、安全奖励标准</w:t>
      </w:r>
    </w:p>
    <w:tbl>
      <w:tblPr>
        <w:tblStyle w:val="20"/>
        <w:tblpPr w:leftFromText="180" w:rightFromText="180" w:vertAnchor="text" w:horzAnchor="page" w:tblpX="1598" w:tblpY="135"/>
        <w:tblOverlap w:val="never"/>
        <w:tblW w:w="9561" w:type="dxa"/>
        <w:tblInd w:w="0" w:type="dxa"/>
        <w:tblLayout w:type="fixed"/>
        <w:tblCellMar>
          <w:top w:w="0" w:type="dxa"/>
          <w:left w:w="108" w:type="dxa"/>
          <w:bottom w:w="0" w:type="dxa"/>
          <w:right w:w="108" w:type="dxa"/>
        </w:tblCellMar>
      </w:tblPr>
      <w:tblGrid>
        <w:gridCol w:w="694"/>
        <w:gridCol w:w="2244"/>
        <w:gridCol w:w="2692"/>
        <w:gridCol w:w="2567"/>
        <w:gridCol w:w="1364"/>
      </w:tblGrid>
      <w:tr w14:paraId="17D3C803">
        <w:tblPrEx>
          <w:tblCellMar>
            <w:top w:w="0" w:type="dxa"/>
            <w:left w:w="108" w:type="dxa"/>
            <w:bottom w:w="0" w:type="dxa"/>
            <w:right w:w="108" w:type="dxa"/>
          </w:tblCellMar>
        </w:tblPrEx>
        <w:trPr>
          <w:trHeight w:val="401"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401F5AC8">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序号</w:t>
            </w:r>
          </w:p>
        </w:tc>
        <w:tc>
          <w:tcPr>
            <w:tcW w:w="7503" w:type="dxa"/>
            <w:gridSpan w:val="3"/>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4638BBDF">
            <w:pPr>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奖励条款</w:t>
            </w:r>
          </w:p>
        </w:tc>
        <w:tc>
          <w:tcPr>
            <w:tcW w:w="136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236BEE92">
            <w:pPr>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奖励金额（元）</w:t>
            </w:r>
          </w:p>
        </w:tc>
      </w:tr>
      <w:tr w14:paraId="7697C6FA">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18D0EB34">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w:t>
            </w:r>
          </w:p>
        </w:tc>
        <w:tc>
          <w:tcPr>
            <w:tcW w:w="7503" w:type="dxa"/>
            <w:gridSpan w:val="3"/>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16312A0">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项目配备注册安全工程师（中级及以上）并保证入场执业时间</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6A92A6F3">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≦2000</w:t>
            </w:r>
          </w:p>
        </w:tc>
      </w:tr>
      <w:tr w14:paraId="3A69D6F1">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5AFD8520">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w:t>
            </w:r>
          </w:p>
        </w:tc>
        <w:tc>
          <w:tcPr>
            <w:tcW w:w="7503" w:type="dxa"/>
            <w:gridSpan w:val="3"/>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CCF5424">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政府、建设单位组织的承包商考评中获得优秀</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4FBE22D">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≦5000</w:t>
            </w:r>
          </w:p>
        </w:tc>
      </w:tr>
      <w:tr w14:paraId="7988E365">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79F9A80E">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w:t>
            </w:r>
          </w:p>
        </w:tc>
        <w:tc>
          <w:tcPr>
            <w:tcW w:w="7503" w:type="dxa"/>
            <w:gridSpan w:val="3"/>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1BB5D763">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加大投入力度，采用较行业更安全防护措施。</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9E51FC8">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34C0CE7C">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048FA01C">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4</w:t>
            </w:r>
          </w:p>
        </w:tc>
        <w:tc>
          <w:tcPr>
            <w:tcW w:w="7503" w:type="dxa"/>
            <w:gridSpan w:val="3"/>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5FC7100B">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率先创新实施有代表性并可广泛推广的安全措施</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0D7EAD68">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280365B4">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47E2C6BF">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w:t>
            </w:r>
          </w:p>
        </w:tc>
        <w:tc>
          <w:tcPr>
            <w:tcW w:w="7503" w:type="dxa"/>
            <w:gridSpan w:val="3"/>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502AB57A">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积极发现他方安全隐患、安全违章。</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1FE52525">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≦1000</w:t>
            </w:r>
          </w:p>
        </w:tc>
      </w:tr>
      <w:tr w14:paraId="72562EA2">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0C5EEBCE">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6</w:t>
            </w:r>
          </w:p>
        </w:tc>
        <w:tc>
          <w:tcPr>
            <w:tcW w:w="7503" w:type="dxa"/>
            <w:gridSpan w:val="3"/>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85B81E3">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为业主方提供安全合理化管理建议并被采纳，组织开展安全规范化创建活动并取得良好效果。</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329980D1">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5E781ED6">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253BCD71">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7</w:t>
            </w:r>
          </w:p>
        </w:tc>
        <w:tc>
          <w:tcPr>
            <w:tcW w:w="7503" w:type="dxa"/>
            <w:gridSpan w:val="3"/>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0A97190D">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施工现场安全文明受到政府主管部门、建设单位高层领导表彰</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4238211E">
            <w:pPr>
              <w:widowControl/>
              <w:jc w:val="left"/>
              <w:textAlignment w:val="center"/>
              <w:rPr>
                <w:rFonts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14:paraId="5F96BEC6">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55FA8A50">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8</w:t>
            </w:r>
          </w:p>
        </w:tc>
        <w:tc>
          <w:tcPr>
            <w:tcW w:w="7503" w:type="dxa"/>
            <w:gridSpan w:val="3"/>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B9AC3DE">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积极保护建设单位资产，减少损失，采取措施，为建设单位节约投资。</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443C83E7">
            <w:pPr>
              <w:widowControl/>
              <w:jc w:val="left"/>
              <w:textAlignment w:val="center"/>
              <w:rPr>
                <w:rFonts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14:paraId="00E65D53">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5F3A8A7F">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9</w:t>
            </w:r>
          </w:p>
        </w:tc>
        <w:tc>
          <w:tcPr>
            <w:tcW w:w="7503" w:type="dxa"/>
            <w:gridSpan w:val="3"/>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31CC61E">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积极配合处理建设单位生产、建设过程中的突发事件。</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2EFF070D">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≦10000</w:t>
            </w:r>
          </w:p>
        </w:tc>
      </w:tr>
      <w:tr w14:paraId="46996575">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0A067719">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10</w:t>
            </w:r>
          </w:p>
        </w:tc>
        <w:tc>
          <w:tcPr>
            <w:tcW w:w="7503" w:type="dxa"/>
            <w:gridSpan w:val="3"/>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106D5136">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积极清理非自身产生的垃圾，为项目非本单位人员提供场所安全防护、照明、指示、厕所、会议室、饮用水等生活、工作基础设施。</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83366B6">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1B6C02B2">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50E1C8EE">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11</w:t>
            </w:r>
          </w:p>
        </w:tc>
        <w:tc>
          <w:tcPr>
            <w:tcW w:w="7503" w:type="dxa"/>
            <w:gridSpan w:val="3"/>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460EC2FE">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获得“安全之星”的人员</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41F8B9BD">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≦200</w:t>
            </w:r>
          </w:p>
        </w:tc>
      </w:tr>
      <w:tr w14:paraId="49551F0C">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0A166EFE">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12</w:t>
            </w:r>
          </w:p>
        </w:tc>
        <w:tc>
          <w:tcPr>
            <w:tcW w:w="7503" w:type="dxa"/>
            <w:gridSpan w:val="3"/>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6FC8AD8">
            <w:pPr>
              <w:widowControl/>
              <w:jc w:val="left"/>
              <w:textAlignment w:val="center"/>
              <w:rPr>
                <w:rFonts w:ascii="等线" w:hAnsi="等线" w:eastAsia="等线" w:cs="等线"/>
                <w:color w:val="0000FF"/>
                <w:kern w:val="0"/>
                <w:sz w:val="22"/>
                <w:szCs w:val="22"/>
                <w:lang w:bidi="ar"/>
              </w:rPr>
            </w:pPr>
            <w:r>
              <w:rPr>
                <w:rFonts w:hint="eastAsia" w:ascii="等线" w:hAnsi="等线" w:eastAsia="等线" w:cs="等线"/>
                <w:color w:val="0000FF"/>
                <w:sz w:val="22"/>
                <w:szCs w:val="22"/>
              </w:rPr>
              <w:t>安全生产 “吹哨人” 及时、准确报告内部安全隐患</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6CE09597">
            <w:pPr>
              <w:widowControl/>
              <w:jc w:val="left"/>
              <w:textAlignment w:val="center"/>
              <w:rPr>
                <w:rFonts w:ascii="等线" w:hAnsi="等线" w:eastAsia="等线" w:cs="等线"/>
                <w:color w:val="0000FF"/>
                <w:kern w:val="0"/>
                <w:sz w:val="22"/>
                <w:szCs w:val="22"/>
                <w:lang w:bidi="ar"/>
              </w:rPr>
            </w:pPr>
            <w:r>
              <w:rPr>
                <w:rFonts w:hint="eastAsia" w:ascii="等线" w:hAnsi="等线" w:eastAsia="等线" w:cs="等线"/>
                <w:color w:val="0000FF"/>
                <w:kern w:val="0"/>
                <w:sz w:val="22"/>
                <w:szCs w:val="22"/>
                <w:lang w:bidi="ar"/>
              </w:rPr>
              <w:t>按经安环部审核金额的10%</w:t>
            </w:r>
          </w:p>
        </w:tc>
      </w:tr>
      <w:tr w14:paraId="38046700">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3F351FBB">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13</w:t>
            </w:r>
          </w:p>
        </w:tc>
        <w:tc>
          <w:tcPr>
            <w:tcW w:w="2244"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1209B65C">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运行维护单位</w:t>
            </w:r>
          </w:p>
        </w:tc>
        <w:tc>
          <w:tcPr>
            <w:tcW w:w="2692"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496865BB">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累计无事故工时≧10万小时</w:t>
            </w:r>
          </w:p>
        </w:tc>
        <w:tc>
          <w:tcPr>
            <w:tcW w:w="256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79CB3B67">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火灾、环保、微伤事故为零</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21F2D50B">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5000</w:t>
            </w:r>
          </w:p>
        </w:tc>
      </w:tr>
      <w:tr w14:paraId="4B432681">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637E5AD9">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14</w:t>
            </w:r>
          </w:p>
        </w:tc>
        <w:tc>
          <w:tcPr>
            <w:tcW w:w="2244"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0F908721">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检维修单位</w:t>
            </w:r>
          </w:p>
        </w:tc>
        <w:tc>
          <w:tcPr>
            <w:tcW w:w="2692"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7A0A64B6">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累计建安费≧1000万元</w:t>
            </w:r>
          </w:p>
        </w:tc>
        <w:tc>
          <w:tcPr>
            <w:tcW w:w="256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12839C3A">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火灾、环保、微伤事故为零</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0D3E2768">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20000</w:t>
            </w:r>
          </w:p>
        </w:tc>
      </w:tr>
      <w:tr w14:paraId="2844CE86">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22EA018A">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15</w:t>
            </w:r>
          </w:p>
        </w:tc>
        <w:tc>
          <w:tcPr>
            <w:tcW w:w="2244" w:type="dxa"/>
            <w:vMerge w:val="restart"/>
            <w:tcBorders>
              <w:top w:val="single" w:color="000000" w:sz="4" w:space="0"/>
              <w:left w:val="single" w:color="auto" w:sz="4" w:space="0"/>
              <w:right w:val="single" w:color="auto" w:sz="4" w:space="0"/>
            </w:tcBorders>
            <w:tcMar>
              <w:top w:w="15" w:type="dxa"/>
              <w:left w:w="15" w:type="dxa"/>
              <w:bottom w:w="15" w:type="dxa"/>
              <w:right w:w="15" w:type="dxa"/>
            </w:tcMar>
            <w:vAlign w:val="center"/>
          </w:tcPr>
          <w:p w14:paraId="5D06844C">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工程项目土建、安装单位</w:t>
            </w:r>
          </w:p>
        </w:tc>
        <w:tc>
          <w:tcPr>
            <w:tcW w:w="2692"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1B6094CA">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200万元≦建安费用Y≦1000万元</w:t>
            </w:r>
          </w:p>
        </w:tc>
        <w:tc>
          <w:tcPr>
            <w:tcW w:w="256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0C52D3C">
            <w:pPr>
              <w:tabs>
                <w:tab w:val="center" w:pos="4201"/>
                <w:tab w:val="right" w:leader="dot" w:pos="9298"/>
              </w:tabs>
              <w:autoSpaceDE w:val="0"/>
              <w:autoSpaceDN w:val="0"/>
              <w:rPr>
                <w:rFonts w:ascii="等线" w:hAnsi="等线" w:eastAsia="等线" w:cs="等线"/>
                <w:sz w:val="22"/>
                <w:szCs w:val="22"/>
              </w:rPr>
            </w:pPr>
            <w:r>
              <w:rPr>
                <w:rFonts w:hint="eastAsia" w:ascii="等线" w:hAnsi="等线" w:eastAsia="等线" w:cs="等线"/>
                <w:sz w:val="22"/>
                <w:szCs w:val="22"/>
              </w:rPr>
              <w:t>火灾、环保、微伤事故为零</w:t>
            </w:r>
          </w:p>
          <w:p w14:paraId="050E66CD">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项目安全环保综合评价80分以上</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173C0EC2">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20000</w:t>
            </w:r>
          </w:p>
        </w:tc>
      </w:tr>
      <w:tr w14:paraId="71DB78B8">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4F98B035">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16</w:t>
            </w:r>
          </w:p>
        </w:tc>
        <w:tc>
          <w:tcPr>
            <w:tcW w:w="2244" w:type="dxa"/>
            <w:vMerge w:val="continue"/>
            <w:tcBorders>
              <w:left w:val="single" w:color="auto" w:sz="4" w:space="0"/>
              <w:right w:val="single" w:color="auto" w:sz="4" w:space="0"/>
            </w:tcBorders>
            <w:tcMar>
              <w:top w:w="15" w:type="dxa"/>
              <w:left w:w="15" w:type="dxa"/>
              <w:bottom w:w="15" w:type="dxa"/>
              <w:right w:w="15" w:type="dxa"/>
            </w:tcMar>
            <w:vAlign w:val="center"/>
          </w:tcPr>
          <w:p w14:paraId="4018AA61">
            <w:pPr>
              <w:widowControl/>
              <w:jc w:val="left"/>
              <w:textAlignment w:val="center"/>
              <w:rPr>
                <w:rFonts w:ascii="等线" w:hAnsi="等线" w:eastAsia="等线" w:cs="等线"/>
                <w:kern w:val="0"/>
                <w:sz w:val="22"/>
                <w:szCs w:val="22"/>
                <w:lang w:bidi="ar"/>
              </w:rPr>
            </w:pPr>
          </w:p>
        </w:tc>
        <w:tc>
          <w:tcPr>
            <w:tcW w:w="2692"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443D4469">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1000万元≦建安费用Y≦3000万元</w:t>
            </w:r>
          </w:p>
        </w:tc>
        <w:tc>
          <w:tcPr>
            <w:tcW w:w="256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4E3FD224">
            <w:pPr>
              <w:tabs>
                <w:tab w:val="center" w:pos="4201"/>
                <w:tab w:val="right" w:leader="dot" w:pos="9298"/>
              </w:tabs>
              <w:autoSpaceDE w:val="0"/>
              <w:autoSpaceDN w:val="0"/>
              <w:rPr>
                <w:rFonts w:ascii="等线" w:hAnsi="等线" w:eastAsia="等线" w:cs="等线"/>
                <w:sz w:val="22"/>
                <w:szCs w:val="22"/>
              </w:rPr>
            </w:pPr>
            <w:r>
              <w:rPr>
                <w:rFonts w:hint="eastAsia" w:ascii="等线" w:hAnsi="等线" w:eastAsia="等线" w:cs="等线"/>
                <w:sz w:val="22"/>
                <w:szCs w:val="22"/>
              </w:rPr>
              <w:t>火灾、环保、微伤事故为零</w:t>
            </w:r>
          </w:p>
          <w:p w14:paraId="228F1216">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项目安全环保综合评价80分以上</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45291EFC">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50000</w:t>
            </w:r>
          </w:p>
        </w:tc>
      </w:tr>
      <w:tr w14:paraId="0EF03421">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658365E4">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17</w:t>
            </w:r>
          </w:p>
        </w:tc>
        <w:tc>
          <w:tcPr>
            <w:tcW w:w="2244" w:type="dxa"/>
            <w:vMerge w:val="continue"/>
            <w:tcBorders>
              <w:left w:val="single" w:color="auto" w:sz="4" w:space="0"/>
              <w:right w:val="single" w:color="auto" w:sz="4" w:space="0"/>
            </w:tcBorders>
            <w:tcMar>
              <w:top w:w="15" w:type="dxa"/>
              <w:left w:w="15" w:type="dxa"/>
              <w:bottom w:w="15" w:type="dxa"/>
              <w:right w:w="15" w:type="dxa"/>
            </w:tcMar>
            <w:vAlign w:val="center"/>
          </w:tcPr>
          <w:p w14:paraId="27220791">
            <w:pPr>
              <w:widowControl/>
              <w:jc w:val="left"/>
              <w:textAlignment w:val="center"/>
              <w:rPr>
                <w:rFonts w:ascii="等线" w:hAnsi="等线" w:eastAsia="等线" w:cs="等线"/>
                <w:kern w:val="0"/>
                <w:sz w:val="22"/>
                <w:szCs w:val="22"/>
                <w:lang w:bidi="ar"/>
              </w:rPr>
            </w:pPr>
          </w:p>
        </w:tc>
        <w:tc>
          <w:tcPr>
            <w:tcW w:w="2692"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90A0F94">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3000万元≦建安费用Y≦1亿元</w:t>
            </w:r>
          </w:p>
        </w:tc>
        <w:tc>
          <w:tcPr>
            <w:tcW w:w="256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57E2371">
            <w:pPr>
              <w:tabs>
                <w:tab w:val="center" w:pos="4201"/>
                <w:tab w:val="right" w:leader="dot" w:pos="9298"/>
              </w:tabs>
              <w:autoSpaceDE w:val="0"/>
              <w:autoSpaceDN w:val="0"/>
              <w:rPr>
                <w:rFonts w:ascii="等线" w:hAnsi="等线" w:eastAsia="等线" w:cs="等线"/>
                <w:sz w:val="22"/>
                <w:szCs w:val="22"/>
              </w:rPr>
            </w:pPr>
            <w:r>
              <w:rPr>
                <w:rFonts w:hint="eastAsia" w:ascii="等线" w:hAnsi="等线" w:eastAsia="等线" w:cs="等线"/>
                <w:sz w:val="22"/>
                <w:szCs w:val="22"/>
              </w:rPr>
              <w:t>微伤送医事故≦1起，火灾、环保、轻微伤及以上事故为零</w:t>
            </w:r>
          </w:p>
          <w:p w14:paraId="195BDE26">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项目安全环保综合评价80分以上</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CA04F31">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100000</w:t>
            </w:r>
          </w:p>
        </w:tc>
      </w:tr>
      <w:tr w14:paraId="6618F6F7">
        <w:tblPrEx>
          <w:tblCellMar>
            <w:top w:w="0" w:type="dxa"/>
            <w:left w:w="108" w:type="dxa"/>
            <w:bottom w:w="0" w:type="dxa"/>
            <w:right w:w="108" w:type="dxa"/>
          </w:tblCellMar>
        </w:tblPrEx>
        <w:trPr>
          <w:trHeight w:val="170" w:hRule="atLeast"/>
        </w:trPr>
        <w:tc>
          <w:tcPr>
            <w:tcW w:w="69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59D8A9EE">
            <w:pPr>
              <w:widowControl/>
              <w:jc w:val="center"/>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18</w:t>
            </w:r>
          </w:p>
        </w:tc>
        <w:tc>
          <w:tcPr>
            <w:tcW w:w="2244" w:type="dxa"/>
            <w:vMerge w:val="continue"/>
            <w:tcBorders>
              <w:left w:val="single" w:color="auto" w:sz="4" w:space="0"/>
              <w:bottom w:val="single" w:color="000000" w:sz="4" w:space="0"/>
              <w:right w:val="single" w:color="auto" w:sz="4" w:space="0"/>
            </w:tcBorders>
            <w:tcMar>
              <w:top w:w="15" w:type="dxa"/>
              <w:left w:w="15" w:type="dxa"/>
              <w:bottom w:w="15" w:type="dxa"/>
              <w:right w:w="15" w:type="dxa"/>
            </w:tcMar>
            <w:vAlign w:val="center"/>
          </w:tcPr>
          <w:p w14:paraId="4B3A73AF">
            <w:pPr>
              <w:widowControl/>
              <w:jc w:val="left"/>
              <w:textAlignment w:val="center"/>
              <w:rPr>
                <w:rFonts w:ascii="等线" w:hAnsi="等线" w:eastAsia="等线" w:cs="等线"/>
                <w:kern w:val="0"/>
                <w:sz w:val="22"/>
                <w:szCs w:val="22"/>
                <w:lang w:bidi="ar"/>
              </w:rPr>
            </w:pPr>
          </w:p>
        </w:tc>
        <w:tc>
          <w:tcPr>
            <w:tcW w:w="2692"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19DF00FB">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1亿元≦建安费用Y≦3亿元</w:t>
            </w:r>
          </w:p>
        </w:tc>
        <w:tc>
          <w:tcPr>
            <w:tcW w:w="2567"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0C09AA1A">
            <w:pPr>
              <w:tabs>
                <w:tab w:val="center" w:pos="4201"/>
                <w:tab w:val="right" w:leader="dot" w:pos="9298"/>
              </w:tabs>
              <w:autoSpaceDE w:val="0"/>
              <w:autoSpaceDN w:val="0"/>
              <w:rPr>
                <w:rFonts w:ascii="等线" w:hAnsi="等线" w:eastAsia="等线" w:cs="等线"/>
                <w:sz w:val="22"/>
                <w:szCs w:val="22"/>
              </w:rPr>
            </w:pPr>
            <w:r>
              <w:rPr>
                <w:rFonts w:hint="eastAsia" w:ascii="等线" w:hAnsi="等线" w:eastAsia="等线" w:cs="等线"/>
                <w:sz w:val="22"/>
                <w:szCs w:val="22"/>
              </w:rPr>
              <w:t>微伤送医事故≦2起，火灾、环保、轻微伤及以上事故为零</w:t>
            </w:r>
          </w:p>
          <w:p w14:paraId="089D12E0">
            <w:pPr>
              <w:widowControl/>
              <w:jc w:val="left"/>
              <w:textAlignment w:val="center"/>
              <w:rPr>
                <w:rFonts w:ascii="等线" w:hAnsi="等线" w:eastAsia="等线" w:cs="等线"/>
                <w:kern w:val="0"/>
                <w:sz w:val="22"/>
                <w:szCs w:val="22"/>
                <w:lang w:bidi="ar"/>
              </w:rPr>
            </w:pPr>
            <w:r>
              <w:rPr>
                <w:rFonts w:hint="eastAsia" w:ascii="等线" w:hAnsi="等线" w:eastAsia="等线" w:cs="等线"/>
                <w:sz w:val="22"/>
                <w:szCs w:val="22"/>
              </w:rPr>
              <w:t>项目安全环保综合评价80分以上</w:t>
            </w:r>
          </w:p>
        </w:tc>
        <w:tc>
          <w:tcPr>
            <w:tcW w:w="136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7CAE8DD4">
            <w:pPr>
              <w:widowControl/>
              <w:jc w:val="left"/>
              <w:textAlignment w:val="center"/>
              <w:rPr>
                <w:rFonts w:ascii="等线" w:hAnsi="等线" w:eastAsia="等线" w:cs="等线"/>
                <w:kern w:val="0"/>
                <w:sz w:val="22"/>
                <w:szCs w:val="22"/>
                <w:lang w:bidi="ar"/>
              </w:rPr>
            </w:pPr>
            <w:r>
              <w:rPr>
                <w:rFonts w:hint="eastAsia" w:ascii="等线" w:hAnsi="等线" w:eastAsia="等线" w:cs="等线"/>
                <w:kern w:val="0"/>
                <w:sz w:val="22"/>
                <w:szCs w:val="22"/>
                <w:lang w:bidi="ar"/>
              </w:rPr>
              <w:t>300000</w:t>
            </w:r>
          </w:p>
        </w:tc>
      </w:tr>
    </w:tbl>
    <w:p w14:paraId="3EF43E88">
      <w:pPr>
        <w:pStyle w:val="64"/>
        <w:spacing w:before="0" w:after="0" w:line="360" w:lineRule="auto"/>
        <w:rPr>
          <w:rFonts w:ascii="宋体" w:hAnsi="宋体" w:eastAsia="宋体" w:cs="宋体"/>
          <w:sz w:val="24"/>
          <w:szCs w:val="24"/>
        </w:rPr>
      </w:pPr>
    </w:p>
    <w:p w14:paraId="5E2CFD3E">
      <w:pPr>
        <w:pStyle w:val="64"/>
        <w:spacing w:before="0" w:after="0" w:line="360" w:lineRule="auto"/>
        <w:jc w:val="center"/>
        <w:rPr>
          <w:rFonts w:ascii="宋体" w:hAnsi="宋体" w:eastAsia="宋体" w:cs="宋体"/>
          <w:b/>
          <w:bCs/>
          <w:sz w:val="24"/>
          <w:szCs w:val="24"/>
        </w:rPr>
      </w:pPr>
    </w:p>
    <w:p w14:paraId="0423B9C4">
      <w:pPr>
        <w:pStyle w:val="64"/>
        <w:spacing w:before="0" w:after="0" w:line="360" w:lineRule="auto"/>
        <w:jc w:val="center"/>
        <w:rPr>
          <w:rFonts w:ascii="宋体" w:hAnsi="宋体" w:eastAsia="宋体" w:cs="宋体"/>
          <w:b/>
          <w:bCs/>
          <w:sz w:val="24"/>
          <w:szCs w:val="24"/>
        </w:rPr>
      </w:pPr>
    </w:p>
    <w:p w14:paraId="6017D349">
      <w:pPr>
        <w:pStyle w:val="64"/>
        <w:spacing w:before="0" w:after="0" w:line="360" w:lineRule="auto"/>
        <w:ind w:firstLine="3373" w:firstLineChars="1400"/>
        <w:jc w:val="both"/>
        <w:rPr>
          <w:rFonts w:ascii="微软雅黑" w:hAnsi="微软雅黑" w:eastAsia="微软雅黑" w:cs="微软雅黑"/>
          <w:b/>
          <w:bCs/>
          <w:spacing w:val="25"/>
          <w:position w:val="-1"/>
          <w:sz w:val="35"/>
          <w:szCs w:val="35"/>
        </w:rPr>
      </w:pPr>
      <w:r>
        <w:rPr>
          <w:rFonts w:hint="eastAsia" w:ascii="宋体" w:hAnsi="宋体" w:eastAsia="宋体" w:cs="宋体"/>
          <w:b/>
          <w:bCs/>
          <w:sz w:val="24"/>
          <w:szCs w:val="24"/>
        </w:rPr>
        <w:t>附件3：承包商评价表</w:t>
      </w:r>
    </w:p>
    <w:p w14:paraId="57548D72">
      <w:pPr>
        <w:spacing w:before="178" w:line="351" w:lineRule="exact"/>
        <w:jc w:val="center"/>
        <w:outlineLvl w:val="1"/>
        <w:rPr>
          <w:rFonts w:ascii="Arial"/>
        </w:rPr>
      </w:pPr>
      <w:r>
        <w:rPr>
          <w:rFonts w:ascii="微软雅黑" w:hAnsi="微软雅黑" w:eastAsia="微软雅黑" w:cs="微软雅黑"/>
          <w:spacing w:val="25"/>
          <w:position w:val="-1"/>
          <w:sz w:val="35"/>
          <w:szCs w:val="35"/>
        </w:rPr>
        <w:t>承包商评价表</w:t>
      </w:r>
    </w:p>
    <w:p w14:paraId="23A93C8B">
      <w:pPr>
        <w:pStyle w:val="8"/>
        <w:spacing w:before="91" w:line="216" w:lineRule="auto"/>
        <w:ind w:left="694"/>
        <w:rPr>
          <w:sz w:val="28"/>
          <w:szCs w:val="28"/>
        </w:rPr>
      </w:pPr>
      <w:r>
        <w:rPr>
          <w:spacing w:val="-2"/>
          <w:sz w:val="28"/>
          <w:szCs w:val="28"/>
        </w:rPr>
        <w:t>承包商名称：</w:t>
      </w:r>
    </w:p>
    <w:p w14:paraId="5CEE6039">
      <w:pPr>
        <w:spacing w:line="22" w:lineRule="exact"/>
      </w:pPr>
    </w:p>
    <w:tbl>
      <w:tblPr>
        <w:tblStyle w:val="66"/>
        <w:tblW w:w="9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035"/>
        <w:gridCol w:w="4163"/>
        <w:gridCol w:w="671"/>
        <w:gridCol w:w="731"/>
        <w:gridCol w:w="1778"/>
      </w:tblGrid>
      <w:tr w14:paraId="7356C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79" w:type="dxa"/>
          </w:tcPr>
          <w:p w14:paraId="5DA24F0D">
            <w:pPr>
              <w:pStyle w:val="65"/>
              <w:spacing w:before="253" w:line="241" w:lineRule="auto"/>
              <w:ind w:left="162" w:right="147" w:hanging="7"/>
            </w:pPr>
            <w:r>
              <w:rPr>
                <w:spacing w:val="-5"/>
              </w:rPr>
              <w:t>评价</w:t>
            </w:r>
            <w:r>
              <w:rPr>
                <w:spacing w:val="-9"/>
              </w:rPr>
              <w:t>维度</w:t>
            </w:r>
          </w:p>
        </w:tc>
        <w:tc>
          <w:tcPr>
            <w:tcW w:w="1035" w:type="dxa"/>
          </w:tcPr>
          <w:p w14:paraId="194FC032">
            <w:pPr>
              <w:pStyle w:val="65"/>
              <w:spacing w:before="254" w:line="241" w:lineRule="auto"/>
              <w:ind w:left="401" w:right="155" w:hanging="238"/>
            </w:pPr>
            <w:r>
              <w:rPr>
                <w:spacing w:val="-4"/>
              </w:rPr>
              <w:t>评价指</w:t>
            </w:r>
            <w:r>
              <w:t>标</w:t>
            </w:r>
          </w:p>
        </w:tc>
        <w:tc>
          <w:tcPr>
            <w:tcW w:w="4163" w:type="dxa"/>
          </w:tcPr>
          <w:p w14:paraId="58781D4D">
            <w:pPr>
              <w:spacing w:line="329" w:lineRule="auto"/>
              <w:rPr>
                <w:rFonts w:ascii="Arial"/>
              </w:rPr>
            </w:pPr>
          </w:p>
          <w:p w14:paraId="0D6F39B7">
            <w:pPr>
              <w:pStyle w:val="65"/>
              <w:spacing w:before="78" w:line="217" w:lineRule="auto"/>
              <w:ind w:left="1007"/>
            </w:pPr>
            <w:r>
              <w:rPr>
                <w:spacing w:val="-2"/>
              </w:rPr>
              <w:t>评价内容与评分标准</w:t>
            </w:r>
          </w:p>
        </w:tc>
        <w:tc>
          <w:tcPr>
            <w:tcW w:w="671" w:type="dxa"/>
            <w:textDirection w:val="tbRlV"/>
          </w:tcPr>
          <w:p w14:paraId="4052A1DB">
            <w:pPr>
              <w:pStyle w:val="65"/>
              <w:spacing w:before="210" w:line="208" w:lineRule="auto"/>
              <w:ind w:left="97"/>
            </w:pPr>
            <w:r>
              <w:rPr>
                <w:spacing w:val="47"/>
              </w:rPr>
              <w:t>标准分</w:t>
            </w:r>
          </w:p>
        </w:tc>
        <w:tc>
          <w:tcPr>
            <w:tcW w:w="731" w:type="dxa"/>
            <w:textDirection w:val="tbRlV"/>
            <w:vAlign w:val="center"/>
          </w:tcPr>
          <w:p w14:paraId="79C3788D">
            <w:pPr>
              <w:pStyle w:val="65"/>
              <w:spacing w:before="121" w:line="205" w:lineRule="auto"/>
              <w:ind w:left="253"/>
            </w:pPr>
            <w:r>
              <w:rPr>
                <w:spacing w:val="-1"/>
              </w:rPr>
              <w:t>得</w:t>
            </w:r>
            <w:r>
              <w:rPr>
                <w:spacing w:val="-47"/>
              </w:rPr>
              <w:t xml:space="preserve"> </w:t>
            </w:r>
            <w:r>
              <w:rPr>
                <w:spacing w:val="-1"/>
              </w:rPr>
              <w:t>分</w:t>
            </w:r>
          </w:p>
        </w:tc>
        <w:tc>
          <w:tcPr>
            <w:tcW w:w="1778" w:type="dxa"/>
          </w:tcPr>
          <w:p w14:paraId="44C139E9">
            <w:pPr>
              <w:spacing w:line="329" w:lineRule="auto"/>
              <w:rPr>
                <w:rFonts w:ascii="Arial"/>
              </w:rPr>
            </w:pPr>
          </w:p>
          <w:p w14:paraId="6351B7EF">
            <w:pPr>
              <w:pStyle w:val="65"/>
              <w:spacing w:before="78" w:line="217" w:lineRule="auto"/>
              <w:ind w:left="535"/>
            </w:pPr>
            <w:r>
              <w:rPr>
                <w:spacing w:val="-3"/>
              </w:rPr>
              <w:t>评分说明</w:t>
            </w:r>
          </w:p>
        </w:tc>
      </w:tr>
      <w:tr w14:paraId="08AA0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79" w:type="dxa"/>
            <w:vMerge w:val="restart"/>
            <w:tcBorders>
              <w:bottom w:val="nil"/>
            </w:tcBorders>
          </w:tcPr>
          <w:p w14:paraId="1AB1375E">
            <w:pPr>
              <w:spacing w:line="260" w:lineRule="auto"/>
              <w:rPr>
                <w:rFonts w:ascii="Arial"/>
              </w:rPr>
            </w:pPr>
          </w:p>
          <w:p w14:paraId="3EB01CBF">
            <w:pPr>
              <w:spacing w:line="260" w:lineRule="auto"/>
              <w:rPr>
                <w:rFonts w:ascii="Arial"/>
              </w:rPr>
            </w:pPr>
          </w:p>
          <w:p w14:paraId="4BE13A88">
            <w:pPr>
              <w:spacing w:line="260" w:lineRule="auto"/>
              <w:rPr>
                <w:rFonts w:ascii="Arial"/>
              </w:rPr>
            </w:pPr>
          </w:p>
          <w:p w14:paraId="62FDA762">
            <w:pPr>
              <w:spacing w:line="260" w:lineRule="auto"/>
              <w:rPr>
                <w:rFonts w:ascii="Arial"/>
              </w:rPr>
            </w:pPr>
          </w:p>
          <w:p w14:paraId="26AFF147">
            <w:pPr>
              <w:pStyle w:val="65"/>
              <w:spacing w:before="78" w:line="241" w:lineRule="auto"/>
              <w:ind w:left="156" w:right="147" w:firstLine="14"/>
            </w:pPr>
            <w:r>
              <w:rPr>
                <w:spacing w:val="-9"/>
              </w:rPr>
              <w:t>1.资</w:t>
            </w:r>
            <w:r>
              <w:rPr>
                <w:spacing w:val="-6"/>
              </w:rPr>
              <w:t>质与合规</w:t>
            </w:r>
            <w:r>
              <w:rPr>
                <w:spacing w:val="16"/>
              </w:rPr>
              <w:t>(15</w:t>
            </w:r>
            <w:r>
              <w:rPr>
                <w:spacing w:val="24"/>
              </w:rPr>
              <w:t>分)</w:t>
            </w:r>
          </w:p>
        </w:tc>
        <w:tc>
          <w:tcPr>
            <w:tcW w:w="1035" w:type="dxa"/>
          </w:tcPr>
          <w:p w14:paraId="78CB37F2">
            <w:pPr>
              <w:pStyle w:val="65"/>
              <w:spacing w:before="96"/>
              <w:ind w:left="164" w:right="155" w:firstLine="42"/>
            </w:pPr>
            <w:r>
              <w:rPr>
                <w:spacing w:val="-12"/>
              </w:rPr>
              <w:t>1.1</w:t>
            </w:r>
            <w:r>
              <w:rPr>
                <w:spacing w:val="-38"/>
              </w:rPr>
              <w:t xml:space="preserve"> </w:t>
            </w:r>
            <w:r>
              <w:rPr>
                <w:spacing w:val="-12"/>
              </w:rPr>
              <w:t>资</w:t>
            </w:r>
            <w:r>
              <w:rPr>
                <w:spacing w:val="-4"/>
              </w:rPr>
              <w:t>质证照</w:t>
            </w:r>
          </w:p>
          <w:p w14:paraId="6FDB0C19">
            <w:pPr>
              <w:pStyle w:val="65"/>
              <w:spacing w:before="1" w:line="214" w:lineRule="auto"/>
              <w:ind w:left="169"/>
            </w:pPr>
            <w:r>
              <w:rPr>
                <w:spacing w:val="-6"/>
              </w:rPr>
              <w:t>有效性</w:t>
            </w:r>
          </w:p>
        </w:tc>
        <w:tc>
          <w:tcPr>
            <w:tcW w:w="4163" w:type="dxa"/>
          </w:tcPr>
          <w:p w14:paraId="2850811E">
            <w:pPr>
              <w:pStyle w:val="65"/>
              <w:spacing w:before="94" w:line="236" w:lineRule="auto"/>
              <w:ind w:left="132" w:right="49" w:firstLine="8"/>
              <w:rPr>
                <w:lang w:eastAsia="zh-CN"/>
              </w:rPr>
            </w:pPr>
            <w:r>
              <w:rPr>
                <w:spacing w:val="-2"/>
                <w:lang w:eastAsia="zh-CN"/>
              </w:rPr>
              <w:t>营业执照、资质证书、安全生产许可证等齐全有效，并在许可范围内开展</w:t>
            </w:r>
            <w:r>
              <w:rPr>
                <w:spacing w:val="-8"/>
                <w:lang w:eastAsia="zh-CN"/>
              </w:rPr>
              <w:t>业务。一项不符合扣</w:t>
            </w:r>
            <w:r>
              <w:rPr>
                <w:spacing w:val="-41"/>
                <w:lang w:eastAsia="zh-CN"/>
              </w:rPr>
              <w:t xml:space="preserve"> </w:t>
            </w:r>
            <w:r>
              <w:rPr>
                <w:spacing w:val="-8"/>
                <w:lang w:eastAsia="zh-CN"/>
              </w:rPr>
              <w:t>2</w:t>
            </w:r>
            <w:r>
              <w:rPr>
                <w:spacing w:val="-49"/>
                <w:lang w:eastAsia="zh-CN"/>
              </w:rPr>
              <w:t xml:space="preserve"> </w:t>
            </w:r>
            <w:r>
              <w:rPr>
                <w:spacing w:val="-8"/>
                <w:lang w:eastAsia="zh-CN"/>
              </w:rPr>
              <w:t>分，扣完为止。</w:t>
            </w:r>
          </w:p>
        </w:tc>
        <w:tc>
          <w:tcPr>
            <w:tcW w:w="671" w:type="dxa"/>
          </w:tcPr>
          <w:p w14:paraId="45D46ECF">
            <w:pPr>
              <w:spacing w:line="328" w:lineRule="auto"/>
              <w:rPr>
                <w:rFonts w:ascii="Arial"/>
              </w:rPr>
            </w:pPr>
          </w:p>
          <w:p w14:paraId="1ED8C109">
            <w:pPr>
              <w:pStyle w:val="65"/>
              <w:spacing w:before="78" w:line="236" w:lineRule="auto"/>
              <w:ind w:left="296"/>
            </w:pPr>
            <w:r>
              <w:t>5</w:t>
            </w:r>
          </w:p>
        </w:tc>
        <w:tc>
          <w:tcPr>
            <w:tcW w:w="731" w:type="dxa"/>
            <w:vAlign w:val="center"/>
          </w:tcPr>
          <w:p w14:paraId="08831C34">
            <w:pPr>
              <w:rPr>
                <w:rFonts w:ascii="Arial"/>
              </w:rPr>
            </w:pPr>
          </w:p>
        </w:tc>
        <w:tc>
          <w:tcPr>
            <w:tcW w:w="1778" w:type="dxa"/>
          </w:tcPr>
          <w:p w14:paraId="6BBB99A2">
            <w:pPr>
              <w:rPr>
                <w:rFonts w:ascii="Arial"/>
              </w:rPr>
            </w:pPr>
          </w:p>
        </w:tc>
      </w:tr>
      <w:tr w14:paraId="7CC84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779" w:type="dxa"/>
            <w:vMerge w:val="continue"/>
            <w:tcBorders>
              <w:top w:val="nil"/>
              <w:bottom w:val="nil"/>
            </w:tcBorders>
          </w:tcPr>
          <w:p w14:paraId="26FBF883">
            <w:pPr>
              <w:rPr>
                <w:rFonts w:ascii="Arial"/>
              </w:rPr>
            </w:pPr>
          </w:p>
        </w:tc>
        <w:tc>
          <w:tcPr>
            <w:tcW w:w="1035" w:type="dxa"/>
          </w:tcPr>
          <w:p w14:paraId="5D56CF86">
            <w:pPr>
              <w:pStyle w:val="65"/>
              <w:spacing w:before="252" w:line="219" w:lineRule="auto"/>
              <w:ind w:left="207"/>
            </w:pPr>
            <w:r>
              <w:rPr>
                <w:spacing w:val="-7"/>
              </w:rPr>
              <w:t>1.2</w:t>
            </w:r>
            <w:r>
              <w:rPr>
                <w:spacing w:val="-38"/>
              </w:rPr>
              <w:t xml:space="preserve"> </w:t>
            </w:r>
            <w:r>
              <w:rPr>
                <w:spacing w:val="-7"/>
              </w:rPr>
              <w:t>关</w:t>
            </w:r>
          </w:p>
          <w:p w14:paraId="4037F3BB">
            <w:pPr>
              <w:pStyle w:val="65"/>
              <w:spacing w:before="27" w:line="216" w:lineRule="auto"/>
              <w:ind w:left="158"/>
            </w:pPr>
            <w:r>
              <w:rPr>
                <w:spacing w:val="-2"/>
              </w:rPr>
              <w:t>键岗位</w:t>
            </w:r>
          </w:p>
          <w:p w14:paraId="5AE1BF05">
            <w:pPr>
              <w:pStyle w:val="65"/>
              <w:spacing w:before="30" w:line="217" w:lineRule="auto"/>
              <w:ind w:left="286"/>
            </w:pPr>
            <w:r>
              <w:rPr>
                <w:spacing w:val="-7"/>
              </w:rPr>
              <w:t>持证</w:t>
            </w:r>
          </w:p>
        </w:tc>
        <w:tc>
          <w:tcPr>
            <w:tcW w:w="4163" w:type="dxa"/>
          </w:tcPr>
          <w:p w14:paraId="71B64717">
            <w:pPr>
              <w:pStyle w:val="65"/>
              <w:spacing w:before="94" w:line="237" w:lineRule="auto"/>
              <w:ind w:left="127" w:right="49" w:firstLine="7"/>
              <w:rPr>
                <w:lang w:eastAsia="zh-CN"/>
              </w:rPr>
            </w:pPr>
            <w:r>
              <w:rPr>
                <w:spacing w:val="-3"/>
                <w:lang w:eastAsia="zh-CN"/>
              </w:rPr>
              <w:t>主要负责人、安全管理人员</w:t>
            </w:r>
            <w:r>
              <w:rPr>
                <w:spacing w:val="-27"/>
                <w:lang w:eastAsia="zh-CN"/>
              </w:rPr>
              <w:t xml:space="preserve"> </w:t>
            </w:r>
            <w:r>
              <w:rPr>
                <w:spacing w:val="-3"/>
                <w:lang w:eastAsia="zh-CN"/>
              </w:rPr>
              <w:t>100%持有</w:t>
            </w:r>
            <w:r>
              <w:rPr>
                <w:spacing w:val="-1"/>
                <w:lang w:eastAsia="zh-CN"/>
              </w:rPr>
              <w:t>有效安全生产考核合格证；特种（设</w:t>
            </w:r>
            <w:r>
              <w:rPr>
                <w:spacing w:val="-10"/>
                <w:lang w:eastAsia="zh-CN"/>
              </w:rPr>
              <w:t>备）作业人员</w:t>
            </w:r>
            <w:r>
              <w:rPr>
                <w:spacing w:val="-31"/>
                <w:lang w:eastAsia="zh-CN"/>
              </w:rPr>
              <w:t xml:space="preserve"> </w:t>
            </w:r>
            <w:r>
              <w:rPr>
                <w:spacing w:val="-10"/>
                <w:lang w:eastAsia="zh-CN"/>
              </w:rPr>
              <w:t>100%持有效操作证上岗。</w:t>
            </w:r>
            <w:r>
              <w:rPr>
                <w:spacing w:val="-4"/>
                <w:lang w:eastAsia="zh-CN"/>
              </w:rPr>
              <w:t>一人不符合扣</w:t>
            </w:r>
            <w:r>
              <w:rPr>
                <w:spacing w:val="-29"/>
                <w:lang w:eastAsia="zh-CN"/>
              </w:rPr>
              <w:t xml:space="preserve"> </w:t>
            </w:r>
            <w:r>
              <w:rPr>
                <w:spacing w:val="-4"/>
                <w:lang w:eastAsia="zh-CN"/>
              </w:rPr>
              <w:t>2</w:t>
            </w:r>
            <w:r>
              <w:rPr>
                <w:spacing w:val="-49"/>
                <w:lang w:eastAsia="zh-CN"/>
              </w:rPr>
              <w:t xml:space="preserve"> </w:t>
            </w:r>
            <w:r>
              <w:rPr>
                <w:spacing w:val="-4"/>
                <w:lang w:eastAsia="zh-CN"/>
              </w:rPr>
              <w:t>分，扣完为止。</w:t>
            </w:r>
          </w:p>
        </w:tc>
        <w:tc>
          <w:tcPr>
            <w:tcW w:w="671" w:type="dxa"/>
          </w:tcPr>
          <w:p w14:paraId="4999E6E1">
            <w:pPr>
              <w:spacing w:line="241" w:lineRule="auto"/>
              <w:rPr>
                <w:rFonts w:ascii="Arial"/>
              </w:rPr>
            </w:pPr>
          </w:p>
          <w:p w14:paraId="365E1D49">
            <w:pPr>
              <w:spacing w:line="241" w:lineRule="auto"/>
              <w:rPr>
                <w:rFonts w:ascii="Arial"/>
              </w:rPr>
            </w:pPr>
          </w:p>
          <w:p w14:paraId="4B89251B">
            <w:pPr>
              <w:pStyle w:val="65"/>
              <w:spacing w:before="78" w:line="236" w:lineRule="auto"/>
              <w:ind w:left="296"/>
            </w:pPr>
            <w:r>
              <w:t>5</w:t>
            </w:r>
          </w:p>
        </w:tc>
        <w:tc>
          <w:tcPr>
            <w:tcW w:w="731" w:type="dxa"/>
            <w:vAlign w:val="center"/>
          </w:tcPr>
          <w:p w14:paraId="56F927E6">
            <w:pPr>
              <w:rPr>
                <w:rFonts w:ascii="Arial"/>
              </w:rPr>
            </w:pPr>
          </w:p>
        </w:tc>
        <w:tc>
          <w:tcPr>
            <w:tcW w:w="1778" w:type="dxa"/>
          </w:tcPr>
          <w:p w14:paraId="75791C9F">
            <w:pPr>
              <w:rPr>
                <w:rFonts w:ascii="Arial"/>
              </w:rPr>
            </w:pPr>
          </w:p>
        </w:tc>
      </w:tr>
      <w:tr w14:paraId="25A44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779" w:type="dxa"/>
            <w:vMerge w:val="continue"/>
            <w:tcBorders>
              <w:top w:val="nil"/>
            </w:tcBorders>
          </w:tcPr>
          <w:p w14:paraId="6D597FF7">
            <w:pPr>
              <w:rPr>
                <w:rFonts w:ascii="Arial"/>
              </w:rPr>
            </w:pPr>
          </w:p>
        </w:tc>
        <w:tc>
          <w:tcPr>
            <w:tcW w:w="1035" w:type="dxa"/>
          </w:tcPr>
          <w:p w14:paraId="5B7FCBD3">
            <w:pPr>
              <w:pStyle w:val="65"/>
              <w:spacing w:before="253" w:line="241" w:lineRule="auto"/>
              <w:ind w:left="163" w:right="155" w:firstLine="43"/>
            </w:pPr>
            <w:r>
              <w:rPr>
                <w:spacing w:val="-10"/>
              </w:rPr>
              <w:t>1.3</w:t>
            </w:r>
            <w:r>
              <w:rPr>
                <w:spacing w:val="-46"/>
              </w:rPr>
              <w:t xml:space="preserve"> </w:t>
            </w:r>
            <w:r>
              <w:rPr>
                <w:spacing w:val="-10"/>
              </w:rPr>
              <w:t>合</w:t>
            </w:r>
            <w:r>
              <w:rPr>
                <w:spacing w:val="-4"/>
              </w:rPr>
              <w:t>同与协议履约</w:t>
            </w:r>
          </w:p>
        </w:tc>
        <w:tc>
          <w:tcPr>
            <w:tcW w:w="4163" w:type="dxa"/>
          </w:tcPr>
          <w:p w14:paraId="7BA3649B">
            <w:pPr>
              <w:pStyle w:val="65"/>
              <w:spacing w:before="99" w:line="236" w:lineRule="auto"/>
              <w:ind w:left="127" w:right="202" w:hanging="7"/>
              <w:rPr>
                <w:lang w:eastAsia="zh-CN"/>
              </w:rPr>
            </w:pPr>
            <w:r>
              <w:rPr>
                <w:spacing w:val="-1"/>
                <w:lang w:eastAsia="zh-CN"/>
              </w:rPr>
              <w:t>严格履行合同及安全环保管理协议中约定的全部安全责任与义务。发现一项重大违约本项不得分，一般违约一</w:t>
            </w:r>
            <w:r>
              <w:rPr>
                <w:spacing w:val="-10"/>
                <w:lang w:eastAsia="zh-CN"/>
              </w:rPr>
              <w:t>项扣</w:t>
            </w:r>
            <w:r>
              <w:rPr>
                <w:spacing w:val="-35"/>
                <w:lang w:eastAsia="zh-CN"/>
              </w:rPr>
              <w:t xml:space="preserve"> </w:t>
            </w:r>
            <w:r>
              <w:rPr>
                <w:spacing w:val="-10"/>
                <w:lang w:eastAsia="zh-CN"/>
              </w:rPr>
              <w:t>1</w:t>
            </w:r>
            <w:r>
              <w:rPr>
                <w:spacing w:val="-49"/>
                <w:lang w:eastAsia="zh-CN"/>
              </w:rPr>
              <w:t xml:space="preserve"> </w:t>
            </w:r>
            <w:r>
              <w:rPr>
                <w:spacing w:val="-10"/>
                <w:lang w:eastAsia="zh-CN"/>
              </w:rPr>
              <w:t>分。</w:t>
            </w:r>
          </w:p>
        </w:tc>
        <w:tc>
          <w:tcPr>
            <w:tcW w:w="671" w:type="dxa"/>
          </w:tcPr>
          <w:p w14:paraId="3834EC89">
            <w:pPr>
              <w:spacing w:line="242" w:lineRule="auto"/>
              <w:rPr>
                <w:rFonts w:ascii="Arial"/>
              </w:rPr>
            </w:pPr>
          </w:p>
          <w:p w14:paraId="47FF6A10">
            <w:pPr>
              <w:spacing w:line="242" w:lineRule="auto"/>
              <w:rPr>
                <w:rFonts w:ascii="Arial"/>
              </w:rPr>
            </w:pPr>
          </w:p>
          <w:p w14:paraId="61675938">
            <w:pPr>
              <w:pStyle w:val="65"/>
              <w:spacing w:before="78" w:line="236" w:lineRule="auto"/>
              <w:ind w:left="296"/>
            </w:pPr>
            <w:r>
              <w:t>5</w:t>
            </w:r>
          </w:p>
        </w:tc>
        <w:tc>
          <w:tcPr>
            <w:tcW w:w="731" w:type="dxa"/>
            <w:vAlign w:val="center"/>
          </w:tcPr>
          <w:p w14:paraId="7779C2E8">
            <w:pPr>
              <w:rPr>
                <w:rFonts w:ascii="Arial"/>
              </w:rPr>
            </w:pPr>
          </w:p>
        </w:tc>
        <w:tc>
          <w:tcPr>
            <w:tcW w:w="1778" w:type="dxa"/>
          </w:tcPr>
          <w:p w14:paraId="71C4CBBA">
            <w:pPr>
              <w:rPr>
                <w:rFonts w:ascii="Arial"/>
              </w:rPr>
            </w:pPr>
          </w:p>
        </w:tc>
      </w:tr>
      <w:tr w14:paraId="32E7C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79" w:type="dxa"/>
            <w:vMerge w:val="restart"/>
            <w:tcBorders>
              <w:bottom w:val="nil"/>
            </w:tcBorders>
          </w:tcPr>
          <w:p w14:paraId="32DD9792">
            <w:pPr>
              <w:spacing w:line="244" w:lineRule="auto"/>
              <w:rPr>
                <w:rFonts w:ascii="Arial"/>
              </w:rPr>
            </w:pPr>
          </w:p>
          <w:p w14:paraId="16C26710">
            <w:pPr>
              <w:spacing w:line="244" w:lineRule="auto"/>
              <w:rPr>
                <w:rFonts w:ascii="Arial"/>
              </w:rPr>
            </w:pPr>
          </w:p>
          <w:p w14:paraId="4AD66E9E">
            <w:pPr>
              <w:spacing w:line="245" w:lineRule="auto"/>
              <w:rPr>
                <w:rFonts w:ascii="Arial"/>
              </w:rPr>
            </w:pPr>
          </w:p>
          <w:p w14:paraId="4C4EC481">
            <w:pPr>
              <w:pStyle w:val="65"/>
              <w:spacing w:before="78" w:line="241" w:lineRule="auto"/>
              <w:ind w:left="158" w:right="147" w:firstLine="6"/>
            </w:pPr>
            <w:r>
              <w:rPr>
                <w:spacing w:val="-7"/>
              </w:rPr>
              <w:t>2.人员与培训</w:t>
            </w:r>
            <w:r>
              <w:rPr>
                <w:spacing w:val="15"/>
              </w:rPr>
              <w:t>(15</w:t>
            </w:r>
            <w:r>
              <w:rPr>
                <w:spacing w:val="23"/>
              </w:rPr>
              <w:t>分)</w:t>
            </w:r>
          </w:p>
        </w:tc>
        <w:tc>
          <w:tcPr>
            <w:tcW w:w="1035" w:type="dxa"/>
          </w:tcPr>
          <w:p w14:paraId="499BB50A">
            <w:pPr>
              <w:pStyle w:val="65"/>
              <w:spacing w:before="99"/>
              <w:ind w:left="181" w:right="155" w:firstLine="20"/>
            </w:pPr>
            <w:r>
              <w:rPr>
                <w:spacing w:val="-8"/>
              </w:rPr>
              <w:t>2.1</w:t>
            </w:r>
            <w:r>
              <w:rPr>
                <w:spacing w:val="-48"/>
              </w:rPr>
              <w:t xml:space="preserve"> </w:t>
            </w:r>
            <w:r>
              <w:rPr>
                <w:spacing w:val="-8"/>
              </w:rPr>
              <w:t>人</w:t>
            </w:r>
            <w:r>
              <w:rPr>
                <w:spacing w:val="-10"/>
              </w:rPr>
              <w:t>员能力</w:t>
            </w:r>
          </w:p>
          <w:p w14:paraId="705008B2">
            <w:pPr>
              <w:pStyle w:val="65"/>
              <w:spacing w:line="218" w:lineRule="auto"/>
              <w:ind w:left="176"/>
            </w:pPr>
            <w:r>
              <w:rPr>
                <w:spacing w:val="-8"/>
              </w:rPr>
              <w:t>与资质</w:t>
            </w:r>
          </w:p>
        </w:tc>
        <w:tc>
          <w:tcPr>
            <w:tcW w:w="4163" w:type="dxa"/>
          </w:tcPr>
          <w:p w14:paraId="5C95579B">
            <w:pPr>
              <w:pStyle w:val="65"/>
              <w:spacing w:before="99" w:line="235" w:lineRule="auto"/>
              <w:ind w:left="131" w:right="202" w:hanging="1"/>
              <w:rPr>
                <w:lang w:eastAsia="zh-CN"/>
              </w:rPr>
            </w:pPr>
            <w:r>
              <w:rPr>
                <w:spacing w:val="-1"/>
                <w:lang w:eastAsia="zh-CN"/>
              </w:rPr>
              <w:t>从业人员学历、技能满足岗位要求，</w:t>
            </w:r>
            <w:r>
              <w:rPr>
                <w:spacing w:val="-2"/>
                <w:lang w:eastAsia="zh-CN"/>
              </w:rPr>
              <w:t>无职业禁忌症，体检合格。抽查发现</w:t>
            </w:r>
            <w:r>
              <w:rPr>
                <w:spacing w:val="-4"/>
                <w:lang w:eastAsia="zh-CN"/>
              </w:rPr>
              <w:t>一人不符合扣</w:t>
            </w:r>
            <w:r>
              <w:rPr>
                <w:spacing w:val="-34"/>
                <w:lang w:eastAsia="zh-CN"/>
              </w:rPr>
              <w:t xml:space="preserve"> </w:t>
            </w:r>
            <w:r>
              <w:rPr>
                <w:spacing w:val="-4"/>
                <w:lang w:eastAsia="zh-CN"/>
              </w:rPr>
              <w:t>1</w:t>
            </w:r>
            <w:r>
              <w:rPr>
                <w:spacing w:val="-48"/>
                <w:lang w:eastAsia="zh-CN"/>
              </w:rPr>
              <w:t xml:space="preserve"> </w:t>
            </w:r>
            <w:r>
              <w:rPr>
                <w:spacing w:val="-4"/>
                <w:lang w:eastAsia="zh-CN"/>
              </w:rPr>
              <w:t>分，扣完为止。</w:t>
            </w:r>
          </w:p>
        </w:tc>
        <w:tc>
          <w:tcPr>
            <w:tcW w:w="671" w:type="dxa"/>
          </w:tcPr>
          <w:p w14:paraId="4A4D9728">
            <w:pPr>
              <w:spacing w:line="331" w:lineRule="auto"/>
              <w:rPr>
                <w:rFonts w:ascii="Arial"/>
              </w:rPr>
            </w:pPr>
          </w:p>
          <w:p w14:paraId="214A372B">
            <w:pPr>
              <w:pStyle w:val="65"/>
              <w:spacing w:before="78" w:line="236" w:lineRule="auto"/>
              <w:ind w:left="296"/>
            </w:pPr>
            <w:r>
              <w:t>5</w:t>
            </w:r>
          </w:p>
        </w:tc>
        <w:tc>
          <w:tcPr>
            <w:tcW w:w="731" w:type="dxa"/>
            <w:vAlign w:val="center"/>
          </w:tcPr>
          <w:p w14:paraId="094067BE">
            <w:pPr>
              <w:rPr>
                <w:rFonts w:ascii="Arial"/>
              </w:rPr>
            </w:pPr>
          </w:p>
        </w:tc>
        <w:tc>
          <w:tcPr>
            <w:tcW w:w="1778" w:type="dxa"/>
          </w:tcPr>
          <w:p w14:paraId="3A0C3CC6">
            <w:pPr>
              <w:rPr>
                <w:rFonts w:ascii="Arial"/>
              </w:rPr>
            </w:pPr>
          </w:p>
        </w:tc>
      </w:tr>
      <w:tr w14:paraId="3427C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79" w:type="dxa"/>
            <w:vMerge w:val="continue"/>
            <w:tcBorders>
              <w:top w:val="nil"/>
              <w:bottom w:val="nil"/>
            </w:tcBorders>
          </w:tcPr>
          <w:p w14:paraId="51FFAA8E">
            <w:pPr>
              <w:rPr>
                <w:rFonts w:ascii="Arial"/>
              </w:rPr>
            </w:pPr>
          </w:p>
        </w:tc>
        <w:tc>
          <w:tcPr>
            <w:tcW w:w="1035" w:type="dxa"/>
          </w:tcPr>
          <w:p w14:paraId="7D915138">
            <w:pPr>
              <w:pStyle w:val="65"/>
              <w:spacing w:before="97" w:line="219" w:lineRule="auto"/>
              <w:ind w:left="201"/>
            </w:pPr>
            <w:r>
              <w:rPr>
                <w:spacing w:val="-5"/>
              </w:rPr>
              <w:t>2.2</w:t>
            </w:r>
            <w:r>
              <w:rPr>
                <w:spacing w:val="-48"/>
              </w:rPr>
              <w:t xml:space="preserve"> </w:t>
            </w:r>
            <w:r>
              <w:rPr>
                <w:spacing w:val="-5"/>
              </w:rPr>
              <w:t>培</w:t>
            </w:r>
          </w:p>
          <w:p w14:paraId="472BF77E">
            <w:pPr>
              <w:pStyle w:val="65"/>
              <w:spacing w:before="28" w:line="217" w:lineRule="auto"/>
              <w:ind w:left="169"/>
            </w:pPr>
            <w:r>
              <w:rPr>
                <w:spacing w:val="-6"/>
              </w:rPr>
              <w:t>训与考</w:t>
            </w:r>
          </w:p>
          <w:p w14:paraId="2FAD9B0C">
            <w:pPr>
              <w:pStyle w:val="65"/>
              <w:spacing w:before="29" w:line="217" w:lineRule="auto"/>
              <w:ind w:left="402"/>
            </w:pPr>
            <w:r>
              <w:t>核</w:t>
            </w:r>
          </w:p>
        </w:tc>
        <w:tc>
          <w:tcPr>
            <w:tcW w:w="4163" w:type="dxa"/>
          </w:tcPr>
          <w:p w14:paraId="789F19A9">
            <w:pPr>
              <w:pStyle w:val="65"/>
              <w:spacing w:before="98" w:line="235" w:lineRule="auto"/>
              <w:ind w:left="128" w:right="202" w:hanging="2"/>
              <w:rPr>
                <w:lang w:eastAsia="zh-CN"/>
              </w:rPr>
            </w:pPr>
            <w:r>
              <w:rPr>
                <w:spacing w:val="-1"/>
                <w:lang w:eastAsia="zh-CN"/>
              </w:rPr>
              <w:t>承包商自主培训、发包方安全教育和专项培训记录完整，考核合格。一项</w:t>
            </w:r>
            <w:r>
              <w:rPr>
                <w:spacing w:val="-4"/>
                <w:lang w:eastAsia="zh-CN"/>
              </w:rPr>
              <w:t>不符合扣</w:t>
            </w:r>
            <w:r>
              <w:rPr>
                <w:spacing w:val="-39"/>
                <w:lang w:eastAsia="zh-CN"/>
              </w:rPr>
              <w:t xml:space="preserve"> </w:t>
            </w:r>
            <w:r>
              <w:rPr>
                <w:spacing w:val="-4"/>
                <w:lang w:eastAsia="zh-CN"/>
              </w:rPr>
              <w:t>2</w:t>
            </w:r>
            <w:r>
              <w:rPr>
                <w:spacing w:val="-49"/>
                <w:lang w:eastAsia="zh-CN"/>
              </w:rPr>
              <w:t xml:space="preserve"> </w:t>
            </w:r>
            <w:r>
              <w:rPr>
                <w:spacing w:val="-4"/>
                <w:lang w:eastAsia="zh-CN"/>
              </w:rPr>
              <w:t>分，扣完为止。</w:t>
            </w:r>
          </w:p>
        </w:tc>
        <w:tc>
          <w:tcPr>
            <w:tcW w:w="671" w:type="dxa"/>
          </w:tcPr>
          <w:p w14:paraId="580087A7">
            <w:pPr>
              <w:spacing w:line="330" w:lineRule="auto"/>
              <w:rPr>
                <w:rFonts w:ascii="Arial"/>
              </w:rPr>
            </w:pPr>
          </w:p>
          <w:p w14:paraId="27000171">
            <w:pPr>
              <w:pStyle w:val="65"/>
              <w:spacing w:before="78" w:line="236" w:lineRule="auto"/>
              <w:ind w:left="296"/>
            </w:pPr>
            <w:r>
              <w:t>5</w:t>
            </w:r>
          </w:p>
        </w:tc>
        <w:tc>
          <w:tcPr>
            <w:tcW w:w="731" w:type="dxa"/>
            <w:vAlign w:val="center"/>
          </w:tcPr>
          <w:p w14:paraId="4D412817">
            <w:pPr>
              <w:rPr>
                <w:rFonts w:ascii="Arial"/>
              </w:rPr>
            </w:pPr>
          </w:p>
        </w:tc>
        <w:tc>
          <w:tcPr>
            <w:tcW w:w="1778" w:type="dxa"/>
          </w:tcPr>
          <w:p w14:paraId="0B97CA0B">
            <w:pPr>
              <w:rPr>
                <w:rFonts w:ascii="Arial"/>
              </w:rPr>
            </w:pPr>
          </w:p>
        </w:tc>
      </w:tr>
      <w:tr w14:paraId="5A7A5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79" w:type="dxa"/>
            <w:vMerge w:val="continue"/>
            <w:tcBorders>
              <w:top w:val="nil"/>
            </w:tcBorders>
          </w:tcPr>
          <w:p w14:paraId="120EE3A9">
            <w:pPr>
              <w:rPr>
                <w:rFonts w:ascii="Arial"/>
              </w:rPr>
            </w:pPr>
          </w:p>
        </w:tc>
        <w:tc>
          <w:tcPr>
            <w:tcW w:w="1035" w:type="dxa"/>
          </w:tcPr>
          <w:p w14:paraId="58AFB22A">
            <w:pPr>
              <w:pStyle w:val="65"/>
              <w:spacing w:before="101" w:line="221" w:lineRule="auto"/>
              <w:ind w:left="201"/>
            </w:pPr>
            <w:r>
              <w:rPr>
                <w:spacing w:val="-5"/>
              </w:rPr>
              <w:t>2.3</w:t>
            </w:r>
            <w:r>
              <w:rPr>
                <w:spacing w:val="-49"/>
              </w:rPr>
              <w:t xml:space="preserve"> </w:t>
            </w:r>
            <w:r>
              <w:rPr>
                <w:spacing w:val="-5"/>
              </w:rPr>
              <w:t>人</w:t>
            </w:r>
          </w:p>
          <w:p w14:paraId="1087AB02">
            <w:pPr>
              <w:pStyle w:val="65"/>
              <w:spacing w:before="24" w:line="214" w:lineRule="auto"/>
              <w:ind w:left="181"/>
            </w:pPr>
            <w:r>
              <w:rPr>
                <w:spacing w:val="-10"/>
              </w:rPr>
              <w:t>员稳定</w:t>
            </w:r>
          </w:p>
          <w:p w14:paraId="52E1D665">
            <w:pPr>
              <w:pStyle w:val="65"/>
              <w:spacing w:before="33" w:line="215" w:lineRule="auto"/>
              <w:ind w:left="408"/>
            </w:pPr>
            <w:r>
              <w:t>性</w:t>
            </w:r>
          </w:p>
        </w:tc>
        <w:tc>
          <w:tcPr>
            <w:tcW w:w="4163" w:type="dxa"/>
          </w:tcPr>
          <w:p w14:paraId="7645872C">
            <w:pPr>
              <w:pStyle w:val="65"/>
              <w:spacing w:before="99" w:line="235" w:lineRule="auto"/>
              <w:ind w:left="131" w:right="64" w:hanging="5"/>
              <w:rPr>
                <w:lang w:eastAsia="zh-CN"/>
              </w:rPr>
            </w:pPr>
            <w:r>
              <w:rPr>
                <w:spacing w:val="-1"/>
                <w:lang w:eastAsia="zh-CN"/>
              </w:rPr>
              <w:t>承包商关键岗位及作业人员月流动比</w:t>
            </w:r>
            <w:r>
              <w:rPr>
                <w:spacing w:val="-18"/>
                <w:lang w:eastAsia="zh-CN"/>
              </w:rPr>
              <w:t>率≤10%。每超标</w:t>
            </w:r>
            <w:r>
              <w:rPr>
                <w:spacing w:val="-36"/>
                <w:lang w:eastAsia="zh-CN"/>
              </w:rPr>
              <w:t xml:space="preserve"> </w:t>
            </w:r>
            <w:r>
              <w:rPr>
                <w:spacing w:val="-18"/>
                <w:lang w:eastAsia="zh-CN"/>
              </w:rPr>
              <w:t>1%扣</w:t>
            </w:r>
            <w:r>
              <w:rPr>
                <w:spacing w:val="-35"/>
                <w:lang w:eastAsia="zh-CN"/>
              </w:rPr>
              <w:t xml:space="preserve"> </w:t>
            </w:r>
            <w:r>
              <w:rPr>
                <w:spacing w:val="-18"/>
                <w:lang w:eastAsia="zh-CN"/>
              </w:rPr>
              <w:t>1</w:t>
            </w:r>
            <w:r>
              <w:rPr>
                <w:spacing w:val="-49"/>
                <w:lang w:eastAsia="zh-CN"/>
              </w:rPr>
              <w:t xml:space="preserve"> </w:t>
            </w:r>
            <w:r>
              <w:rPr>
                <w:spacing w:val="-18"/>
                <w:lang w:eastAsia="zh-CN"/>
              </w:rPr>
              <w:t>分，扣完为止；</w:t>
            </w:r>
            <w:r>
              <w:rPr>
                <w:spacing w:val="-4"/>
                <w:lang w:eastAsia="zh-CN"/>
              </w:rPr>
              <w:t>关键岗位擅自换岗一人扣</w:t>
            </w:r>
            <w:r>
              <w:rPr>
                <w:spacing w:val="-34"/>
                <w:lang w:eastAsia="zh-CN"/>
              </w:rPr>
              <w:t xml:space="preserve"> </w:t>
            </w:r>
            <w:r>
              <w:rPr>
                <w:spacing w:val="-4"/>
                <w:lang w:eastAsia="zh-CN"/>
              </w:rPr>
              <w:t>2</w:t>
            </w:r>
            <w:r>
              <w:rPr>
                <w:spacing w:val="-48"/>
                <w:lang w:eastAsia="zh-CN"/>
              </w:rPr>
              <w:t xml:space="preserve"> </w:t>
            </w:r>
            <w:r>
              <w:rPr>
                <w:spacing w:val="-4"/>
                <w:lang w:eastAsia="zh-CN"/>
              </w:rPr>
              <w:t>分。</w:t>
            </w:r>
          </w:p>
        </w:tc>
        <w:tc>
          <w:tcPr>
            <w:tcW w:w="671" w:type="dxa"/>
          </w:tcPr>
          <w:p w14:paraId="066091AB">
            <w:pPr>
              <w:spacing w:line="332" w:lineRule="auto"/>
              <w:rPr>
                <w:rFonts w:ascii="Arial"/>
              </w:rPr>
            </w:pPr>
          </w:p>
          <w:p w14:paraId="1CA883E1">
            <w:pPr>
              <w:pStyle w:val="65"/>
              <w:spacing w:before="78" w:line="236" w:lineRule="auto"/>
              <w:ind w:left="296"/>
            </w:pPr>
            <w:r>
              <w:t>5</w:t>
            </w:r>
          </w:p>
        </w:tc>
        <w:tc>
          <w:tcPr>
            <w:tcW w:w="731" w:type="dxa"/>
            <w:vAlign w:val="center"/>
          </w:tcPr>
          <w:p w14:paraId="1671C7D5">
            <w:pPr>
              <w:rPr>
                <w:rFonts w:ascii="Arial"/>
              </w:rPr>
            </w:pPr>
          </w:p>
        </w:tc>
        <w:tc>
          <w:tcPr>
            <w:tcW w:w="1778" w:type="dxa"/>
          </w:tcPr>
          <w:p w14:paraId="08F620C3">
            <w:pPr>
              <w:rPr>
                <w:rFonts w:ascii="Arial"/>
              </w:rPr>
            </w:pPr>
          </w:p>
        </w:tc>
      </w:tr>
      <w:tr w14:paraId="0CEEF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779" w:type="dxa"/>
            <w:vMerge w:val="restart"/>
            <w:tcBorders>
              <w:bottom w:val="nil"/>
            </w:tcBorders>
          </w:tcPr>
          <w:p w14:paraId="59F21A96">
            <w:pPr>
              <w:spacing w:line="272" w:lineRule="auto"/>
              <w:rPr>
                <w:rFonts w:ascii="Arial"/>
              </w:rPr>
            </w:pPr>
          </w:p>
          <w:p w14:paraId="138F899F">
            <w:pPr>
              <w:spacing w:line="273" w:lineRule="auto"/>
              <w:rPr>
                <w:rFonts w:ascii="Arial"/>
              </w:rPr>
            </w:pPr>
          </w:p>
          <w:p w14:paraId="0EB6B0D3">
            <w:pPr>
              <w:spacing w:line="273" w:lineRule="auto"/>
              <w:rPr>
                <w:rFonts w:ascii="Arial"/>
              </w:rPr>
            </w:pPr>
          </w:p>
          <w:p w14:paraId="55C77608">
            <w:pPr>
              <w:spacing w:line="273" w:lineRule="auto"/>
              <w:rPr>
                <w:rFonts w:ascii="Arial"/>
              </w:rPr>
            </w:pPr>
          </w:p>
          <w:p w14:paraId="447AA87F">
            <w:pPr>
              <w:pStyle w:val="65"/>
              <w:spacing w:before="78" w:line="215" w:lineRule="auto"/>
              <w:ind w:left="174"/>
            </w:pPr>
            <w:r>
              <w:rPr>
                <w:spacing w:val="-6"/>
              </w:rPr>
              <w:t>3.作</w:t>
            </w:r>
          </w:p>
          <w:p w14:paraId="0CB55C2F">
            <w:pPr>
              <w:pStyle w:val="65"/>
              <w:spacing w:before="31" w:line="219" w:lineRule="auto"/>
              <w:ind w:left="165"/>
            </w:pPr>
            <w:r>
              <w:rPr>
                <w:spacing w:val="-10"/>
              </w:rPr>
              <w:t>业安</w:t>
            </w:r>
          </w:p>
          <w:p w14:paraId="3F616C03">
            <w:pPr>
              <w:pStyle w:val="65"/>
              <w:spacing w:before="27" w:line="218" w:lineRule="auto"/>
              <w:ind w:left="154"/>
            </w:pPr>
            <w:r>
              <w:rPr>
                <w:spacing w:val="-5"/>
              </w:rPr>
              <w:t>全控</w:t>
            </w:r>
          </w:p>
          <w:p w14:paraId="01846B20">
            <w:pPr>
              <w:pStyle w:val="65"/>
              <w:spacing w:before="29" w:line="216" w:lineRule="auto"/>
              <w:ind w:left="283"/>
            </w:pPr>
            <w:r>
              <w:t>制</w:t>
            </w:r>
          </w:p>
          <w:p w14:paraId="523FE5CB">
            <w:pPr>
              <w:pStyle w:val="65"/>
              <w:spacing w:before="30" w:line="219" w:lineRule="auto"/>
              <w:ind w:left="266"/>
            </w:pPr>
            <w:r>
              <w:rPr>
                <w:spacing w:val="-20"/>
              </w:rPr>
              <w:t>(25</w:t>
            </w:r>
          </w:p>
          <w:p w14:paraId="513662FB">
            <w:pPr>
              <w:pStyle w:val="65"/>
              <w:spacing w:before="28" w:line="219" w:lineRule="auto"/>
              <w:ind w:left="217"/>
            </w:pPr>
            <w:r>
              <w:rPr>
                <w:spacing w:val="-6"/>
              </w:rPr>
              <w:t>分)</w:t>
            </w:r>
          </w:p>
        </w:tc>
        <w:tc>
          <w:tcPr>
            <w:tcW w:w="1035" w:type="dxa"/>
          </w:tcPr>
          <w:p w14:paraId="336ADE2A">
            <w:pPr>
              <w:pStyle w:val="65"/>
              <w:spacing w:before="256" w:line="241" w:lineRule="auto"/>
              <w:ind w:left="174" w:right="155" w:firstLine="37"/>
            </w:pPr>
            <w:r>
              <w:rPr>
                <w:spacing w:val="-11"/>
              </w:rPr>
              <w:t>3.1</w:t>
            </w:r>
            <w:r>
              <w:rPr>
                <w:spacing w:val="-46"/>
              </w:rPr>
              <w:t xml:space="preserve"> </w:t>
            </w:r>
            <w:r>
              <w:rPr>
                <w:spacing w:val="-11"/>
              </w:rPr>
              <w:t>作</w:t>
            </w:r>
            <w:r>
              <w:rPr>
                <w:spacing w:val="-7"/>
              </w:rPr>
              <w:t>业许可与交底</w:t>
            </w:r>
          </w:p>
        </w:tc>
        <w:tc>
          <w:tcPr>
            <w:tcW w:w="4163" w:type="dxa"/>
          </w:tcPr>
          <w:p w14:paraId="5839251F">
            <w:pPr>
              <w:pStyle w:val="65"/>
              <w:spacing w:before="99" w:line="236" w:lineRule="auto"/>
              <w:ind w:left="124" w:right="55" w:hanging="4"/>
              <w:rPr>
                <w:lang w:eastAsia="zh-CN"/>
              </w:rPr>
            </w:pPr>
            <w:r>
              <w:rPr>
                <w:spacing w:val="-1"/>
                <w:lang w:eastAsia="zh-CN"/>
              </w:rPr>
              <w:t>严格执行特殊作业许可制度，作业前</w:t>
            </w:r>
            <w:r>
              <w:rPr>
                <w:spacing w:val="1"/>
                <w:lang w:eastAsia="zh-CN"/>
              </w:rPr>
              <w:t>进行充分风险辨识和安全技术交底，</w:t>
            </w:r>
            <w:r>
              <w:rPr>
                <w:spacing w:val="-9"/>
                <w:lang w:eastAsia="zh-CN"/>
              </w:rPr>
              <w:t>资料完整可追溯。一项不符合扣</w:t>
            </w:r>
            <w:r>
              <w:rPr>
                <w:spacing w:val="-22"/>
                <w:lang w:eastAsia="zh-CN"/>
              </w:rPr>
              <w:t xml:space="preserve"> </w:t>
            </w:r>
            <w:r>
              <w:rPr>
                <w:spacing w:val="-9"/>
                <w:lang w:eastAsia="zh-CN"/>
              </w:rPr>
              <w:t>3</w:t>
            </w:r>
            <w:r>
              <w:rPr>
                <w:spacing w:val="-49"/>
                <w:lang w:eastAsia="zh-CN"/>
              </w:rPr>
              <w:t xml:space="preserve"> </w:t>
            </w:r>
            <w:r>
              <w:rPr>
                <w:spacing w:val="-9"/>
                <w:lang w:eastAsia="zh-CN"/>
              </w:rPr>
              <w:t>分，</w:t>
            </w:r>
            <w:r>
              <w:rPr>
                <w:spacing w:val="-2"/>
                <w:lang w:eastAsia="zh-CN"/>
              </w:rPr>
              <w:t>扣完为止。</w:t>
            </w:r>
          </w:p>
        </w:tc>
        <w:tc>
          <w:tcPr>
            <w:tcW w:w="671" w:type="dxa"/>
          </w:tcPr>
          <w:p w14:paraId="02A1AC9A">
            <w:pPr>
              <w:spacing w:line="242" w:lineRule="auto"/>
              <w:rPr>
                <w:rFonts w:ascii="Arial"/>
              </w:rPr>
            </w:pPr>
          </w:p>
          <w:p w14:paraId="28065786">
            <w:pPr>
              <w:spacing w:line="243" w:lineRule="auto"/>
              <w:rPr>
                <w:rFonts w:ascii="Arial"/>
              </w:rPr>
            </w:pPr>
          </w:p>
          <w:p w14:paraId="1EC6F161">
            <w:pPr>
              <w:pStyle w:val="65"/>
              <w:spacing w:before="78" w:line="236" w:lineRule="auto"/>
              <w:ind w:left="295"/>
            </w:pPr>
            <w:r>
              <w:t>6</w:t>
            </w:r>
          </w:p>
        </w:tc>
        <w:tc>
          <w:tcPr>
            <w:tcW w:w="731" w:type="dxa"/>
            <w:vAlign w:val="center"/>
          </w:tcPr>
          <w:p w14:paraId="672662B5">
            <w:pPr>
              <w:rPr>
                <w:rFonts w:ascii="Arial"/>
              </w:rPr>
            </w:pPr>
          </w:p>
        </w:tc>
        <w:tc>
          <w:tcPr>
            <w:tcW w:w="1778" w:type="dxa"/>
          </w:tcPr>
          <w:p w14:paraId="4978068E">
            <w:pPr>
              <w:rPr>
                <w:rFonts w:ascii="Arial"/>
              </w:rPr>
            </w:pPr>
          </w:p>
        </w:tc>
      </w:tr>
      <w:tr w14:paraId="29137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79" w:type="dxa"/>
            <w:vMerge w:val="continue"/>
            <w:tcBorders>
              <w:top w:val="nil"/>
              <w:bottom w:val="nil"/>
            </w:tcBorders>
          </w:tcPr>
          <w:p w14:paraId="14EBA32D">
            <w:pPr>
              <w:rPr>
                <w:rFonts w:ascii="Arial"/>
              </w:rPr>
            </w:pPr>
          </w:p>
        </w:tc>
        <w:tc>
          <w:tcPr>
            <w:tcW w:w="1035" w:type="dxa"/>
          </w:tcPr>
          <w:p w14:paraId="701A9F02">
            <w:pPr>
              <w:pStyle w:val="65"/>
              <w:spacing w:before="101" w:line="220" w:lineRule="auto"/>
              <w:ind w:left="211"/>
            </w:pPr>
            <w:r>
              <w:rPr>
                <w:spacing w:val="-8"/>
              </w:rPr>
              <w:t>3.2</w:t>
            </w:r>
            <w:r>
              <w:rPr>
                <w:spacing w:val="-41"/>
              </w:rPr>
              <w:t xml:space="preserve"> </w:t>
            </w:r>
            <w:r>
              <w:rPr>
                <w:spacing w:val="-8"/>
              </w:rPr>
              <w:t>现</w:t>
            </w:r>
          </w:p>
          <w:p w14:paraId="54F2174C">
            <w:pPr>
              <w:pStyle w:val="65"/>
              <w:spacing w:before="25" w:line="218" w:lineRule="auto"/>
              <w:ind w:left="162"/>
            </w:pPr>
            <w:r>
              <w:rPr>
                <w:spacing w:val="-3"/>
              </w:rPr>
              <w:t>场安全</w:t>
            </w:r>
          </w:p>
          <w:p w14:paraId="24A77030">
            <w:pPr>
              <w:pStyle w:val="65"/>
              <w:spacing w:before="28" w:line="218" w:lineRule="auto"/>
              <w:ind w:left="283"/>
            </w:pPr>
            <w:r>
              <w:rPr>
                <w:spacing w:val="-5"/>
              </w:rPr>
              <w:t>措施</w:t>
            </w:r>
          </w:p>
        </w:tc>
        <w:tc>
          <w:tcPr>
            <w:tcW w:w="4163" w:type="dxa"/>
          </w:tcPr>
          <w:p w14:paraId="5D94BD83">
            <w:pPr>
              <w:pStyle w:val="65"/>
              <w:spacing w:before="99" w:line="235" w:lineRule="auto"/>
              <w:ind w:left="124" w:right="202" w:firstLine="7"/>
              <w:rPr>
                <w:lang w:eastAsia="zh-CN"/>
              </w:rPr>
            </w:pPr>
            <w:r>
              <w:rPr>
                <w:spacing w:val="-2"/>
                <w:lang w:eastAsia="zh-CN"/>
              </w:rPr>
              <w:t>现场隔离、警示、通风、消防等安全</w:t>
            </w:r>
            <w:r>
              <w:rPr>
                <w:spacing w:val="-1"/>
                <w:lang w:eastAsia="zh-CN"/>
              </w:rPr>
              <w:t>措施落实到位，劳动防护用品规范使</w:t>
            </w:r>
            <w:r>
              <w:rPr>
                <w:spacing w:val="-3"/>
                <w:lang w:eastAsia="zh-CN"/>
              </w:rPr>
              <w:t>用。一处不符合扣</w:t>
            </w:r>
            <w:r>
              <w:rPr>
                <w:spacing w:val="-34"/>
                <w:lang w:eastAsia="zh-CN"/>
              </w:rPr>
              <w:t xml:space="preserve"> </w:t>
            </w:r>
            <w:r>
              <w:rPr>
                <w:spacing w:val="-3"/>
                <w:lang w:eastAsia="zh-CN"/>
              </w:rPr>
              <w:t>2</w:t>
            </w:r>
            <w:r>
              <w:rPr>
                <w:spacing w:val="-49"/>
                <w:lang w:eastAsia="zh-CN"/>
              </w:rPr>
              <w:t xml:space="preserve"> </w:t>
            </w:r>
            <w:r>
              <w:rPr>
                <w:spacing w:val="-3"/>
                <w:lang w:eastAsia="zh-CN"/>
              </w:rPr>
              <w:t>分，扣完为止。</w:t>
            </w:r>
          </w:p>
        </w:tc>
        <w:tc>
          <w:tcPr>
            <w:tcW w:w="671" w:type="dxa"/>
          </w:tcPr>
          <w:p w14:paraId="4B272495">
            <w:pPr>
              <w:spacing w:line="332" w:lineRule="auto"/>
              <w:rPr>
                <w:rFonts w:ascii="Arial"/>
              </w:rPr>
            </w:pPr>
          </w:p>
          <w:p w14:paraId="35E2AD80">
            <w:pPr>
              <w:pStyle w:val="65"/>
              <w:spacing w:before="78" w:line="236" w:lineRule="auto"/>
              <w:ind w:left="296"/>
            </w:pPr>
            <w:r>
              <w:t>5</w:t>
            </w:r>
          </w:p>
        </w:tc>
        <w:tc>
          <w:tcPr>
            <w:tcW w:w="731" w:type="dxa"/>
            <w:vAlign w:val="center"/>
          </w:tcPr>
          <w:p w14:paraId="6F9D181E">
            <w:pPr>
              <w:rPr>
                <w:rFonts w:ascii="Arial"/>
              </w:rPr>
            </w:pPr>
          </w:p>
        </w:tc>
        <w:tc>
          <w:tcPr>
            <w:tcW w:w="1778" w:type="dxa"/>
          </w:tcPr>
          <w:p w14:paraId="6ED2D3B0">
            <w:pPr>
              <w:rPr>
                <w:rFonts w:ascii="Arial"/>
              </w:rPr>
            </w:pPr>
          </w:p>
        </w:tc>
      </w:tr>
      <w:tr w14:paraId="0CE06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79" w:type="dxa"/>
            <w:vMerge w:val="continue"/>
            <w:tcBorders>
              <w:top w:val="nil"/>
              <w:bottom w:val="nil"/>
            </w:tcBorders>
          </w:tcPr>
          <w:p w14:paraId="625CD641">
            <w:pPr>
              <w:rPr>
                <w:rFonts w:ascii="Arial"/>
              </w:rPr>
            </w:pPr>
          </w:p>
        </w:tc>
        <w:tc>
          <w:tcPr>
            <w:tcW w:w="1035" w:type="dxa"/>
          </w:tcPr>
          <w:p w14:paraId="227C3645">
            <w:pPr>
              <w:pStyle w:val="65"/>
              <w:spacing w:before="99" w:line="235" w:lineRule="auto"/>
              <w:ind w:left="211"/>
            </w:pPr>
            <w:r>
              <w:rPr>
                <w:spacing w:val="-8"/>
              </w:rPr>
              <w:t>3.3</w:t>
            </w:r>
            <w:r>
              <w:rPr>
                <w:spacing w:val="-42"/>
              </w:rPr>
              <w:t xml:space="preserve"> </w:t>
            </w:r>
            <w:r>
              <w:rPr>
                <w:spacing w:val="-8"/>
              </w:rPr>
              <w:t>工</w:t>
            </w:r>
          </w:p>
          <w:p w14:paraId="58A4E459">
            <w:pPr>
              <w:pStyle w:val="65"/>
              <w:spacing w:before="6" w:line="217" w:lineRule="auto"/>
              <w:ind w:left="161"/>
            </w:pPr>
            <w:r>
              <w:rPr>
                <w:spacing w:val="-3"/>
              </w:rPr>
              <w:t>机具与</w:t>
            </w:r>
          </w:p>
          <w:p w14:paraId="2414548F">
            <w:pPr>
              <w:pStyle w:val="65"/>
              <w:spacing w:before="29" w:line="219" w:lineRule="auto"/>
              <w:ind w:left="283"/>
            </w:pPr>
            <w:r>
              <w:rPr>
                <w:spacing w:val="-5"/>
              </w:rPr>
              <w:t>设备</w:t>
            </w:r>
          </w:p>
        </w:tc>
        <w:tc>
          <w:tcPr>
            <w:tcW w:w="4163" w:type="dxa"/>
          </w:tcPr>
          <w:p w14:paraId="64E57E6C">
            <w:pPr>
              <w:pStyle w:val="65"/>
              <w:spacing w:before="99" w:line="235" w:lineRule="auto"/>
              <w:ind w:left="127" w:right="55" w:firstLine="2"/>
              <w:rPr>
                <w:lang w:eastAsia="zh-CN"/>
              </w:rPr>
            </w:pPr>
            <w:r>
              <w:rPr>
                <w:spacing w:val="-7"/>
                <w:lang w:eastAsia="zh-CN"/>
              </w:rPr>
              <w:t>工机具入场检验合格，安全状态良好，</w:t>
            </w:r>
            <w:r>
              <w:rPr>
                <w:spacing w:val="-1"/>
                <w:lang w:eastAsia="zh-CN"/>
              </w:rPr>
              <w:t>特种设备检验标识清晰、在检验周期</w:t>
            </w:r>
            <w:r>
              <w:rPr>
                <w:spacing w:val="-3"/>
                <w:lang w:eastAsia="zh-CN"/>
              </w:rPr>
              <w:t>内。一项不符合扣</w:t>
            </w:r>
            <w:r>
              <w:rPr>
                <w:spacing w:val="-37"/>
                <w:lang w:eastAsia="zh-CN"/>
              </w:rPr>
              <w:t xml:space="preserve"> </w:t>
            </w:r>
            <w:r>
              <w:rPr>
                <w:spacing w:val="-3"/>
                <w:lang w:eastAsia="zh-CN"/>
              </w:rPr>
              <w:t>2</w:t>
            </w:r>
            <w:r>
              <w:rPr>
                <w:spacing w:val="-49"/>
                <w:lang w:eastAsia="zh-CN"/>
              </w:rPr>
              <w:t xml:space="preserve"> </w:t>
            </w:r>
            <w:r>
              <w:rPr>
                <w:spacing w:val="-3"/>
                <w:lang w:eastAsia="zh-CN"/>
              </w:rPr>
              <w:t>分，扣完为止。</w:t>
            </w:r>
          </w:p>
        </w:tc>
        <w:tc>
          <w:tcPr>
            <w:tcW w:w="671" w:type="dxa"/>
          </w:tcPr>
          <w:p w14:paraId="30F17C8D">
            <w:pPr>
              <w:spacing w:line="332" w:lineRule="auto"/>
              <w:rPr>
                <w:rFonts w:ascii="Arial"/>
              </w:rPr>
            </w:pPr>
          </w:p>
          <w:p w14:paraId="7B662A9A">
            <w:pPr>
              <w:pStyle w:val="65"/>
              <w:spacing w:before="78" w:line="237" w:lineRule="auto"/>
              <w:ind w:left="292"/>
            </w:pPr>
            <w:r>
              <w:t>4</w:t>
            </w:r>
          </w:p>
        </w:tc>
        <w:tc>
          <w:tcPr>
            <w:tcW w:w="731" w:type="dxa"/>
            <w:vAlign w:val="center"/>
          </w:tcPr>
          <w:p w14:paraId="75135E14">
            <w:pPr>
              <w:rPr>
                <w:rFonts w:ascii="Arial"/>
              </w:rPr>
            </w:pPr>
          </w:p>
        </w:tc>
        <w:tc>
          <w:tcPr>
            <w:tcW w:w="1778" w:type="dxa"/>
          </w:tcPr>
          <w:p w14:paraId="3A46DFE5">
            <w:pPr>
              <w:rPr>
                <w:rFonts w:ascii="Arial"/>
              </w:rPr>
            </w:pPr>
          </w:p>
        </w:tc>
      </w:tr>
      <w:tr w14:paraId="3CD51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79" w:type="dxa"/>
            <w:vMerge w:val="continue"/>
            <w:tcBorders>
              <w:top w:val="nil"/>
            </w:tcBorders>
          </w:tcPr>
          <w:p w14:paraId="33826FA9">
            <w:pPr>
              <w:rPr>
                <w:rFonts w:ascii="Arial"/>
              </w:rPr>
            </w:pPr>
          </w:p>
        </w:tc>
        <w:tc>
          <w:tcPr>
            <w:tcW w:w="1035" w:type="dxa"/>
          </w:tcPr>
          <w:p w14:paraId="2566D09B">
            <w:pPr>
              <w:pStyle w:val="65"/>
              <w:spacing w:before="100" w:line="232" w:lineRule="auto"/>
              <w:ind w:left="166" w:right="119" w:hanging="22"/>
            </w:pPr>
            <w:r>
              <w:rPr>
                <w:spacing w:val="-15"/>
              </w:rPr>
              <w:t>3.4“三</w:t>
            </w:r>
            <w:r>
              <w:rPr>
                <w:spacing w:val="-5"/>
              </w:rPr>
              <w:t>违”行</w:t>
            </w:r>
          </w:p>
        </w:tc>
        <w:tc>
          <w:tcPr>
            <w:tcW w:w="4163" w:type="dxa"/>
          </w:tcPr>
          <w:p w14:paraId="07BB890F">
            <w:pPr>
              <w:pStyle w:val="65"/>
              <w:spacing w:before="100" w:line="232" w:lineRule="auto"/>
              <w:ind w:left="131" w:right="202" w:hanging="9"/>
            </w:pPr>
            <w:r>
              <w:rPr>
                <w:spacing w:val="-5"/>
                <w:lang w:eastAsia="zh-CN"/>
              </w:rPr>
              <w:t>建立</w:t>
            </w:r>
            <w:r>
              <w:rPr>
                <w:spacing w:val="-76"/>
                <w:lang w:eastAsia="zh-CN"/>
              </w:rPr>
              <w:t xml:space="preserve"> </w:t>
            </w:r>
            <w:r>
              <w:rPr>
                <w:spacing w:val="-5"/>
                <w:lang w:eastAsia="zh-CN"/>
              </w:rPr>
              <w:t>“</w:t>
            </w:r>
            <w:r>
              <w:rPr>
                <w:spacing w:val="-93"/>
                <w:lang w:eastAsia="zh-CN"/>
              </w:rPr>
              <w:t xml:space="preserve"> </w:t>
            </w:r>
            <w:r>
              <w:rPr>
                <w:spacing w:val="-5"/>
                <w:lang w:eastAsia="zh-CN"/>
              </w:rPr>
              <w:t>三违”行为查处与统计分析机</w:t>
            </w:r>
            <w:r>
              <w:rPr>
                <w:spacing w:val="-2"/>
                <w:lang w:eastAsia="zh-CN"/>
              </w:rPr>
              <w:t>制，有记录、有整改、有考核。</w:t>
            </w:r>
            <w:r>
              <w:rPr>
                <w:spacing w:val="-2"/>
              </w:rPr>
              <w:t>未建</w:t>
            </w:r>
          </w:p>
        </w:tc>
        <w:tc>
          <w:tcPr>
            <w:tcW w:w="671" w:type="dxa"/>
          </w:tcPr>
          <w:p w14:paraId="28D16D09">
            <w:pPr>
              <w:pStyle w:val="65"/>
              <w:spacing w:before="256" w:line="236" w:lineRule="auto"/>
              <w:ind w:left="296"/>
            </w:pPr>
            <w:r>
              <w:t>5</w:t>
            </w:r>
          </w:p>
        </w:tc>
        <w:tc>
          <w:tcPr>
            <w:tcW w:w="731" w:type="dxa"/>
            <w:vAlign w:val="center"/>
          </w:tcPr>
          <w:p w14:paraId="28408508">
            <w:pPr>
              <w:rPr>
                <w:rFonts w:ascii="Arial"/>
              </w:rPr>
            </w:pPr>
          </w:p>
        </w:tc>
        <w:tc>
          <w:tcPr>
            <w:tcW w:w="1778" w:type="dxa"/>
          </w:tcPr>
          <w:p w14:paraId="24C11876">
            <w:pPr>
              <w:rPr>
                <w:rFonts w:ascii="Arial"/>
              </w:rPr>
            </w:pPr>
          </w:p>
        </w:tc>
      </w:tr>
    </w:tbl>
    <w:p w14:paraId="30B4F62D">
      <w:pPr>
        <w:rPr>
          <w:rFonts w:ascii="Arial" w:hAnsi="Arial" w:eastAsia="Arial" w:cs="Arial"/>
          <w:szCs w:val="21"/>
        </w:rPr>
        <w:sectPr>
          <w:headerReference r:id="rId9" w:type="default"/>
          <w:footerReference r:id="rId10" w:type="default"/>
          <w:type w:val="continuous"/>
          <w:pgSz w:w="11906" w:h="16839"/>
          <w:pgMar w:top="1999" w:right="1065" w:bottom="1223" w:left="1677" w:header="1508" w:footer="1061" w:gutter="0"/>
          <w:cols w:space="720" w:num="1"/>
        </w:sectPr>
      </w:pPr>
    </w:p>
    <w:p w14:paraId="3157C676">
      <w:pPr>
        <w:spacing w:before="18"/>
      </w:pPr>
    </w:p>
    <w:tbl>
      <w:tblPr>
        <w:tblStyle w:val="66"/>
        <w:tblW w:w="9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035"/>
        <w:gridCol w:w="4163"/>
        <w:gridCol w:w="671"/>
        <w:gridCol w:w="491"/>
        <w:gridCol w:w="2018"/>
      </w:tblGrid>
      <w:tr w14:paraId="72162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79" w:type="dxa"/>
            <w:vMerge w:val="restart"/>
            <w:tcBorders>
              <w:bottom w:val="nil"/>
            </w:tcBorders>
          </w:tcPr>
          <w:p w14:paraId="5851DC16">
            <w:pPr>
              <w:rPr>
                <w:rFonts w:ascii="Arial"/>
              </w:rPr>
            </w:pPr>
          </w:p>
        </w:tc>
        <w:tc>
          <w:tcPr>
            <w:tcW w:w="1035" w:type="dxa"/>
          </w:tcPr>
          <w:p w14:paraId="7B7DDBF4">
            <w:pPr>
              <w:pStyle w:val="65"/>
              <w:spacing w:before="97" w:line="218" w:lineRule="auto"/>
              <w:ind w:left="171"/>
            </w:pPr>
            <w:r>
              <w:rPr>
                <w:spacing w:val="-6"/>
              </w:rPr>
              <w:t>为管控</w:t>
            </w:r>
          </w:p>
        </w:tc>
        <w:tc>
          <w:tcPr>
            <w:tcW w:w="4163" w:type="dxa"/>
          </w:tcPr>
          <w:p w14:paraId="62622843">
            <w:pPr>
              <w:pStyle w:val="65"/>
              <w:spacing w:before="97"/>
              <w:ind w:left="139" w:hanging="4"/>
              <w:rPr>
                <w:lang w:eastAsia="zh-CN"/>
              </w:rPr>
            </w:pPr>
            <w:r>
              <w:rPr>
                <w:spacing w:val="-5"/>
                <w:lang w:eastAsia="zh-CN"/>
              </w:rPr>
              <w:t>立机制本项不得分；发现一般“</w:t>
            </w:r>
            <w:r>
              <w:rPr>
                <w:spacing w:val="-94"/>
                <w:lang w:eastAsia="zh-CN"/>
              </w:rPr>
              <w:t xml:space="preserve"> </w:t>
            </w:r>
            <w:r>
              <w:rPr>
                <w:spacing w:val="-5"/>
                <w:lang w:eastAsia="zh-CN"/>
              </w:rPr>
              <w:t>三违”</w:t>
            </w:r>
            <w:r>
              <w:rPr>
                <w:spacing w:val="-12"/>
                <w:lang w:eastAsia="zh-CN"/>
              </w:rPr>
              <w:t>一次扣</w:t>
            </w:r>
            <w:r>
              <w:rPr>
                <w:spacing w:val="-36"/>
                <w:lang w:eastAsia="zh-CN"/>
              </w:rPr>
              <w:t xml:space="preserve"> </w:t>
            </w:r>
            <w:r>
              <w:rPr>
                <w:spacing w:val="-12"/>
                <w:lang w:eastAsia="zh-CN"/>
              </w:rPr>
              <w:t>2</w:t>
            </w:r>
            <w:r>
              <w:rPr>
                <w:spacing w:val="-51"/>
                <w:lang w:eastAsia="zh-CN"/>
              </w:rPr>
              <w:t xml:space="preserve"> </w:t>
            </w:r>
            <w:r>
              <w:rPr>
                <w:spacing w:val="-12"/>
                <w:lang w:eastAsia="zh-CN"/>
              </w:rPr>
              <w:t>分，严重</w:t>
            </w:r>
            <w:r>
              <w:rPr>
                <w:spacing w:val="-90"/>
                <w:lang w:eastAsia="zh-CN"/>
              </w:rPr>
              <w:t xml:space="preserve"> </w:t>
            </w:r>
            <w:r>
              <w:rPr>
                <w:spacing w:val="-12"/>
                <w:lang w:eastAsia="zh-CN"/>
              </w:rPr>
              <w:t>“三违”一次扣</w:t>
            </w:r>
            <w:r>
              <w:rPr>
                <w:spacing w:val="-40"/>
                <w:lang w:eastAsia="zh-CN"/>
              </w:rPr>
              <w:t xml:space="preserve"> </w:t>
            </w:r>
            <w:r>
              <w:rPr>
                <w:spacing w:val="-12"/>
                <w:lang w:eastAsia="zh-CN"/>
              </w:rPr>
              <w:t>5</w:t>
            </w:r>
          </w:p>
          <w:p w14:paraId="2C7DDED4">
            <w:pPr>
              <w:pStyle w:val="65"/>
              <w:spacing w:line="218" w:lineRule="auto"/>
              <w:ind w:left="126"/>
            </w:pPr>
            <w:r>
              <w:rPr>
                <w:spacing w:val="-6"/>
              </w:rPr>
              <w:t>分。</w:t>
            </w:r>
          </w:p>
        </w:tc>
        <w:tc>
          <w:tcPr>
            <w:tcW w:w="671" w:type="dxa"/>
          </w:tcPr>
          <w:p w14:paraId="6F6FD5B8">
            <w:pPr>
              <w:rPr>
                <w:rFonts w:ascii="Arial"/>
              </w:rPr>
            </w:pPr>
          </w:p>
        </w:tc>
        <w:tc>
          <w:tcPr>
            <w:tcW w:w="491" w:type="dxa"/>
          </w:tcPr>
          <w:p w14:paraId="340052CA">
            <w:pPr>
              <w:rPr>
                <w:rFonts w:ascii="Arial"/>
              </w:rPr>
            </w:pPr>
          </w:p>
        </w:tc>
        <w:tc>
          <w:tcPr>
            <w:tcW w:w="2018" w:type="dxa"/>
          </w:tcPr>
          <w:p w14:paraId="10B62A5E">
            <w:pPr>
              <w:rPr>
                <w:rFonts w:ascii="Arial"/>
              </w:rPr>
            </w:pPr>
          </w:p>
        </w:tc>
      </w:tr>
      <w:tr w14:paraId="3E68C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779" w:type="dxa"/>
            <w:vMerge w:val="continue"/>
            <w:tcBorders>
              <w:top w:val="nil"/>
            </w:tcBorders>
          </w:tcPr>
          <w:p w14:paraId="1445DECB">
            <w:pPr>
              <w:rPr>
                <w:rFonts w:ascii="Arial"/>
              </w:rPr>
            </w:pPr>
          </w:p>
        </w:tc>
        <w:tc>
          <w:tcPr>
            <w:tcW w:w="1035" w:type="dxa"/>
          </w:tcPr>
          <w:p w14:paraId="75F34288">
            <w:pPr>
              <w:pStyle w:val="65"/>
              <w:spacing w:before="250" w:line="225" w:lineRule="auto"/>
              <w:ind w:left="211"/>
            </w:pPr>
            <w:r>
              <w:rPr>
                <w:spacing w:val="-8"/>
              </w:rPr>
              <w:t>3.5</w:t>
            </w:r>
            <w:r>
              <w:rPr>
                <w:spacing w:val="-41"/>
              </w:rPr>
              <w:t xml:space="preserve"> </w:t>
            </w:r>
            <w:r>
              <w:rPr>
                <w:spacing w:val="-8"/>
              </w:rPr>
              <w:t>监</w:t>
            </w:r>
          </w:p>
          <w:p w14:paraId="254F1591">
            <w:pPr>
              <w:pStyle w:val="65"/>
              <w:spacing w:before="19" w:line="217" w:lineRule="auto"/>
              <w:ind w:left="174"/>
            </w:pPr>
            <w:r>
              <w:rPr>
                <w:spacing w:val="-7"/>
              </w:rPr>
              <w:t>护人履</w:t>
            </w:r>
          </w:p>
          <w:p w14:paraId="15012AE0">
            <w:pPr>
              <w:pStyle w:val="65"/>
              <w:spacing w:before="30" w:line="219" w:lineRule="auto"/>
              <w:ind w:left="414"/>
            </w:pPr>
            <w:r>
              <w:t>职</w:t>
            </w:r>
          </w:p>
        </w:tc>
        <w:tc>
          <w:tcPr>
            <w:tcW w:w="4163" w:type="dxa"/>
          </w:tcPr>
          <w:p w14:paraId="6897BB02">
            <w:pPr>
              <w:pStyle w:val="65"/>
              <w:spacing w:before="94" w:line="237" w:lineRule="auto"/>
              <w:ind w:left="126" w:right="202" w:firstLine="8"/>
              <w:rPr>
                <w:lang w:eastAsia="zh-CN"/>
              </w:rPr>
            </w:pPr>
            <w:r>
              <w:rPr>
                <w:spacing w:val="-6"/>
                <w:lang w:eastAsia="zh-CN"/>
              </w:rPr>
              <w:t>高风险作业按要求设置</w:t>
            </w:r>
            <w:r>
              <w:rPr>
                <w:spacing w:val="-78"/>
                <w:lang w:eastAsia="zh-CN"/>
              </w:rPr>
              <w:t xml:space="preserve"> </w:t>
            </w:r>
            <w:r>
              <w:rPr>
                <w:spacing w:val="-6"/>
                <w:lang w:eastAsia="zh-CN"/>
              </w:rPr>
              <w:t>“双监护”</w:t>
            </w:r>
            <w:r>
              <w:rPr>
                <w:spacing w:val="-87"/>
                <w:lang w:eastAsia="zh-CN"/>
              </w:rPr>
              <w:t xml:space="preserve"> </w:t>
            </w:r>
            <w:r>
              <w:rPr>
                <w:spacing w:val="-6"/>
                <w:lang w:eastAsia="zh-CN"/>
              </w:rPr>
              <w:t>，</w:t>
            </w:r>
            <w:r>
              <w:rPr>
                <w:spacing w:val="-1"/>
                <w:lang w:eastAsia="zh-CN"/>
              </w:rPr>
              <w:t>中风险作业由发包方专人监护，监护</w:t>
            </w:r>
            <w:r>
              <w:rPr>
                <w:spacing w:val="-3"/>
                <w:lang w:eastAsia="zh-CN"/>
              </w:rPr>
              <w:t>人持证并在岗履职。一处不符合扣</w:t>
            </w:r>
            <w:r>
              <w:rPr>
                <w:spacing w:val="-25"/>
                <w:lang w:eastAsia="zh-CN"/>
              </w:rPr>
              <w:t xml:space="preserve"> </w:t>
            </w:r>
            <w:r>
              <w:rPr>
                <w:spacing w:val="-3"/>
                <w:lang w:eastAsia="zh-CN"/>
              </w:rPr>
              <w:t>3</w:t>
            </w:r>
            <w:r>
              <w:rPr>
                <w:spacing w:val="-2"/>
                <w:lang w:eastAsia="zh-CN"/>
              </w:rPr>
              <w:t>分，扣完为止。</w:t>
            </w:r>
          </w:p>
        </w:tc>
        <w:tc>
          <w:tcPr>
            <w:tcW w:w="671" w:type="dxa"/>
          </w:tcPr>
          <w:p w14:paraId="2A29F24D">
            <w:pPr>
              <w:rPr>
                <w:rFonts w:ascii="Arial"/>
              </w:rPr>
            </w:pPr>
          </w:p>
          <w:p w14:paraId="2C7F8125">
            <w:pPr>
              <w:spacing w:line="241" w:lineRule="auto"/>
              <w:rPr>
                <w:rFonts w:ascii="Arial"/>
              </w:rPr>
            </w:pPr>
          </w:p>
          <w:p w14:paraId="00D9CCC2">
            <w:pPr>
              <w:pStyle w:val="65"/>
              <w:spacing w:before="78" w:line="236" w:lineRule="auto"/>
              <w:ind w:left="296"/>
            </w:pPr>
            <w:r>
              <w:t>5</w:t>
            </w:r>
          </w:p>
        </w:tc>
        <w:tc>
          <w:tcPr>
            <w:tcW w:w="491" w:type="dxa"/>
          </w:tcPr>
          <w:p w14:paraId="72D4CFDF">
            <w:pPr>
              <w:rPr>
                <w:rFonts w:ascii="Arial"/>
              </w:rPr>
            </w:pPr>
          </w:p>
        </w:tc>
        <w:tc>
          <w:tcPr>
            <w:tcW w:w="2018" w:type="dxa"/>
          </w:tcPr>
          <w:p w14:paraId="420789DC">
            <w:pPr>
              <w:rPr>
                <w:rFonts w:ascii="Arial"/>
              </w:rPr>
            </w:pPr>
          </w:p>
        </w:tc>
      </w:tr>
      <w:tr w14:paraId="05EF9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779" w:type="dxa"/>
            <w:vMerge w:val="restart"/>
            <w:tcBorders>
              <w:bottom w:val="nil"/>
            </w:tcBorders>
          </w:tcPr>
          <w:p w14:paraId="032F1F4B">
            <w:pPr>
              <w:spacing w:line="258" w:lineRule="auto"/>
              <w:rPr>
                <w:rFonts w:ascii="Arial"/>
              </w:rPr>
            </w:pPr>
          </w:p>
          <w:p w14:paraId="304CA1E9">
            <w:pPr>
              <w:spacing w:line="258" w:lineRule="auto"/>
              <w:rPr>
                <w:rFonts w:ascii="Arial"/>
              </w:rPr>
            </w:pPr>
          </w:p>
          <w:p w14:paraId="36BC0157">
            <w:pPr>
              <w:spacing w:line="258" w:lineRule="auto"/>
              <w:rPr>
                <w:rFonts w:ascii="Arial"/>
              </w:rPr>
            </w:pPr>
          </w:p>
          <w:p w14:paraId="2B21C9DB">
            <w:pPr>
              <w:spacing w:line="258" w:lineRule="auto"/>
              <w:rPr>
                <w:rFonts w:ascii="Arial"/>
              </w:rPr>
            </w:pPr>
          </w:p>
          <w:p w14:paraId="425D455A">
            <w:pPr>
              <w:spacing w:line="258" w:lineRule="auto"/>
              <w:rPr>
                <w:rFonts w:ascii="Arial"/>
              </w:rPr>
            </w:pPr>
          </w:p>
          <w:p w14:paraId="3EF03A8F">
            <w:pPr>
              <w:spacing w:line="258" w:lineRule="auto"/>
              <w:rPr>
                <w:rFonts w:ascii="Arial"/>
              </w:rPr>
            </w:pPr>
          </w:p>
          <w:p w14:paraId="0501D4F9">
            <w:pPr>
              <w:spacing w:line="258" w:lineRule="auto"/>
              <w:rPr>
                <w:rFonts w:ascii="Arial"/>
              </w:rPr>
            </w:pPr>
          </w:p>
          <w:p w14:paraId="67A07815">
            <w:pPr>
              <w:spacing w:line="258" w:lineRule="auto"/>
              <w:rPr>
                <w:rFonts w:ascii="Arial"/>
              </w:rPr>
            </w:pPr>
          </w:p>
          <w:p w14:paraId="0BB4AE58">
            <w:pPr>
              <w:spacing w:line="258" w:lineRule="auto"/>
              <w:rPr>
                <w:rFonts w:ascii="Arial"/>
              </w:rPr>
            </w:pPr>
          </w:p>
          <w:p w14:paraId="10C46596">
            <w:pPr>
              <w:spacing w:line="259" w:lineRule="auto"/>
              <w:rPr>
                <w:rFonts w:ascii="Arial"/>
              </w:rPr>
            </w:pPr>
          </w:p>
          <w:p w14:paraId="0CB5CBCF">
            <w:pPr>
              <w:spacing w:line="259" w:lineRule="auto"/>
              <w:rPr>
                <w:rFonts w:ascii="Arial"/>
              </w:rPr>
            </w:pPr>
          </w:p>
          <w:p w14:paraId="28185F56">
            <w:pPr>
              <w:pStyle w:val="65"/>
              <w:spacing w:before="78" w:line="241" w:lineRule="auto"/>
              <w:ind w:left="154" w:right="147" w:firstLine="9"/>
            </w:pPr>
            <w:r>
              <w:rPr>
                <w:spacing w:val="-6"/>
              </w:rPr>
              <w:t>4.安</w:t>
            </w:r>
            <w:r>
              <w:rPr>
                <w:spacing w:val="-5"/>
              </w:rPr>
              <w:t>全绩效与改进</w:t>
            </w:r>
            <w:r>
              <w:rPr>
                <w:spacing w:val="17"/>
              </w:rPr>
              <w:t>(30</w:t>
            </w:r>
            <w:r>
              <w:rPr>
                <w:spacing w:val="25"/>
              </w:rPr>
              <w:t>分)</w:t>
            </w:r>
          </w:p>
        </w:tc>
        <w:tc>
          <w:tcPr>
            <w:tcW w:w="1035" w:type="dxa"/>
          </w:tcPr>
          <w:p w14:paraId="53451F9C">
            <w:pPr>
              <w:pStyle w:val="65"/>
              <w:spacing w:before="252" w:line="219" w:lineRule="auto"/>
              <w:ind w:left="200"/>
            </w:pPr>
            <w:r>
              <w:rPr>
                <w:spacing w:val="-5"/>
              </w:rPr>
              <w:t>4.1</w:t>
            </w:r>
            <w:r>
              <w:rPr>
                <w:spacing w:val="-44"/>
              </w:rPr>
              <w:t xml:space="preserve"> </w:t>
            </w:r>
            <w:r>
              <w:rPr>
                <w:spacing w:val="-5"/>
              </w:rPr>
              <w:t>安</w:t>
            </w:r>
          </w:p>
          <w:p w14:paraId="4F3FB990">
            <w:pPr>
              <w:pStyle w:val="65"/>
              <w:spacing w:before="27" w:line="218" w:lineRule="auto"/>
              <w:ind w:left="162"/>
            </w:pPr>
            <w:r>
              <w:rPr>
                <w:spacing w:val="-3"/>
              </w:rPr>
              <w:t>全事故</w:t>
            </w:r>
          </w:p>
          <w:p w14:paraId="59F92641">
            <w:pPr>
              <w:pStyle w:val="65"/>
              <w:spacing w:before="28" w:line="217" w:lineRule="auto"/>
              <w:ind w:left="293"/>
            </w:pPr>
            <w:r>
              <w:rPr>
                <w:spacing w:val="-10"/>
              </w:rPr>
              <w:t>情况</w:t>
            </w:r>
          </w:p>
        </w:tc>
        <w:tc>
          <w:tcPr>
            <w:tcW w:w="4163" w:type="dxa"/>
          </w:tcPr>
          <w:p w14:paraId="58F05DF5">
            <w:pPr>
              <w:pStyle w:val="65"/>
              <w:spacing w:before="94" w:line="237" w:lineRule="auto"/>
              <w:ind w:left="131" w:right="116" w:hanging="7"/>
              <w:rPr>
                <w:lang w:eastAsia="zh-CN"/>
              </w:rPr>
            </w:pPr>
            <w:r>
              <w:rPr>
                <w:spacing w:val="-1"/>
                <w:lang w:eastAsia="zh-CN"/>
              </w:rPr>
              <w:t>评价期内未发生生产安全责任事故得</w:t>
            </w:r>
            <w:r>
              <w:rPr>
                <w:spacing w:val="-2"/>
                <w:lang w:eastAsia="zh-CN"/>
              </w:rPr>
              <w:t>10</w:t>
            </w:r>
            <w:r>
              <w:rPr>
                <w:spacing w:val="-44"/>
                <w:lang w:eastAsia="zh-CN"/>
              </w:rPr>
              <w:t xml:space="preserve"> </w:t>
            </w:r>
            <w:r>
              <w:rPr>
                <w:spacing w:val="-2"/>
                <w:lang w:eastAsia="zh-CN"/>
              </w:rPr>
              <w:t>分。发生生产安全责任事故，视严</w:t>
            </w:r>
            <w:r>
              <w:rPr>
                <w:spacing w:val="-5"/>
                <w:lang w:eastAsia="zh-CN"/>
              </w:rPr>
              <w:t>重程度扣</w:t>
            </w:r>
            <w:r>
              <w:rPr>
                <w:spacing w:val="-33"/>
                <w:lang w:eastAsia="zh-CN"/>
              </w:rPr>
              <w:t xml:space="preserve"> </w:t>
            </w:r>
            <w:r>
              <w:rPr>
                <w:spacing w:val="-5"/>
                <w:lang w:eastAsia="zh-CN"/>
              </w:rPr>
              <w:t>5-10</w:t>
            </w:r>
            <w:r>
              <w:rPr>
                <w:spacing w:val="-49"/>
                <w:lang w:eastAsia="zh-CN"/>
              </w:rPr>
              <w:t xml:space="preserve"> </w:t>
            </w:r>
            <w:r>
              <w:rPr>
                <w:spacing w:val="-5"/>
                <w:lang w:eastAsia="zh-CN"/>
              </w:rPr>
              <w:t>分；存在瞒报、谎报行</w:t>
            </w:r>
            <w:r>
              <w:rPr>
                <w:spacing w:val="-3"/>
                <w:lang w:eastAsia="zh-CN"/>
              </w:rPr>
              <w:t>为，本项不得分。</w:t>
            </w:r>
          </w:p>
        </w:tc>
        <w:tc>
          <w:tcPr>
            <w:tcW w:w="671" w:type="dxa"/>
          </w:tcPr>
          <w:p w14:paraId="1318D8EF">
            <w:pPr>
              <w:spacing w:line="241" w:lineRule="auto"/>
              <w:rPr>
                <w:rFonts w:ascii="Arial"/>
              </w:rPr>
            </w:pPr>
          </w:p>
          <w:p w14:paraId="1BC5ED01">
            <w:pPr>
              <w:spacing w:line="242" w:lineRule="auto"/>
              <w:rPr>
                <w:rFonts w:ascii="Arial"/>
              </w:rPr>
            </w:pPr>
          </w:p>
          <w:p w14:paraId="604B61B5">
            <w:pPr>
              <w:pStyle w:val="65"/>
              <w:spacing w:before="78" w:line="236" w:lineRule="auto"/>
              <w:ind w:left="239"/>
            </w:pPr>
            <w:r>
              <w:rPr>
                <w:spacing w:val="-13"/>
              </w:rPr>
              <w:t>10</w:t>
            </w:r>
          </w:p>
        </w:tc>
        <w:tc>
          <w:tcPr>
            <w:tcW w:w="491" w:type="dxa"/>
          </w:tcPr>
          <w:p w14:paraId="50003263">
            <w:pPr>
              <w:rPr>
                <w:rFonts w:ascii="Arial"/>
              </w:rPr>
            </w:pPr>
          </w:p>
        </w:tc>
        <w:tc>
          <w:tcPr>
            <w:tcW w:w="2018" w:type="dxa"/>
          </w:tcPr>
          <w:p w14:paraId="0239C719">
            <w:pPr>
              <w:rPr>
                <w:rFonts w:ascii="Arial"/>
              </w:rPr>
            </w:pPr>
          </w:p>
        </w:tc>
      </w:tr>
      <w:tr w14:paraId="386C1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779" w:type="dxa"/>
            <w:vMerge w:val="continue"/>
            <w:tcBorders>
              <w:top w:val="nil"/>
              <w:bottom w:val="nil"/>
            </w:tcBorders>
          </w:tcPr>
          <w:p w14:paraId="2AB4D98A">
            <w:pPr>
              <w:rPr>
                <w:rFonts w:ascii="Arial"/>
              </w:rPr>
            </w:pPr>
          </w:p>
        </w:tc>
        <w:tc>
          <w:tcPr>
            <w:tcW w:w="1035" w:type="dxa"/>
          </w:tcPr>
          <w:p w14:paraId="74BA5EA7">
            <w:pPr>
              <w:pStyle w:val="65"/>
              <w:spacing w:before="98"/>
              <w:ind w:left="180" w:right="40" w:hanging="47"/>
            </w:pPr>
            <w:r>
              <w:rPr>
                <w:spacing w:val="-13"/>
              </w:rPr>
              <w:t>4.2“吹</w:t>
            </w:r>
            <w:r>
              <w:rPr>
                <w:spacing w:val="29"/>
              </w:rPr>
              <w:t>哨人”</w:t>
            </w:r>
          </w:p>
          <w:p w14:paraId="0B2F9E6B">
            <w:pPr>
              <w:pStyle w:val="65"/>
              <w:spacing w:before="2" w:line="232" w:lineRule="auto"/>
              <w:ind w:left="403" w:right="155" w:hanging="232"/>
            </w:pPr>
            <w:r>
              <w:rPr>
                <w:spacing w:val="-6"/>
              </w:rPr>
              <w:t>制度执</w:t>
            </w:r>
            <w:r>
              <w:t>行</w:t>
            </w:r>
          </w:p>
        </w:tc>
        <w:tc>
          <w:tcPr>
            <w:tcW w:w="4163" w:type="dxa"/>
          </w:tcPr>
          <w:p w14:paraId="128297AF">
            <w:pPr>
              <w:pStyle w:val="65"/>
              <w:spacing w:before="100" w:line="236" w:lineRule="auto"/>
              <w:ind w:left="120" w:right="202" w:firstLine="1"/>
              <w:rPr>
                <w:lang w:eastAsia="zh-CN"/>
              </w:rPr>
            </w:pPr>
            <w:r>
              <w:rPr>
                <w:spacing w:val="-3"/>
                <w:lang w:eastAsia="zh-CN"/>
              </w:rPr>
              <w:t>建立并有效执行</w:t>
            </w:r>
            <w:r>
              <w:rPr>
                <w:spacing w:val="-81"/>
                <w:lang w:eastAsia="zh-CN"/>
              </w:rPr>
              <w:t xml:space="preserve"> </w:t>
            </w:r>
            <w:r>
              <w:rPr>
                <w:spacing w:val="-3"/>
                <w:lang w:eastAsia="zh-CN"/>
              </w:rPr>
              <w:t>“吹哨人”及隐患内</w:t>
            </w:r>
            <w:r>
              <w:rPr>
                <w:spacing w:val="-1"/>
                <w:lang w:eastAsia="zh-CN"/>
              </w:rPr>
              <w:t>部报告制度，奖励标准明确、落实到位，有完整台账记录。制度未建立不</w:t>
            </w:r>
            <w:r>
              <w:rPr>
                <w:spacing w:val="-4"/>
                <w:lang w:eastAsia="zh-CN"/>
              </w:rPr>
              <w:t>得分；执行不到位扣</w:t>
            </w:r>
            <w:r>
              <w:rPr>
                <w:spacing w:val="-22"/>
                <w:lang w:eastAsia="zh-CN"/>
              </w:rPr>
              <w:t xml:space="preserve"> </w:t>
            </w:r>
            <w:r>
              <w:rPr>
                <w:spacing w:val="-4"/>
                <w:lang w:eastAsia="zh-CN"/>
              </w:rPr>
              <w:t>3-5</w:t>
            </w:r>
            <w:r>
              <w:rPr>
                <w:spacing w:val="-49"/>
                <w:lang w:eastAsia="zh-CN"/>
              </w:rPr>
              <w:t xml:space="preserve"> </w:t>
            </w:r>
            <w:r>
              <w:rPr>
                <w:spacing w:val="-4"/>
                <w:lang w:eastAsia="zh-CN"/>
              </w:rPr>
              <w:t>分。</w:t>
            </w:r>
          </w:p>
        </w:tc>
        <w:tc>
          <w:tcPr>
            <w:tcW w:w="671" w:type="dxa"/>
          </w:tcPr>
          <w:p w14:paraId="2BC5DB62">
            <w:pPr>
              <w:spacing w:line="242" w:lineRule="auto"/>
              <w:rPr>
                <w:rFonts w:ascii="Arial"/>
              </w:rPr>
            </w:pPr>
          </w:p>
          <w:p w14:paraId="3F313B23">
            <w:pPr>
              <w:spacing w:line="243" w:lineRule="auto"/>
              <w:rPr>
                <w:rFonts w:ascii="Arial"/>
              </w:rPr>
            </w:pPr>
          </w:p>
          <w:p w14:paraId="3AA80B9E">
            <w:pPr>
              <w:pStyle w:val="65"/>
              <w:spacing w:before="78" w:line="236" w:lineRule="auto"/>
              <w:ind w:left="296"/>
            </w:pPr>
            <w:r>
              <w:t>5</w:t>
            </w:r>
          </w:p>
        </w:tc>
        <w:tc>
          <w:tcPr>
            <w:tcW w:w="491" w:type="dxa"/>
          </w:tcPr>
          <w:p w14:paraId="023D5F7B">
            <w:pPr>
              <w:rPr>
                <w:rFonts w:ascii="Arial"/>
              </w:rPr>
            </w:pPr>
          </w:p>
        </w:tc>
        <w:tc>
          <w:tcPr>
            <w:tcW w:w="2018" w:type="dxa"/>
          </w:tcPr>
          <w:p w14:paraId="7A88B6D2">
            <w:pPr>
              <w:rPr>
                <w:rFonts w:ascii="Arial"/>
              </w:rPr>
            </w:pPr>
          </w:p>
        </w:tc>
      </w:tr>
      <w:tr w14:paraId="3A885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779" w:type="dxa"/>
            <w:vMerge w:val="continue"/>
            <w:tcBorders>
              <w:top w:val="nil"/>
              <w:bottom w:val="nil"/>
            </w:tcBorders>
          </w:tcPr>
          <w:p w14:paraId="15258E00">
            <w:pPr>
              <w:rPr>
                <w:rFonts w:ascii="Arial"/>
              </w:rPr>
            </w:pPr>
          </w:p>
        </w:tc>
        <w:tc>
          <w:tcPr>
            <w:tcW w:w="1035" w:type="dxa"/>
          </w:tcPr>
          <w:p w14:paraId="4F070D3A">
            <w:pPr>
              <w:pStyle w:val="65"/>
              <w:spacing w:before="252" w:line="219" w:lineRule="auto"/>
              <w:ind w:left="200"/>
            </w:pPr>
            <w:r>
              <w:rPr>
                <w:spacing w:val="-5"/>
              </w:rPr>
              <w:t>4.3</w:t>
            </w:r>
            <w:r>
              <w:rPr>
                <w:spacing w:val="-31"/>
              </w:rPr>
              <w:t xml:space="preserve"> </w:t>
            </w:r>
            <w:r>
              <w:rPr>
                <w:spacing w:val="-5"/>
              </w:rPr>
              <w:t>隐</w:t>
            </w:r>
          </w:p>
          <w:p w14:paraId="5A46E26E">
            <w:pPr>
              <w:pStyle w:val="65"/>
              <w:spacing w:before="27" w:line="218" w:lineRule="auto"/>
              <w:ind w:left="177"/>
            </w:pPr>
            <w:r>
              <w:rPr>
                <w:spacing w:val="-8"/>
              </w:rPr>
              <w:t>患整改</w:t>
            </w:r>
          </w:p>
          <w:p w14:paraId="29E3E877">
            <w:pPr>
              <w:pStyle w:val="65"/>
              <w:spacing w:before="29" w:line="216" w:lineRule="auto"/>
              <w:ind w:left="307"/>
            </w:pPr>
            <w:r>
              <w:rPr>
                <w:spacing w:val="-17"/>
              </w:rPr>
              <w:t>闭环</w:t>
            </w:r>
          </w:p>
        </w:tc>
        <w:tc>
          <w:tcPr>
            <w:tcW w:w="4163" w:type="dxa"/>
          </w:tcPr>
          <w:p w14:paraId="5B488A7D">
            <w:pPr>
              <w:pStyle w:val="65"/>
              <w:spacing w:before="95" w:line="237" w:lineRule="auto"/>
              <w:ind w:left="118" w:right="202" w:firstLine="11"/>
              <w:rPr>
                <w:lang w:eastAsia="zh-CN"/>
              </w:rPr>
            </w:pPr>
            <w:r>
              <w:rPr>
                <w:spacing w:val="-1"/>
                <w:lang w:eastAsia="zh-CN"/>
              </w:rPr>
              <w:t>对发包方及自查隐患整改响应及时，</w:t>
            </w:r>
            <w:r>
              <w:rPr>
                <w:spacing w:val="-5"/>
                <w:lang w:eastAsia="zh-CN"/>
              </w:rPr>
              <w:t>形成</w:t>
            </w:r>
            <w:r>
              <w:rPr>
                <w:spacing w:val="-72"/>
                <w:lang w:eastAsia="zh-CN"/>
              </w:rPr>
              <w:t xml:space="preserve"> </w:t>
            </w:r>
            <w:r>
              <w:rPr>
                <w:spacing w:val="-5"/>
                <w:lang w:eastAsia="zh-CN"/>
              </w:rPr>
              <w:t>“发现-整改-验证”</w:t>
            </w:r>
            <w:r>
              <w:rPr>
                <w:spacing w:val="-87"/>
                <w:lang w:eastAsia="zh-CN"/>
              </w:rPr>
              <w:t xml:space="preserve"> </w:t>
            </w:r>
            <w:r>
              <w:rPr>
                <w:spacing w:val="-5"/>
                <w:lang w:eastAsia="zh-CN"/>
              </w:rPr>
              <w:t>闭环。一项</w:t>
            </w:r>
            <w:r>
              <w:rPr>
                <w:spacing w:val="-3"/>
                <w:lang w:eastAsia="zh-CN"/>
              </w:rPr>
              <w:t>未闭环扣</w:t>
            </w:r>
            <w:r>
              <w:rPr>
                <w:spacing w:val="-28"/>
                <w:lang w:eastAsia="zh-CN"/>
              </w:rPr>
              <w:t xml:space="preserve"> </w:t>
            </w:r>
            <w:r>
              <w:rPr>
                <w:spacing w:val="-3"/>
                <w:lang w:eastAsia="zh-CN"/>
              </w:rPr>
              <w:t>2</w:t>
            </w:r>
            <w:r>
              <w:rPr>
                <w:spacing w:val="-48"/>
                <w:lang w:eastAsia="zh-CN"/>
              </w:rPr>
              <w:t xml:space="preserve"> </w:t>
            </w:r>
            <w:r>
              <w:rPr>
                <w:spacing w:val="-3"/>
                <w:lang w:eastAsia="zh-CN"/>
              </w:rPr>
              <w:t>分；重复出现同类隐患加</w:t>
            </w:r>
            <w:r>
              <w:rPr>
                <w:spacing w:val="-1"/>
                <w:lang w:eastAsia="zh-CN"/>
              </w:rPr>
              <w:t>倍扣分。</w:t>
            </w:r>
          </w:p>
        </w:tc>
        <w:tc>
          <w:tcPr>
            <w:tcW w:w="671" w:type="dxa"/>
          </w:tcPr>
          <w:p w14:paraId="782BAE2C">
            <w:pPr>
              <w:spacing w:line="242" w:lineRule="auto"/>
              <w:rPr>
                <w:rFonts w:ascii="Arial"/>
              </w:rPr>
            </w:pPr>
          </w:p>
          <w:p w14:paraId="5522FDD1">
            <w:pPr>
              <w:spacing w:line="242" w:lineRule="auto"/>
              <w:rPr>
                <w:rFonts w:ascii="Arial"/>
              </w:rPr>
            </w:pPr>
          </w:p>
          <w:p w14:paraId="7A1A6AB1">
            <w:pPr>
              <w:pStyle w:val="65"/>
              <w:spacing w:before="78" w:line="236" w:lineRule="auto"/>
              <w:ind w:left="296"/>
            </w:pPr>
            <w:r>
              <w:t>5</w:t>
            </w:r>
          </w:p>
        </w:tc>
        <w:tc>
          <w:tcPr>
            <w:tcW w:w="491" w:type="dxa"/>
          </w:tcPr>
          <w:p w14:paraId="2035577C">
            <w:pPr>
              <w:rPr>
                <w:rFonts w:ascii="Arial"/>
              </w:rPr>
            </w:pPr>
          </w:p>
        </w:tc>
        <w:tc>
          <w:tcPr>
            <w:tcW w:w="2018" w:type="dxa"/>
          </w:tcPr>
          <w:p w14:paraId="47BF808C">
            <w:pPr>
              <w:rPr>
                <w:rFonts w:ascii="Arial"/>
              </w:rPr>
            </w:pPr>
          </w:p>
        </w:tc>
      </w:tr>
      <w:tr w14:paraId="27B16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1" w:hRule="atLeast"/>
        </w:trPr>
        <w:tc>
          <w:tcPr>
            <w:tcW w:w="779" w:type="dxa"/>
            <w:vMerge w:val="continue"/>
            <w:tcBorders>
              <w:top w:val="nil"/>
              <w:bottom w:val="nil"/>
            </w:tcBorders>
          </w:tcPr>
          <w:p w14:paraId="0D3C44DB">
            <w:pPr>
              <w:rPr>
                <w:rFonts w:ascii="Arial"/>
              </w:rPr>
            </w:pPr>
          </w:p>
        </w:tc>
        <w:tc>
          <w:tcPr>
            <w:tcW w:w="1035" w:type="dxa"/>
          </w:tcPr>
          <w:p w14:paraId="7627ABE7">
            <w:pPr>
              <w:spacing w:line="243" w:lineRule="auto"/>
              <w:rPr>
                <w:rFonts w:ascii="Arial"/>
              </w:rPr>
            </w:pPr>
          </w:p>
          <w:p w14:paraId="5714B266">
            <w:pPr>
              <w:spacing w:line="243" w:lineRule="auto"/>
              <w:rPr>
                <w:rFonts w:ascii="Arial"/>
              </w:rPr>
            </w:pPr>
          </w:p>
          <w:p w14:paraId="585EA9FC">
            <w:pPr>
              <w:pStyle w:val="65"/>
              <w:spacing w:before="78" w:line="241" w:lineRule="auto"/>
              <w:ind w:left="171" w:right="155" w:firstLine="29"/>
            </w:pPr>
            <w:r>
              <w:rPr>
                <w:spacing w:val="-9"/>
              </w:rPr>
              <w:t>4.4</w:t>
            </w:r>
            <w:r>
              <w:rPr>
                <w:spacing w:val="-43"/>
              </w:rPr>
              <w:t xml:space="preserve"> </w:t>
            </w:r>
            <w:r>
              <w:rPr>
                <w:spacing w:val="-9"/>
              </w:rPr>
              <w:t>事</w:t>
            </w:r>
            <w:r>
              <w:rPr>
                <w:spacing w:val="-6"/>
              </w:rPr>
              <w:t>故事件</w:t>
            </w:r>
            <w:r>
              <w:rPr>
                <w:spacing w:val="51"/>
              </w:rPr>
              <w:t>管理</w:t>
            </w:r>
          </w:p>
        </w:tc>
        <w:tc>
          <w:tcPr>
            <w:tcW w:w="4163" w:type="dxa"/>
          </w:tcPr>
          <w:p w14:paraId="646EE944">
            <w:pPr>
              <w:pStyle w:val="65"/>
              <w:spacing w:before="94" w:line="238" w:lineRule="auto"/>
              <w:ind w:left="124" w:right="49"/>
              <w:rPr>
                <w:lang w:eastAsia="zh-CN"/>
              </w:rPr>
            </w:pPr>
            <w:r>
              <w:rPr>
                <w:spacing w:val="-6"/>
                <w:lang w:eastAsia="zh-CN"/>
              </w:rPr>
              <w:t>按规定报告事故事件，严格执行</w:t>
            </w:r>
            <w:r>
              <w:rPr>
                <w:spacing w:val="-73"/>
                <w:lang w:eastAsia="zh-CN"/>
              </w:rPr>
              <w:t xml:space="preserve"> </w:t>
            </w:r>
            <w:r>
              <w:rPr>
                <w:spacing w:val="-6"/>
                <w:lang w:eastAsia="zh-CN"/>
              </w:rPr>
              <w:t>“</w:t>
            </w:r>
            <w:r>
              <w:rPr>
                <w:spacing w:val="-83"/>
                <w:lang w:eastAsia="zh-CN"/>
              </w:rPr>
              <w:t xml:space="preserve"> </w:t>
            </w:r>
            <w:r>
              <w:rPr>
                <w:spacing w:val="-6"/>
                <w:lang w:eastAsia="zh-CN"/>
              </w:rPr>
              <w:t>四</w:t>
            </w:r>
            <w:r>
              <w:rPr>
                <w:spacing w:val="1"/>
                <w:lang w:eastAsia="zh-CN"/>
              </w:rPr>
              <w:t>不放过”原则（原因未查清不放过、</w:t>
            </w:r>
            <w:r>
              <w:rPr>
                <w:spacing w:val="-1"/>
                <w:lang w:eastAsia="zh-CN"/>
              </w:rPr>
              <w:t>责任人未处理不放过、措施未落实不</w:t>
            </w:r>
            <w:r>
              <w:rPr>
                <w:spacing w:val="-6"/>
                <w:lang w:eastAsia="zh-CN"/>
              </w:rPr>
              <w:t>放过、有关人员未受到教育不放过）。</w:t>
            </w:r>
            <w:r>
              <w:rPr>
                <w:spacing w:val="-1"/>
                <w:lang w:eastAsia="zh-CN"/>
              </w:rPr>
              <w:t>未按规定报告或处理本项不得分；处</w:t>
            </w:r>
            <w:r>
              <w:rPr>
                <w:spacing w:val="-5"/>
                <w:lang w:eastAsia="zh-CN"/>
              </w:rPr>
              <w:t>理不完善扣</w:t>
            </w:r>
            <w:r>
              <w:rPr>
                <w:spacing w:val="-32"/>
                <w:lang w:eastAsia="zh-CN"/>
              </w:rPr>
              <w:t xml:space="preserve"> </w:t>
            </w:r>
            <w:r>
              <w:rPr>
                <w:spacing w:val="-5"/>
                <w:lang w:eastAsia="zh-CN"/>
              </w:rPr>
              <w:t>3-5</w:t>
            </w:r>
            <w:r>
              <w:rPr>
                <w:spacing w:val="-49"/>
                <w:lang w:eastAsia="zh-CN"/>
              </w:rPr>
              <w:t xml:space="preserve"> </w:t>
            </w:r>
            <w:r>
              <w:rPr>
                <w:spacing w:val="-5"/>
                <w:lang w:eastAsia="zh-CN"/>
              </w:rPr>
              <w:t>分。</w:t>
            </w:r>
          </w:p>
        </w:tc>
        <w:tc>
          <w:tcPr>
            <w:tcW w:w="671" w:type="dxa"/>
          </w:tcPr>
          <w:p w14:paraId="2B7E58C4">
            <w:pPr>
              <w:spacing w:line="265" w:lineRule="auto"/>
              <w:rPr>
                <w:rFonts w:ascii="Arial"/>
              </w:rPr>
            </w:pPr>
          </w:p>
          <w:p w14:paraId="61863804">
            <w:pPr>
              <w:spacing w:line="265" w:lineRule="auto"/>
              <w:rPr>
                <w:rFonts w:ascii="Arial"/>
              </w:rPr>
            </w:pPr>
          </w:p>
          <w:p w14:paraId="3EB30D40">
            <w:pPr>
              <w:spacing w:line="265" w:lineRule="auto"/>
              <w:rPr>
                <w:rFonts w:ascii="Arial"/>
              </w:rPr>
            </w:pPr>
          </w:p>
          <w:p w14:paraId="08362A89">
            <w:pPr>
              <w:pStyle w:val="65"/>
              <w:spacing w:before="78" w:line="236" w:lineRule="auto"/>
              <w:ind w:left="296"/>
            </w:pPr>
            <w:r>
              <w:t>5</w:t>
            </w:r>
          </w:p>
        </w:tc>
        <w:tc>
          <w:tcPr>
            <w:tcW w:w="491" w:type="dxa"/>
          </w:tcPr>
          <w:p w14:paraId="5FCC97C7">
            <w:pPr>
              <w:rPr>
                <w:rFonts w:ascii="Arial"/>
              </w:rPr>
            </w:pPr>
          </w:p>
        </w:tc>
        <w:tc>
          <w:tcPr>
            <w:tcW w:w="2018" w:type="dxa"/>
          </w:tcPr>
          <w:p w14:paraId="296A5A64">
            <w:pPr>
              <w:rPr>
                <w:rFonts w:ascii="Arial"/>
              </w:rPr>
            </w:pPr>
          </w:p>
        </w:tc>
      </w:tr>
      <w:tr w14:paraId="65B6E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779" w:type="dxa"/>
            <w:vMerge w:val="continue"/>
            <w:tcBorders>
              <w:top w:val="nil"/>
            </w:tcBorders>
          </w:tcPr>
          <w:p w14:paraId="24453DBB">
            <w:pPr>
              <w:rPr>
                <w:rFonts w:ascii="Arial"/>
              </w:rPr>
            </w:pPr>
          </w:p>
        </w:tc>
        <w:tc>
          <w:tcPr>
            <w:tcW w:w="1035" w:type="dxa"/>
          </w:tcPr>
          <w:p w14:paraId="0C7AA31C">
            <w:pPr>
              <w:spacing w:line="329" w:lineRule="auto"/>
              <w:rPr>
                <w:rFonts w:ascii="Arial"/>
              </w:rPr>
            </w:pPr>
          </w:p>
          <w:p w14:paraId="600BEB37">
            <w:pPr>
              <w:pStyle w:val="65"/>
              <w:spacing w:before="78" w:line="241" w:lineRule="auto"/>
              <w:ind w:left="165" w:right="155" w:firstLine="35"/>
            </w:pPr>
            <w:r>
              <w:rPr>
                <w:spacing w:val="-8"/>
              </w:rPr>
              <w:t>4.5</w:t>
            </w:r>
            <w:r>
              <w:rPr>
                <w:spacing w:val="-47"/>
              </w:rPr>
              <w:t xml:space="preserve"> </w:t>
            </w:r>
            <w:r>
              <w:rPr>
                <w:spacing w:val="-8"/>
              </w:rPr>
              <w:t>项</w:t>
            </w:r>
            <w:r>
              <w:rPr>
                <w:spacing w:val="-4"/>
              </w:rPr>
              <w:t>目负责人履职</w:t>
            </w:r>
          </w:p>
        </w:tc>
        <w:tc>
          <w:tcPr>
            <w:tcW w:w="4163" w:type="dxa"/>
          </w:tcPr>
          <w:p w14:paraId="4A30909F">
            <w:pPr>
              <w:pStyle w:val="65"/>
              <w:spacing w:before="98" w:line="237" w:lineRule="auto"/>
              <w:ind w:left="124" w:right="202" w:firstLine="2"/>
              <w:rPr>
                <w:lang w:eastAsia="zh-CN"/>
              </w:rPr>
            </w:pPr>
            <w:r>
              <w:rPr>
                <w:spacing w:val="-1"/>
                <w:lang w:eastAsia="zh-CN"/>
              </w:rPr>
              <w:t>项目（现场）负责人技术能力与安全管理经验匹配，在岗履职，变更需经发包方批准。评价期内擅离岗位或未经批准变更本项不得分；履职不到位</w:t>
            </w:r>
            <w:r>
              <w:rPr>
                <w:spacing w:val="-7"/>
                <w:lang w:eastAsia="zh-CN"/>
              </w:rPr>
              <w:t>扣</w:t>
            </w:r>
            <w:r>
              <w:rPr>
                <w:spacing w:val="-40"/>
                <w:lang w:eastAsia="zh-CN"/>
              </w:rPr>
              <w:t xml:space="preserve"> </w:t>
            </w:r>
            <w:r>
              <w:rPr>
                <w:spacing w:val="-7"/>
                <w:lang w:eastAsia="zh-CN"/>
              </w:rPr>
              <w:t>2-3</w:t>
            </w:r>
            <w:r>
              <w:rPr>
                <w:spacing w:val="-49"/>
                <w:lang w:eastAsia="zh-CN"/>
              </w:rPr>
              <w:t xml:space="preserve"> </w:t>
            </w:r>
            <w:r>
              <w:rPr>
                <w:spacing w:val="-7"/>
                <w:lang w:eastAsia="zh-CN"/>
              </w:rPr>
              <w:t>分。</w:t>
            </w:r>
          </w:p>
        </w:tc>
        <w:tc>
          <w:tcPr>
            <w:tcW w:w="671" w:type="dxa"/>
          </w:tcPr>
          <w:p w14:paraId="73686FB8">
            <w:pPr>
              <w:spacing w:line="319" w:lineRule="auto"/>
              <w:rPr>
                <w:rFonts w:ascii="Arial"/>
              </w:rPr>
            </w:pPr>
          </w:p>
          <w:p w14:paraId="6A9EF734">
            <w:pPr>
              <w:spacing w:line="320" w:lineRule="auto"/>
              <w:rPr>
                <w:rFonts w:ascii="Arial"/>
              </w:rPr>
            </w:pPr>
          </w:p>
          <w:p w14:paraId="5209FC01">
            <w:pPr>
              <w:pStyle w:val="65"/>
              <w:spacing w:before="78" w:line="236" w:lineRule="auto"/>
              <w:ind w:left="296"/>
            </w:pPr>
            <w:r>
              <w:t>5</w:t>
            </w:r>
          </w:p>
        </w:tc>
        <w:tc>
          <w:tcPr>
            <w:tcW w:w="491" w:type="dxa"/>
          </w:tcPr>
          <w:p w14:paraId="57D88B76">
            <w:pPr>
              <w:rPr>
                <w:rFonts w:ascii="Arial"/>
              </w:rPr>
            </w:pPr>
          </w:p>
        </w:tc>
        <w:tc>
          <w:tcPr>
            <w:tcW w:w="2018" w:type="dxa"/>
          </w:tcPr>
          <w:p w14:paraId="359DE7FB">
            <w:pPr>
              <w:rPr>
                <w:rFonts w:ascii="Arial"/>
              </w:rPr>
            </w:pPr>
          </w:p>
        </w:tc>
      </w:tr>
      <w:tr w14:paraId="73B0A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79" w:type="dxa"/>
            <w:vMerge w:val="restart"/>
            <w:tcBorders>
              <w:bottom w:val="nil"/>
            </w:tcBorders>
          </w:tcPr>
          <w:p w14:paraId="2292CF33">
            <w:pPr>
              <w:spacing w:line="245" w:lineRule="auto"/>
              <w:rPr>
                <w:rFonts w:ascii="Arial"/>
              </w:rPr>
            </w:pPr>
          </w:p>
          <w:p w14:paraId="15B3EE49">
            <w:pPr>
              <w:spacing w:line="245" w:lineRule="auto"/>
              <w:rPr>
                <w:rFonts w:ascii="Arial"/>
              </w:rPr>
            </w:pPr>
          </w:p>
          <w:p w14:paraId="109B8436">
            <w:pPr>
              <w:spacing w:line="245" w:lineRule="auto"/>
              <w:rPr>
                <w:rFonts w:ascii="Arial"/>
              </w:rPr>
            </w:pPr>
          </w:p>
          <w:p w14:paraId="33EBAC01">
            <w:pPr>
              <w:pStyle w:val="65"/>
              <w:spacing w:before="78" w:line="241" w:lineRule="auto"/>
              <w:ind w:left="158" w:right="147" w:firstLine="9"/>
            </w:pPr>
            <w:r>
              <w:rPr>
                <w:spacing w:val="-8"/>
              </w:rPr>
              <w:t>5.综</w:t>
            </w:r>
            <w:r>
              <w:rPr>
                <w:spacing w:val="-7"/>
              </w:rPr>
              <w:t>合管理与文化</w:t>
            </w:r>
            <w:r>
              <w:rPr>
                <w:spacing w:val="15"/>
              </w:rPr>
              <w:t>(15</w:t>
            </w:r>
            <w:r>
              <w:rPr>
                <w:spacing w:val="23"/>
              </w:rPr>
              <w:t>分)</w:t>
            </w:r>
          </w:p>
        </w:tc>
        <w:tc>
          <w:tcPr>
            <w:tcW w:w="1035" w:type="dxa"/>
          </w:tcPr>
          <w:p w14:paraId="5C059074">
            <w:pPr>
              <w:pStyle w:val="65"/>
              <w:spacing w:before="99"/>
              <w:ind w:left="166" w:right="155" w:firstLine="38"/>
            </w:pPr>
            <w:r>
              <w:rPr>
                <w:spacing w:val="-8"/>
              </w:rPr>
              <w:t>5.1</w:t>
            </w:r>
            <w:r>
              <w:rPr>
                <w:spacing w:val="-50"/>
              </w:rPr>
              <w:t xml:space="preserve"> </w:t>
            </w:r>
            <w:r>
              <w:rPr>
                <w:spacing w:val="-8"/>
              </w:rPr>
              <w:t>管</w:t>
            </w:r>
            <w:r>
              <w:rPr>
                <w:spacing w:val="-5"/>
              </w:rPr>
              <w:t>理机构</w:t>
            </w:r>
          </w:p>
          <w:p w14:paraId="09BC21C6">
            <w:pPr>
              <w:pStyle w:val="65"/>
              <w:spacing w:before="1" w:line="217" w:lineRule="auto"/>
              <w:ind w:left="176"/>
            </w:pPr>
            <w:r>
              <w:rPr>
                <w:spacing w:val="-8"/>
              </w:rPr>
              <w:t>与责任</w:t>
            </w:r>
          </w:p>
        </w:tc>
        <w:tc>
          <w:tcPr>
            <w:tcW w:w="4163" w:type="dxa"/>
          </w:tcPr>
          <w:p w14:paraId="74FA26FE">
            <w:pPr>
              <w:pStyle w:val="65"/>
              <w:spacing w:before="99" w:line="235" w:lineRule="auto"/>
              <w:ind w:left="134" w:right="49" w:hanging="4"/>
              <w:rPr>
                <w:lang w:eastAsia="zh-CN"/>
              </w:rPr>
            </w:pPr>
            <w:r>
              <w:rPr>
                <w:spacing w:val="-1"/>
                <w:lang w:eastAsia="zh-CN"/>
              </w:rPr>
              <w:t>安全管理机构健全，人员配备满足作</w:t>
            </w:r>
            <w:r>
              <w:rPr>
                <w:spacing w:val="-2"/>
                <w:lang w:eastAsia="zh-CN"/>
              </w:rPr>
              <w:t>业需求，安全生产责任制层层落实至</w:t>
            </w:r>
            <w:r>
              <w:rPr>
                <w:spacing w:val="-9"/>
                <w:lang w:eastAsia="zh-CN"/>
              </w:rPr>
              <w:t>岗位。一项不符合扣</w:t>
            </w:r>
            <w:r>
              <w:rPr>
                <w:spacing w:val="-27"/>
                <w:lang w:eastAsia="zh-CN"/>
              </w:rPr>
              <w:t xml:space="preserve"> </w:t>
            </w:r>
            <w:r>
              <w:rPr>
                <w:spacing w:val="-9"/>
                <w:lang w:eastAsia="zh-CN"/>
              </w:rPr>
              <w:t>2</w:t>
            </w:r>
            <w:r>
              <w:rPr>
                <w:spacing w:val="-49"/>
                <w:lang w:eastAsia="zh-CN"/>
              </w:rPr>
              <w:t xml:space="preserve"> </w:t>
            </w:r>
            <w:r>
              <w:rPr>
                <w:spacing w:val="-9"/>
                <w:lang w:eastAsia="zh-CN"/>
              </w:rPr>
              <w:t>分，扣完为止。</w:t>
            </w:r>
          </w:p>
        </w:tc>
        <w:tc>
          <w:tcPr>
            <w:tcW w:w="671" w:type="dxa"/>
          </w:tcPr>
          <w:p w14:paraId="00DC8D86">
            <w:pPr>
              <w:spacing w:line="331" w:lineRule="auto"/>
              <w:rPr>
                <w:rFonts w:ascii="Arial"/>
              </w:rPr>
            </w:pPr>
          </w:p>
          <w:p w14:paraId="259EFD67">
            <w:pPr>
              <w:pStyle w:val="65"/>
              <w:spacing w:before="78" w:line="236" w:lineRule="auto"/>
              <w:ind w:left="296"/>
            </w:pPr>
            <w:r>
              <w:t>5</w:t>
            </w:r>
          </w:p>
        </w:tc>
        <w:tc>
          <w:tcPr>
            <w:tcW w:w="491" w:type="dxa"/>
          </w:tcPr>
          <w:p w14:paraId="44E6B463">
            <w:pPr>
              <w:rPr>
                <w:rFonts w:ascii="Arial"/>
              </w:rPr>
            </w:pPr>
          </w:p>
        </w:tc>
        <w:tc>
          <w:tcPr>
            <w:tcW w:w="2018" w:type="dxa"/>
          </w:tcPr>
          <w:p w14:paraId="233EF414">
            <w:pPr>
              <w:rPr>
                <w:rFonts w:ascii="Arial"/>
              </w:rPr>
            </w:pPr>
          </w:p>
        </w:tc>
      </w:tr>
      <w:tr w14:paraId="57BA1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779" w:type="dxa"/>
            <w:vMerge w:val="continue"/>
            <w:tcBorders>
              <w:top w:val="nil"/>
              <w:bottom w:val="nil"/>
            </w:tcBorders>
          </w:tcPr>
          <w:p w14:paraId="5841EFB4">
            <w:pPr>
              <w:rPr>
                <w:rFonts w:ascii="Arial"/>
              </w:rPr>
            </w:pPr>
          </w:p>
        </w:tc>
        <w:tc>
          <w:tcPr>
            <w:tcW w:w="1035" w:type="dxa"/>
          </w:tcPr>
          <w:p w14:paraId="3851C753">
            <w:pPr>
              <w:pStyle w:val="65"/>
              <w:spacing w:before="100"/>
              <w:ind w:left="162" w:right="155" w:firstLine="41"/>
            </w:pPr>
            <w:r>
              <w:rPr>
                <w:spacing w:val="-10"/>
              </w:rPr>
              <w:t>5.2</w:t>
            </w:r>
            <w:r>
              <w:rPr>
                <w:spacing w:val="-43"/>
              </w:rPr>
              <w:t xml:space="preserve"> </w:t>
            </w:r>
            <w:r>
              <w:rPr>
                <w:spacing w:val="-10"/>
              </w:rPr>
              <w:t>制</w:t>
            </w:r>
            <w:r>
              <w:rPr>
                <w:spacing w:val="-3"/>
              </w:rPr>
              <w:t>度与文</w:t>
            </w:r>
          </w:p>
          <w:p w14:paraId="5E912DF7">
            <w:pPr>
              <w:pStyle w:val="65"/>
              <w:spacing w:before="1" w:line="231" w:lineRule="auto"/>
              <w:ind w:left="408" w:right="155" w:hanging="236"/>
            </w:pPr>
            <w:r>
              <w:rPr>
                <w:spacing w:val="-6"/>
              </w:rPr>
              <w:t>化匹配</w:t>
            </w:r>
            <w:r>
              <w:t>性</w:t>
            </w:r>
          </w:p>
        </w:tc>
        <w:tc>
          <w:tcPr>
            <w:tcW w:w="4163" w:type="dxa"/>
          </w:tcPr>
          <w:p w14:paraId="2FEE0E13">
            <w:pPr>
              <w:pStyle w:val="65"/>
              <w:spacing w:before="99" w:line="236" w:lineRule="auto"/>
              <w:ind w:left="132" w:right="49" w:hanging="2"/>
              <w:rPr>
                <w:lang w:eastAsia="zh-CN"/>
              </w:rPr>
            </w:pPr>
            <w:r>
              <w:rPr>
                <w:spacing w:val="-1"/>
                <w:lang w:eastAsia="zh-CN"/>
              </w:rPr>
              <w:t>安全管理制度、操作规程与业务实际</w:t>
            </w:r>
            <w:r>
              <w:rPr>
                <w:spacing w:val="-2"/>
                <w:lang w:eastAsia="zh-CN"/>
              </w:rPr>
              <w:t>匹配，积极参与发包方组织的安全文</w:t>
            </w:r>
            <w:r>
              <w:rPr>
                <w:spacing w:val="-7"/>
                <w:lang w:eastAsia="zh-CN"/>
              </w:rPr>
              <w:t>化活动（如安全培训、应急演练等）。</w:t>
            </w:r>
            <w:r>
              <w:rPr>
                <w:spacing w:val="-4"/>
                <w:lang w:eastAsia="zh-CN"/>
              </w:rPr>
              <w:t>一项不符合扣</w:t>
            </w:r>
            <w:r>
              <w:rPr>
                <w:spacing w:val="-35"/>
                <w:lang w:eastAsia="zh-CN"/>
              </w:rPr>
              <w:t xml:space="preserve"> </w:t>
            </w:r>
            <w:r>
              <w:rPr>
                <w:spacing w:val="-4"/>
                <w:lang w:eastAsia="zh-CN"/>
              </w:rPr>
              <w:t>2</w:t>
            </w:r>
            <w:r>
              <w:rPr>
                <w:spacing w:val="-48"/>
                <w:lang w:eastAsia="zh-CN"/>
              </w:rPr>
              <w:t xml:space="preserve"> </w:t>
            </w:r>
            <w:r>
              <w:rPr>
                <w:spacing w:val="-4"/>
                <w:lang w:eastAsia="zh-CN"/>
              </w:rPr>
              <w:t>分，扣完为止。</w:t>
            </w:r>
          </w:p>
        </w:tc>
        <w:tc>
          <w:tcPr>
            <w:tcW w:w="671" w:type="dxa"/>
          </w:tcPr>
          <w:p w14:paraId="7E84C09A">
            <w:pPr>
              <w:spacing w:line="243" w:lineRule="auto"/>
              <w:rPr>
                <w:rFonts w:ascii="Arial"/>
              </w:rPr>
            </w:pPr>
          </w:p>
          <w:p w14:paraId="3BF604CF">
            <w:pPr>
              <w:spacing w:line="244" w:lineRule="auto"/>
              <w:rPr>
                <w:rFonts w:ascii="Arial"/>
              </w:rPr>
            </w:pPr>
          </w:p>
          <w:p w14:paraId="4CFFF2E1">
            <w:pPr>
              <w:pStyle w:val="65"/>
              <w:spacing w:before="78" w:line="236" w:lineRule="auto"/>
              <w:ind w:left="296"/>
            </w:pPr>
            <w:r>
              <w:t>5</w:t>
            </w:r>
          </w:p>
        </w:tc>
        <w:tc>
          <w:tcPr>
            <w:tcW w:w="491" w:type="dxa"/>
          </w:tcPr>
          <w:p w14:paraId="5BB05BC1">
            <w:pPr>
              <w:rPr>
                <w:rFonts w:ascii="Arial"/>
              </w:rPr>
            </w:pPr>
          </w:p>
        </w:tc>
        <w:tc>
          <w:tcPr>
            <w:tcW w:w="2018" w:type="dxa"/>
          </w:tcPr>
          <w:p w14:paraId="304375F8">
            <w:pPr>
              <w:rPr>
                <w:rFonts w:ascii="Arial"/>
              </w:rPr>
            </w:pPr>
          </w:p>
        </w:tc>
      </w:tr>
      <w:tr w14:paraId="402DA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79" w:type="dxa"/>
            <w:vMerge w:val="continue"/>
            <w:tcBorders>
              <w:top w:val="nil"/>
            </w:tcBorders>
          </w:tcPr>
          <w:p w14:paraId="6F0CCBF8">
            <w:pPr>
              <w:rPr>
                <w:rFonts w:ascii="Arial"/>
              </w:rPr>
            </w:pPr>
          </w:p>
        </w:tc>
        <w:tc>
          <w:tcPr>
            <w:tcW w:w="1035" w:type="dxa"/>
          </w:tcPr>
          <w:p w14:paraId="1EBC56E9">
            <w:pPr>
              <w:pStyle w:val="65"/>
              <w:spacing w:before="100"/>
              <w:ind w:left="182" w:right="155" w:firstLine="22"/>
            </w:pPr>
            <w:r>
              <w:rPr>
                <w:spacing w:val="-8"/>
              </w:rPr>
              <w:t>5.3</w:t>
            </w:r>
            <w:r>
              <w:rPr>
                <w:spacing w:val="-51"/>
              </w:rPr>
              <w:t xml:space="preserve"> </w:t>
            </w:r>
            <w:r>
              <w:rPr>
                <w:spacing w:val="-8"/>
              </w:rPr>
              <w:t>保</w:t>
            </w:r>
            <w:r>
              <w:rPr>
                <w:spacing w:val="-10"/>
              </w:rPr>
              <w:t>险与劳</w:t>
            </w:r>
          </w:p>
          <w:p w14:paraId="433D6271">
            <w:pPr>
              <w:pStyle w:val="65"/>
              <w:spacing w:line="218" w:lineRule="auto"/>
              <w:ind w:left="176"/>
            </w:pPr>
            <w:r>
              <w:rPr>
                <w:spacing w:val="-8"/>
              </w:rPr>
              <w:t>动关系</w:t>
            </w:r>
          </w:p>
        </w:tc>
        <w:tc>
          <w:tcPr>
            <w:tcW w:w="4163" w:type="dxa"/>
          </w:tcPr>
          <w:p w14:paraId="795A530D">
            <w:pPr>
              <w:pStyle w:val="65"/>
              <w:spacing w:before="99" w:line="235" w:lineRule="auto"/>
              <w:ind w:left="120" w:right="202"/>
              <w:rPr>
                <w:lang w:eastAsia="zh-CN"/>
              </w:rPr>
            </w:pPr>
            <w:r>
              <w:rPr>
                <w:spacing w:val="-1"/>
                <w:lang w:eastAsia="zh-CN"/>
              </w:rPr>
              <w:t>依法为从业人员购买工伤保险等法定保险，劳动关系合法清晰，无劳务纠</w:t>
            </w:r>
            <w:r>
              <w:rPr>
                <w:spacing w:val="-3"/>
                <w:lang w:eastAsia="zh-CN"/>
              </w:rPr>
              <w:t>纷。一项不符合扣</w:t>
            </w:r>
            <w:r>
              <w:rPr>
                <w:spacing w:val="-31"/>
                <w:lang w:eastAsia="zh-CN"/>
              </w:rPr>
              <w:t xml:space="preserve"> </w:t>
            </w:r>
            <w:r>
              <w:rPr>
                <w:spacing w:val="-3"/>
                <w:lang w:eastAsia="zh-CN"/>
              </w:rPr>
              <w:t>2</w:t>
            </w:r>
            <w:r>
              <w:rPr>
                <w:spacing w:val="-49"/>
                <w:lang w:eastAsia="zh-CN"/>
              </w:rPr>
              <w:t xml:space="preserve"> </w:t>
            </w:r>
            <w:r>
              <w:rPr>
                <w:spacing w:val="-3"/>
                <w:lang w:eastAsia="zh-CN"/>
              </w:rPr>
              <w:t>分，扣完为止。</w:t>
            </w:r>
          </w:p>
        </w:tc>
        <w:tc>
          <w:tcPr>
            <w:tcW w:w="671" w:type="dxa"/>
          </w:tcPr>
          <w:p w14:paraId="232A7CDB">
            <w:pPr>
              <w:spacing w:line="332" w:lineRule="auto"/>
              <w:rPr>
                <w:rFonts w:ascii="Arial"/>
              </w:rPr>
            </w:pPr>
          </w:p>
          <w:p w14:paraId="4289AA58">
            <w:pPr>
              <w:pStyle w:val="65"/>
              <w:spacing w:before="78" w:line="236" w:lineRule="auto"/>
              <w:ind w:left="296"/>
            </w:pPr>
            <w:r>
              <w:t>5</w:t>
            </w:r>
          </w:p>
        </w:tc>
        <w:tc>
          <w:tcPr>
            <w:tcW w:w="491" w:type="dxa"/>
          </w:tcPr>
          <w:p w14:paraId="097EFA71">
            <w:pPr>
              <w:rPr>
                <w:rFonts w:ascii="Arial"/>
              </w:rPr>
            </w:pPr>
          </w:p>
        </w:tc>
        <w:tc>
          <w:tcPr>
            <w:tcW w:w="2018" w:type="dxa"/>
          </w:tcPr>
          <w:p w14:paraId="564F902B">
            <w:pPr>
              <w:rPr>
                <w:rFonts w:ascii="Arial"/>
              </w:rPr>
            </w:pPr>
          </w:p>
        </w:tc>
      </w:tr>
      <w:tr w14:paraId="63B49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79" w:type="dxa"/>
          </w:tcPr>
          <w:p w14:paraId="4D690C0C">
            <w:pPr>
              <w:pStyle w:val="65"/>
              <w:spacing w:before="101" w:line="223" w:lineRule="auto"/>
              <w:ind w:left="166"/>
            </w:pPr>
            <w:r>
              <w:rPr>
                <w:spacing w:val="-7"/>
              </w:rPr>
              <w:t>6.加</w:t>
            </w:r>
          </w:p>
        </w:tc>
        <w:tc>
          <w:tcPr>
            <w:tcW w:w="1035" w:type="dxa"/>
          </w:tcPr>
          <w:p w14:paraId="2E8F9F64">
            <w:pPr>
              <w:pStyle w:val="65"/>
              <w:spacing w:before="101" w:line="218" w:lineRule="auto"/>
              <w:ind w:left="203"/>
            </w:pPr>
            <w:r>
              <w:rPr>
                <w:spacing w:val="-6"/>
              </w:rPr>
              <w:t>6.1</w:t>
            </w:r>
            <w:r>
              <w:rPr>
                <w:spacing w:val="-41"/>
              </w:rPr>
              <w:t xml:space="preserve"> </w:t>
            </w:r>
            <w:r>
              <w:rPr>
                <w:spacing w:val="-6"/>
              </w:rPr>
              <w:t>事</w:t>
            </w:r>
          </w:p>
        </w:tc>
        <w:tc>
          <w:tcPr>
            <w:tcW w:w="4163" w:type="dxa"/>
          </w:tcPr>
          <w:p w14:paraId="00B7AD9A">
            <w:pPr>
              <w:pStyle w:val="65"/>
              <w:spacing w:before="101" w:line="217" w:lineRule="auto"/>
              <w:ind w:left="124"/>
              <w:rPr>
                <w:lang w:eastAsia="zh-CN"/>
              </w:rPr>
            </w:pPr>
            <w:r>
              <w:rPr>
                <w:spacing w:val="-1"/>
                <w:lang w:eastAsia="zh-CN"/>
              </w:rPr>
              <w:t>发生事故后积极配合调查、有效落实</w:t>
            </w:r>
          </w:p>
        </w:tc>
        <w:tc>
          <w:tcPr>
            <w:tcW w:w="671" w:type="dxa"/>
          </w:tcPr>
          <w:p w14:paraId="01B716C5">
            <w:pPr>
              <w:pStyle w:val="65"/>
              <w:spacing w:before="100" w:line="224" w:lineRule="auto"/>
              <w:ind w:left="296"/>
            </w:pPr>
            <w:r>
              <w:t>5</w:t>
            </w:r>
          </w:p>
        </w:tc>
        <w:tc>
          <w:tcPr>
            <w:tcW w:w="491" w:type="dxa"/>
          </w:tcPr>
          <w:p w14:paraId="28235D53">
            <w:pPr>
              <w:rPr>
                <w:rFonts w:ascii="Arial"/>
              </w:rPr>
            </w:pPr>
          </w:p>
        </w:tc>
        <w:tc>
          <w:tcPr>
            <w:tcW w:w="2018" w:type="dxa"/>
          </w:tcPr>
          <w:p w14:paraId="7CE5F043">
            <w:pPr>
              <w:rPr>
                <w:rFonts w:ascii="Arial"/>
              </w:rPr>
            </w:pPr>
          </w:p>
        </w:tc>
      </w:tr>
    </w:tbl>
    <w:p w14:paraId="20431078">
      <w:pPr>
        <w:rPr>
          <w:rFonts w:ascii="Arial"/>
        </w:rPr>
      </w:pPr>
    </w:p>
    <w:p w14:paraId="65BE458F">
      <w:pPr>
        <w:rPr>
          <w:rFonts w:ascii="Arial" w:hAnsi="Arial" w:eastAsia="Arial" w:cs="Arial"/>
          <w:szCs w:val="21"/>
        </w:rPr>
        <w:sectPr>
          <w:headerReference r:id="rId11" w:type="default"/>
          <w:footerReference r:id="rId12" w:type="default"/>
          <w:pgSz w:w="11906" w:h="16839"/>
          <w:pgMar w:top="400" w:right="1065" w:bottom="1223" w:left="1677" w:header="0" w:footer="1061" w:gutter="0"/>
          <w:cols w:space="720" w:num="1"/>
        </w:sectPr>
      </w:pPr>
    </w:p>
    <w:p w14:paraId="1C3AC1AE">
      <w:pPr>
        <w:spacing w:before="19"/>
      </w:pPr>
    </w:p>
    <w:p w14:paraId="448F504B">
      <w:pPr>
        <w:spacing w:before="19"/>
      </w:pPr>
    </w:p>
    <w:p w14:paraId="03960924">
      <w:pPr>
        <w:spacing w:before="18"/>
      </w:pPr>
    </w:p>
    <w:p w14:paraId="6434091E">
      <w:pPr>
        <w:spacing w:before="18"/>
      </w:pPr>
    </w:p>
    <w:tbl>
      <w:tblPr>
        <w:tblStyle w:val="66"/>
        <w:tblW w:w="9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035"/>
        <w:gridCol w:w="4163"/>
        <w:gridCol w:w="671"/>
        <w:gridCol w:w="491"/>
        <w:gridCol w:w="2018"/>
      </w:tblGrid>
      <w:tr w14:paraId="2E629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79" w:type="dxa"/>
            <w:vMerge w:val="restart"/>
            <w:tcBorders>
              <w:bottom w:val="nil"/>
            </w:tcBorders>
          </w:tcPr>
          <w:p w14:paraId="4F76E68A">
            <w:pPr>
              <w:pStyle w:val="65"/>
              <w:spacing w:before="99" w:line="241" w:lineRule="auto"/>
              <w:ind w:left="217" w:right="147" w:hanging="60"/>
            </w:pPr>
            <w:r>
              <w:rPr>
                <w:spacing w:val="-6"/>
              </w:rPr>
              <w:t>分项</w:t>
            </w:r>
            <w:r>
              <w:rPr>
                <w:spacing w:val="-4"/>
              </w:rPr>
              <w:t>(10</w:t>
            </w:r>
            <w:r>
              <w:rPr>
                <w:spacing w:val="-6"/>
              </w:rPr>
              <w:t>分)</w:t>
            </w:r>
          </w:p>
        </w:tc>
        <w:tc>
          <w:tcPr>
            <w:tcW w:w="1035" w:type="dxa"/>
          </w:tcPr>
          <w:p w14:paraId="67974296">
            <w:pPr>
              <w:pStyle w:val="65"/>
              <w:spacing w:before="97" w:line="234" w:lineRule="auto"/>
              <w:ind w:left="293" w:right="155" w:hanging="122"/>
            </w:pPr>
            <w:r>
              <w:rPr>
                <w:spacing w:val="-6"/>
              </w:rPr>
              <w:t>故处理</w:t>
            </w:r>
            <w:r>
              <w:rPr>
                <w:spacing w:val="-10"/>
              </w:rPr>
              <w:t>配合</w:t>
            </w:r>
          </w:p>
        </w:tc>
        <w:tc>
          <w:tcPr>
            <w:tcW w:w="4163" w:type="dxa"/>
          </w:tcPr>
          <w:p w14:paraId="16677ACF">
            <w:pPr>
              <w:pStyle w:val="65"/>
              <w:spacing w:before="97" w:line="234" w:lineRule="auto"/>
              <w:ind w:left="127" w:right="202"/>
            </w:pPr>
            <w:r>
              <w:rPr>
                <w:spacing w:val="-1"/>
              </w:rPr>
              <w:t>整改措施并形成案例共享。根据配合</w:t>
            </w:r>
            <w:r>
              <w:rPr>
                <w:spacing w:val="1"/>
              </w:rPr>
              <w:t>程度与整改效果加</w:t>
            </w:r>
            <w:r>
              <w:rPr>
                <w:spacing w:val="-27"/>
              </w:rPr>
              <w:t xml:space="preserve"> </w:t>
            </w:r>
            <w:r>
              <w:rPr>
                <w:spacing w:val="1"/>
              </w:rPr>
              <w:t>3-5分。</w:t>
            </w:r>
          </w:p>
        </w:tc>
        <w:tc>
          <w:tcPr>
            <w:tcW w:w="671" w:type="dxa"/>
          </w:tcPr>
          <w:p w14:paraId="4F64CF88">
            <w:pPr>
              <w:rPr>
                <w:rFonts w:ascii="Arial"/>
              </w:rPr>
            </w:pPr>
          </w:p>
        </w:tc>
        <w:tc>
          <w:tcPr>
            <w:tcW w:w="491" w:type="dxa"/>
          </w:tcPr>
          <w:p w14:paraId="741964D5">
            <w:pPr>
              <w:rPr>
                <w:rFonts w:ascii="Arial"/>
              </w:rPr>
            </w:pPr>
          </w:p>
        </w:tc>
        <w:tc>
          <w:tcPr>
            <w:tcW w:w="2018" w:type="dxa"/>
          </w:tcPr>
          <w:p w14:paraId="5EB151E2">
            <w:pPr>
              <w:rPr>
                <w:rFonts w:ascii="Arial"/>
              </w:rPr>
            </w:pPr>
          </w:p>
        </w:tc>
      </w:tr>
      <w:tr w14:paraId="225EA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79" w:type="dxa"/>
            <w:vMerge w:val="continue"/>
            <w:tcBorders>
              <w:top w:val="nil"/>
              <w:bottom w:val="nil"/>
            </w:tcBorders>
          </w:tcPr>
          <w:p w14:paraId="5EAFFED7">
            <w:pPr>
              <w:rPr>
                <w:rFonts w:ascii="Arial"/>
              </w:rPr>
            </w:pPr>
          </w:p>
        </w:tc>
        <w:tc>
          <w:tcPr>
            <w:tcW w:w="1035" w:type="dxa"/>
          </w:tcPr>
          <w:p w14:paraId="3BD670C2">
            <w:pPr>
              <w:pStyle w:val="65"/>
              <w:spacing w:before="251"/>
              <w:ind w:left="162" w:right="155" w:firstLine="41"/>
            </w:pPr>
            <w:r>
              <w:rPr>
                <w:spacing w:val="-9"/>
              </w:rPr>
              <w:t>6.2</w:t>
            </w:r>
            <w:r>
              <w:rPr>
                <w:spacing w:val="-45"/>
              </w:rPr>
              <w:t xml:space="preserve"> </w:t>
            </w:r>
            <w:r>
              <w:rPr>
                <w:spacing w:val="-9"/>
              </w:rPr>
              <w:t>安</w:t>
            </w:r>
            <w:r>
              <w:rPr>
                <w:spacing w:val="-3"/>
              </w:rPr>
              <w:t>全创新</w:t>
            </w:r>
          </w:p>
        </w:tc>
        <w:tc>
          <w:tcPr>
            <w:tcW w:w="4163" w:type="dxa"/>
          </w:tcPr>
          <w:p w14:paraId="6A89C2F4">
            <w:pPr>
              <w:pStyle w:val="65"/>
              <w:spacing w:before="90" w:line="237" w:lineRule="auto"/>
              <w:ind w:left="123" w:right="49" w:hanging="1"/>
              <w:rPr>
                <w:lang w:eastAsia="zh-CN"/>
              </w:rPr>
            </w:pPr>
            <w:r>
              <w:rPr>
                <w:spacing w:val="-1"/>
                <w:lang w:eastAsia="zh-CN"/>
              </w:rPr>
              <w:t>提出安全管理创新建议（如作业方法优化、隐患防控措施改进等）被发包</w:t>
            </w:r>
            <w:r>
              <w:rPr>
                <w:spacing w:val="-10"/>
                <w:lang w:eastAsia="zh-CN"/>
              </w:rPr>
              <w:t>方采纳。一项加</w:t>
            </w:r>
            <w:r>
              <w:rPr>
                <w:spacing w:val="-29"/>
                <w:lang w:eastAsia="zh-CN"/>
              </w:rPr>
              <w:t xml:space="preserve"> </w:t>
            </w:r>
            <w:r>
              <w:rPr>
                <w:spacing w:val="-10"/>
                <w:lang w:eastAsia="zh-CN"/>
              </w:rPr>
              <w:t>2-3</w:t>
            </w:r>
            <w:r>
              <w:rPr>
                <w:spacing w:val="-49"/>
                <w:lang w:eastAsia="zh-CN"/>
              </w:rPr>
              <w:t xml:space="preserve"> </w:t>
            </w:r>
            <w:r>
              <w:rPr>
                <w:spacing w:val="-10"/>
                <w:lang w:eastAsia="zh-CN"/>
              </w:rPr>
              <w:t>分，最多加</w:t>
            </w:r>
            <w:r>
              <w:rPr>
                <w:spacing w:val="-31"/>
                <w:lang w:eastAsia="zh-CN"/>
              </w:rPr>
              <w:t xml:space="preserve"> </w:t>
            </w:r>
            <w:r>
              <w:rPr>
                <w:spacing w:val="-10"/>
                <w:lang w:eastAsia="zh-CN"/>
              </w:rPr>
              <w:t>3</w:t>
            </w:r>
            <w:r>
              <w:rPr>
                <w:spacing w:val="-49"/>
                <w:lang w:eastAsia="zh-CN"/>
              </w:rPr>
              <w:t xml:space="preserve"> </w:t>
            </w:r>
            <w:r>
              <w:rPr>
                <w:spacing w:val="-10"/>
                <w:lang w:eastAsia="zh-CN"/>
              </w:rPr>
              <w:t>分。</w:t>
            </w:r>
          </w:p>
        </w:tc>
        <w:tc>
          <w:tcPr>
            <w:tcW w:w="671" w:type="dxa"/>
          </w:tcPr>
          <w:p w14:paraId="484133A7">
            <w:pPr>
              <w:spacing w:line="326" w:lineRule="auto"/>
              <w:rPr>
                <w:rFonts w:ascii="Arial"/>
              </w:rPr>
            </w:pPr>
          </w:p>
          <w:p w14:paraId="6D751001">
            <w:pPr>
              <w:pStyle w:val="65"/>
              <w:spacing w:before="78" w:line="236" w:lineRule="auto"/>
              <w:ind w:left="302"/>
            </w:pPr>
            <w:r>
              <w:t>3</w:t>
            </w:r>
          </w:p>
        </w:tc>
        <w:tc>
          <w:tcPr>
            <w:tcW w:w="491" w:type="dxa"/>
          </w:tcPr>
          <w:p w14:paraId="6ECA3604">
            <w:pPr>
              <w:rPr>
                <w:rFonts w:ascii="Arial"/>
              </w:rPr>
            </w:pPr>
          </w:p>
        </w:tc>
        <w:tc>
          <w:tcPr>
            <w:tcW w:w="2018" w:type="dxa"/>
          </w:tcPr>
          <w:p w14:paraId="1AE3A5F4">
            <w:pPr>
              <w:rPr>
                <w:rFonts w:ascii="Arial"/>
              </w:rPr>
            </w:pPr>
          </w:p>
        </w:tc>
      </w:tr>
      <w:tr w14:paraId="522F3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79" w:type="dxa"/>
            <w:vMerge w:val="continue"/>
            <w:tcBorders>
              <w:top w:val="nil"/>
              <w:bottom w:val="nil"/>
            </w:tcBorders>
          </w:tcPr>
          <w:p w14:paraId="19A07011">
            <w:pPr>
              <w:rPr>
                <w:rFonts w:ascii="Arial"/>
              </w:rPr>
            </w:pPr>
          </w:p>
        </w:tc>
        <w:tc>
          <w:tcPr>
            <w:tcW w:w="1035" w:type="dxa"/>
          </w:tcPr>
          <w:p w14:paraId="53B7359F">
            <w:pPr>
              <w:pStyle w:val="65"/>
              <w:spacing w:before="253" w:line="241" w:lineRule="auto"/>
              <w:ind w:left="177" w:right="155" w:firstLine="25"/>
            </w:pPr>
            <w:r>
              <w:rPr>
                <w:spacing w:val="-13"/>
              </w:rPr>
              <w:t>6.3</w:t>
            </w:r>
            <w:r>
              <w:rPr>
                <w:spacing w:val="-30"/>
              </w:rPr>
              <w:t xml:space="preserve"> </w:t>
            </w:r>
            <w:r>
              <w:rPr>
                <w:spacing w:val="-13"/>
              </w:rPr>
              <w:t>隐</w:t>
            </w:r>
            <w:r>
              <w:rPr>
                <w:spacing w:val="-8"/>
              </w:rPr>
              <w:t>患上报</w:t>
            </w:r>
          </w:p>
        </w:tc>
        <w:tc>
          <w:tcPr>
            <w:tcW w:w="4163" w:type="dxa"/>
          </w:tcPr>
          <w:p w14:paraId="1C4F9B2B">
            <w:pPr>
              <w:pStyle w:val="65"/>
              <w:spacing w:before="98" w:line="235" w:lineRule="auto"/>
              <w:ind w:left="122" w:right="116" w:firstLine="22"/>
              <w:rPr>
                <w:lang w:eastAsia="zh-CN"/>
              </w:rPr>
            </w:pPr>
            <w:r>
              <w:rPr>
                <w:spacing w:val="-2"/>
                <w:lang w:eastAsia="zh-CN"/>
              </w:rPr>
              <w:t>“吹哨人”主动上报重大安全隐患并</w:t>
            </w:r>
            <w:r>
              <w:rPr>
                <w:spacing w:val="-9"/>
                <w:lang w:eastAsia="zh-CN"/>
              </w:rPr>
              <w:t>避免事故发生。一次加</w:t>
            </w:r>
            <w:r>
              <w:rPr>
                <w:spacing w:val="-40"/>
                <w:lang w:eastAsia="zh-CN"/>
              </w:rPr>
              <w:t xml:space="preserve"> </w:t>
            </w:r>
            <w:r>
              <w:rPr>
                <w:spacing w:val="-9"/>
                <w:lang w:eastAsia="zh-CN"/>
              </w:rPr>
              <w:t>2</w:t>
            </w:r>
            <w:r>
              <w:rPr>
                <w:spacing w:val="-48"/>
                <w:lang w:eastAsia="zh-CN"/>
              </w:rPr>
              <w:t xml:space="preserve"> </w:t>
            </w:r>
            <w:r>
              <w:rPr>
                <w:spacing w:val="-9"/>
                <w:lang w:eastAsia="zh-CN"/>
              </w:rPr>
              <w:t>分，最多加</w:t>
            </w:r>
            <w:r>
              <w:rPr>
                <w:spacing w:val="-42"/>
                <w:lang w:eastAsia="zh-CN"/>
              </w:rPr>
              <w:t xml:space="preserve"> </w:t>
            </w:r>
            <w:r>
              <w:rPr>
                <w:spacing w:val="-9"/>
                <w:lang w:eastAsia="zh-CN"/>
              </w:rPr>
              <w:t>2</w:t>
            </w:r>
            <w:r>
              <w:rPr>
                <w:spacing w:val="-4"/>
                <w:lang w:eastAsia="zh-CN"/>
              </w:rPr>
              <w:t>分。</w:t>
            </w:r>
          </w:p>
        </w:tc>
        <w:tc>
          <w:tcPr>
            <w:tcW w:w="671" w:type="dxa"/>
          </w:tcPr>
          <w:p w14:paraId="2672DA87">
            <w:pPr>
              <w:spacing w:line="329" w:lineRule="auto"/>
              <w:rPr>
                <w:rFonts w:ascii="Arial"/>
              </w:rPr>
            </w:pPr>
          </w:p>
          <w:p w14:paraId="6C8E2D3D">
            <w:pPr>
              <w:pStyle w:val="65"/>
              <w:spacing w:before="78" w:line="237" w:lineRule="auto"/>
              <w:ind w:left="293"/>
            </w:pPr>
            <w:r>
              <w:t>2</w:t>
            </w:r>
          </w:p>
        </w:tc>
        <w:tc>
          <w:tcPr>
            <w:tcW w:w="491" w:type="dxa"/>
          </w:tcPr>
          <w:p w14:paraId="4CE7D917">
            <w:pPr>
              <w:rPr>
                <w:rFonts w:ascii="Arial"/>
              </w:rPr>
            </w:pPr>
          </w:p>
        </w:tc>
        <w:tc>
          <w:tcPr>
            <w:tcW w:w="2018" w:type="dxa"/>
          </w:tcPr>
          <w:p w14:paraId="0BA2A127">
            <w:pPr>
              <w:rPr>
                <w:rFonts w:ascii="Arial"/>
              </w:rPr>
            </w:pPr>
          </w:p>
        </w:tc>
      </w:tr>
      <w:tr w14:paraId="4BD1A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79" w:type="dxa"/>
            <w:vMerge w:val="continue"/>
            <w:tcBorders>
              <w:top w:val="nil"/>
            </w:tcBorders>
          </w:tcPr>
          <w:p w14:paraId="7ED93013">
            <w:pPr>
              <w:rPr>
                <w:rFonts w:ascii="Arial"/>
              </w:rPr>
            </w:pPr>
          </w:p>
        </w:tc>
        <w:tc>
          <w:tcPr>
            <w:tcW w:w="1035" w:type="dxa"/>
          </w:tcPr>
          <w:p w14:paraId="14618EF5">
            <w:pPr>
              <w:pStyle w:val="65"/>
              <w:spacing w:before="99" w:line="232" w:lineRule="auto"/>
              <w:ind w:left="408" w:right="155" w:hanging="245"/>
            </w:pPr>
            <w:r>
              <w:rPr>
                <w:spacing w:val="-4"/>
              </w:rPr>
              <w:t>加分小</w:t>
            </w:r>
            <w:r>
              <w:t>计</w:t>
            </w:r>
          </w:p>
        </w:tc>
        <w:tc>
          <w:tcPr>
            <w:tcW w:w="4163" w:type="dxa"/>
          </w:tcPr>
          <w:p w14:paraId="43A127DE">
            <w:pPr>
              <w:pStyle w:val="65"/>
              <w:spacing w:before="254" w:line="217" w:lineRule="auto"/>
              <w:ind w:left="137"/>
            </w:pPr>
            <w:r>
              <w:rPr>
                <w:spacing w:val="-5"/>
              </w:rPr>
              <w:t>累计加分不超过</w:t>
            </w:r>
            <w:r>
              <w:rPr>
                <w:spacing w:val="-33"/>
              </w:rPr>
              <w:t xml:space="preserve"> </w:t>
            </w:r>
            <w:r>
              <w:rPr>
                <w:spacing w:val="-5"/>
              </w:rPr>
              <w:t>10</w:t>
            </w:r>
            <w:r>
              <w:rPr>
                <w:spacing w:val="-49"/>
              </w:rPr>
              <w:t xml:space="preserve"> </w:t>
            </w:r>
            <w:r>
              <w:rPr>
                <w:spacing w:val="-5"/>
              </w:rPr>
              <w:t>分</w:t>
            </w:r>
          </w:p>
        </w:tc>
        <w:tc>
          <w:tcPr>
            <w:tcW w:w="671" w:type="dxa"/>
          </w:tcPr>
          <w:p w14:paraId="3F461F62">
            <w:pPr>
              <w:pStyle w:val="65"/>
              <w:spacing w:before="254" w:line="236" w:lineRule="auto"/>
              <w:ind w:left="239"/>
            </w:pPr>
            <w:r>
              <w:rPr>
                <w:spacing w:val="-13"/>
              </w:rPr>
              <w:t>10</w:t>
            </w:r>
          </w:p>
        </w:tc>
        <w:tc>
          <w:tcPr>
            <w:tcW w:w="2509" w:type="dxa"/>
            <w:gridSpan w:val="2"/>
          </w:tcPr>
          <w:p w14:paraId="2062AC75">
            <w:pPr>
              <w:rPr>
                <w:rFonts w:ascii="Arial"/>
              </w:rPr>
            </w:pPr>
          </w:p>
        </w:tc>
      </w:tr>
      <w:tr w14:paraId="1BA74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977" w:type="dxa"/>
            <w:gridSpan w:val="3"/>
          </w:tcPr>
          <w:p w14:paraId="33C65861">
            <w:pPr>
              <w:pStyle w:val="65"/>
              <w:spacing w:before="98" w:line="217" w:lineRule="auto"/>
              <w:ind w:left="1870"/>
            </w:pPr>
            <w:r>
              <w:rPr>
                <w:spacing w:val="-3"/>
              </w:rPr>
              <w:t>总分（标准分+加分）</w:t>
            </w:r>
          </w:p>
        </w:tc>
        <w:tc>
          <w:tcPr>
            <w:tcW w:w="671" w:type="dxa"/>
          </w:tcPr>
          <w:p w14:paraId="424C1B89">
            <w:pPr>
              <w:pStyle w:val="65"/>
              <w:spacing w:before="98" w:line="225" w:lineRule="auto"/>
              <w:ind w:left="179"/>
            </w:pPr>
            <w:r>
              <w:rPr>
                <w:spacing w:val="-9"/>
              </w:rPr>
              <w:t>110</w:t>
            </w:r>
          </w:p>
        </w:tc>
        <w:tc>
          <w:tcPr>
            <w:tcW w:w="2509" w:type="dxa"/>
            <w:gridSpan w:val="2"/>
          </w:tcPr>
          <w:p w14:paraId="6C989B94">
            <w:pPr>
              <w:rPr>
                <w:rFonts w:ascii="Arial"/>
              </w:rPr>
            </w:pPr>
          </w:p>
        </w:tc>
      </w:tr>
      <w:tr w14:paraId="36B80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9157" w:type="dxa"/>
            <w:gridSpan w:val="6"/>
          </w:tcPr>
          <w:p w14:paraId="1EA281BA">
            <w:pPr>
              <w:pStyle w:val="65"/>
              <w:spacing w:before="100" w:line="203" w:lineRule="auto"/>
              <w:ind w:left="126"/>
              <w:rPr>
                <w:lang w:eastAsia="zh-CN"/>
              </w:rPr>
            </w:pPr>
            <w:r>
              <w:rPr>
                <w:b/>
                <w:bCs/>
                <w:spacing w:val="-7"/>
                <w:lang w:eastAsia="zh-CN"/>
              </w:rPr>
              <w:t>评价等级：</w:t>
            </w:r>
            <w:r>
              <w:rPr>
                <w:rFonts w:ascii="微软雅黑" w:hAnsi="微软雅黑" w:eastAsia="微软雅黑" w:cs="微软雅黑"/>
                <w:spacing w:val="-7"/>
                <w:lang w:eastAsia="zh-CN"/>
              </w:rPr>
              <w:t>□</w:t>
            </w:r>
            <w:r>
              <w:rPr>
                <w:spacing w:val="-7"/>
                <w:lang w:eastAsia="zh-CN"/>
              </w:rPr>
              <w:t>A</w:t>
            </w:r>
            <w:r>
              <w:rPr>
                <w:spacing w:val="-41"/>
                <w:lang w:eastAsia="zh-CN"/>
              </w:rPr>
              <w:t xml:space="preserve"> </w:t>
            </w:r>
            <w:r>
              <w:rPr>
                <w:spacing w:val="-7"/>
                <w:lang w:eastAsia="zh-CN"/>
              </w:rPr>
              <w:t>级（得分≥90</w:t>
            </w:r>
            <w:r>
              <w:rPr>
                <w:spacing w:val="-49"/>
                <w:lang w:eastAsia="zh-CN"/>
              </w:rPr>
              <w:t xml:space="preserve"> </w:t>
            </w:r>
            <w:r>
              <w:rPr>
                <w:spacing w:val="-7"/>
                <w:lang w:eastAsia="zh-CN"/>
              </w:rPr>
              <w:t>分）□B</w:t>
            </w:r>
            <w:r>
              <w:rPr>
                <w:spacing w:val="-41"/>
                <w:lang w:eastAsia="zh-CN"/>
              </w:rPr>
              <w:t xml:space="preserve"> </w:t>
            </w:r>
            <w:r>
              <w:rPr>
                <w:spacing w:val="-7"/>
                <w:lang w:eastAsia="zh-CN"/>
              </w:rPr>
              <w:t>级（70</w:t>
            </w:r>
            <w:r>
              <w:rPr>
                <w:spacing w:val="-49"/>
                <w:lang w:eastAsia="zh-CN"/>
              </w:rPr>
              <w:t xml:space="preserve"> </w:t>
            </w:r>
            <w:r>
              <w:rPr>
                <w:spacing w:val="-7"/>
                <w:lang w:eastAsia="zh-CN"/>
              </w:rPr>
              <w:t>分≤得分＜90</w:t>
            </w:r>
            <w:r>
              <w:rPr>
                <w:spacing w:val="-49"/>
                <w:lang w:eastAsia="zh-CN"/>
              </w:rPr>
              <w:t xml:space="preserve"> </w:t>
            </w:r>
            <w:r>
              <w:rPr>
                <w:spacing w:val="-7"/>
                <w:lang w:eastAsia="zh-CN"/>
              </w:rPr>
              <w:t>分）□C</w:t>
            </w:r>
            <w:r>
              <w:rPr>
                <w:spacing w:val="-41"/>
                <w:lang w:eastAsia="zh-CN"/>
              </w:rPr>
              <w:t xml:space="preserve"> </w:t>
            </w:r>
            <w:r>
              <w:rPr>
                <w:spacing w:val="-7"/>
                <w:lang w:eastAsia="zh-CN"/>
              </w:rPr>
              <w:t>级（得分&lt;</w:t>
            </w:r>
            <w:r>
              <w:rPr>
                <w:spacing w:val="-8"/>
                <w:lang w:eastAsia="zh-CN"/>
              </w:rPr>
              <w:t>70</w:t>
            </w:r>
            <w:r>
              <w:rPr>
                <w:spacing w:val="-49"/>
                <w:lang w:eastAsia="zh-CN"/>
              </w:rPr>
              <w:t xml:space="preserve"> </w:t>
            </w:r>
            <w:r>
              <w:rPr>
                <w:spacing w:val="-8"/>
                <w:lang w:eastAsia="zh-CN"/>
              </w:rPr>
              <w:t>分）。</w:t>
            </w:r>
            <w:r>
              <w:rPr>
                <w:spacing w:val="-1"/>
                <w:lang w:eastAsia="zh-CN"/>
              </w:rPr>
              <w:t>连续两次评价为C</w:t>
            </w:r>
            <w:r>
              <w:rPr>
                <w:spacing w:val="-26"/>
                <w:lang w:eastAsia="zh-CN"/>
              </w:rPr>
              <w:t xml:space="preserve"> </w:t>
            </w:r>
            <w:r>
              <w:rPr>
                <w:spacing w:val="-1"/>
                <w:lang w:eastAsia="zh-CN"/>
              </w:rPr>
              <w:t>级的承包商纳入黑名单管理。</w:t>
            </w:r>
          </w:p>
          <w:p w14:paraId="0C22D9FC">
            <w:pPr>
              <w:pStyle w:val="65"/>
              <w:spacing w:before="11" w:line="217" w:lineRule="auto"/>
              <w:ind w:left="126"/>
              <w:rPr>
                <w:lang w:eastAsia="zh-CN"/>
              </w:rPr>
            </w:pPr>
            <w:r>
              <w:rPr>
                <w:b/>
                <w:bCs/>
                <w:spacing w:val="-4"/>
                <w:lang w:eastAsia="zh-CN"/>
              </w:rPr>
              <w:t>评价人员签字：</w:t>
            </w:r>
          </w:p>
          <w:p w14:paraId="2498A5D1">
            <w:pPr>
              <w:pStyle w:val="65"/>
              <w:spacing w:before="29" w:line="217" w:lineRule="auto"/>
              <w:ind w:left="126"/>
              <w:rPr>
                <w:lang w:eastAsia="zh-CN"/>
              </w:rPr>
            </w:pPr>
            <w:r>
              <w:rPr>
                <w:b/>
                <w:bCs/>
                <w:spacing w:val="-8"/>
                <w:lang w:eastAsia="zh-CN"/>
              </w:rPr>
              <w:t>评价日期：</w:t>
            </w:r>
            <w:r>
              <w:rPr>
                <w:spacing w:val="6"/>
                <w:lang w:eastAsia="zh-CN"/>
              </w:rPr>
              <w:t xml:space="preserve">    </w:t>
            </w:r>
            <w:r>
              <w:rPr>
                <w:spacing w:val="-8"/>
                <w:lang w:eastAsia="zh-CN"/>
              </w:rPr>
              <w:t>年</w:t>
            </w:r>
            <w:r>
              <w:rPr>
                <w:spacing w:val="10"/>
                <w:lang w:eastAsia="zh-CN"/>
              </w:rPr>
              <w:t xml:space="preserve">  </w:t>
            </w:r>
            <w:r>
              <w:rPr>
                <w:spacing w:val="-8"/>
                <w:lang w:eastAsia="zh-CN"/>
              </w:rPr>
              <w:t>月</w:t>
            </w:r>
            <w:r>
              <w:rPr>
                <w:spacing w:val="28"/>
                <w:lang w:eastAsia="zh-CN"/>
              </w:rPr>
              <w:t xml:space="preserve">  </w:t>
            </w:r>
            <w:r>
              <w:rPr>
                <w:spacing w:val="-8"/>
                <w:lang w:eastAsia="zh-CN"/>
              </w:rPr>
              <w:t>日</w:t>
            </w:r>
          </w:p>
        </w:tc>
      </w:tr>
    </w:tbl>
    <w:p w14:paraId="4F93F70F">
      <w:pPr>
        <w:tabs>
          <w:tab w:val="left" w:pos="2065"/>
          <w:tab w:val="left" w:pos="4770"/>
        </w:tabs>
        <w:spacing w:line="480" w:lineRule="auto"/>
        <w:rPr>
          <w:sz w:val="22"/>
        </w:rPr>
      </w:pPr>
    </w:p>
    <w:p w14:paraId="5A0DC662">
      <w:pPr>
        <w:pStyle w:val="64"/>
        <w:spacing w:before="0" w:after="0" w:line="360" w:lineRule="auto"/>
        <w:jc w:val="center"/>
        <w:rPr>
          <w:rFonts w:ascii="宋体" w:hAnsi="宋体" w:eastAsia="宋体" w:cs="宋体"/>
          <w:b/>
          <w:bCs/>
          <w:sz w:val="24"/>
          <w:szCs w:val="24"/>
        </w:rPr>
      </w:pPr>
    </w:p>
    <w:p w14:paraId="29D96713">
      <w:pPr>
        <w:pStyle w:val="64"/>
        <w:spacing w:before="0" w:after="0" w:line="360" w:lineRule="auto"/>
        <w:jc w:val="center"/>
        <w:rPr>
          <w:rFonts w:ascii="宋体" w:hAnsi="宋体" w:eastAsia="宋体" w:cs="宋体"/>
          <w:b/>
          <w:bCs/>
          <w:sz w:val="24"/>
          <w:szCs w:val="24"/>
        </w:rPr>
      </w:pPr>
    </w:p>
    <w:p w14:paraId="45A3A3A9">
      <w:pPr>
        <w:pStyle w:val="64"/>
        <w:spacing w:before="0" w:after="0" w:line="360" w:lineRule="auto"/>
        <w:jc w:val="center"/>
        <w:rPr>
          <w:rFonts w:ascii="宋体" w:hAnsi="宋体" w:eastAsia="宋体" w:cs="宋体"/>
          <w:b/>
          <w:bCs/>
          <w:sz w:val="24"/>
          <w:szCs w:val="24"/>
        </w:rPr>
      </w:pPr>
    </w:p>
    <w:p w14:paraId="02085C66">
      <w:pPr>
        <w:pStyle w:val="64"/>
        <w:spacing w:before="0" w:after="0" w:line="360" w:lineRule="auto"/>
        <w:jc w:val="center"/>
        <w:rPr>
          <w:rFonts w:ascii="宋体" w:hAnsi="宋体" w:eastAsia="宋体" w:cs="宋体"/>
          <w:b/>
          <w:bCs/>
          <w:sz w:val="24"/>
          <w:szCs w:val="24"/>
        </w:rPr>
      </w:pPr>
    </w:p>
    <w:p w14:paraId="2E977BBA">
      <w:pPr>
        <w:pStyle w:val="64"/>
        <w:spacing w:before="0" w:after="0" w:line="360" w:lineRule="auto"/>
        <w:jc w:val="center"/>
        <w:rPr>
          <w:rFonts w:ascii="宋体" w:hAnsi="宋体" w:eastAsia="宋体" w:cs="宋体"/>
          <w:b/>
          <w:bCs/>
          <w:sz w:val="24"/>
          <w:szCs w:val="24"/>
        </w:rPr>
      </w:pPr>
    </w:p>
    <w:p w14:paraId="3502AD86">
      <w:pPr>
        <w:pStyle w:val="64"/>
        <w:spacing w:before="0" w:after="0" w:line="360" w:lineRule="auto"/>
        <w:jc w:val="center"/>
        <w:rPr>
          <w:rFonts w:ascii="宋体" w:hAnsi="宋体" w:eastAsia="宋体" w:cs="宋体"/>
          <w:b/>
          <w:bCs/>
          <w:sz w:val="24"/>
          <w:szCs w:val="24"/>
        </w:rPr>
      </w:pPr>
    </w:p>
    <w:p w14:paraId="73CA1B41">
      <w:pPr>
        <w:pStyle w:val="64"/>
        <w:spacing w:before="0" w:after="0" w:line="360" w:lineRule="auto"/>
        <w:jc w:val="center"/>
        <w:rPr>
          <w:rFonts w:ascii="宋体" w:hAnsi="宋体" w:eastAsia="宋体" w:cs="宋体"/>
          <w:b/>
          <w:bCs/>
          <w:sz w:val="24"/>
          <w:szCs w:val="24"/>
        </w:rPr>
      </w:pPr>
    </w:p>
    <w:p w14:paraId="3FD57445">
      <w:pPr>
        <w:pStyle w:val="64"/>
        <w:spacing w:before="0" w:after="0" w:line="360" w:lineRule="auto"/>
        <w:jc w:val="center"/>
        <w:rPr>
          <w:rFonts w:ascii="宋体" w:hAnsi="宋体" w:eastAsia="宋体" w:cs="宋体"/>
          <w:b/>
          <w:bCs/>
          <w:sz w:val="24"/>
          <w:szCs w:val="24"/>
        </w:rPr>
      </w:pPr>
    </w:p>
    <w:p w14:paraId="23A134D0">
      <w:pPr>
        <w:pStyle w:val="64"/>
        <w:spacing w:before="0" w:after="0" w:line="360" w:lineRule="auto"/>
        <w:jc w:val="center"/>
        <w:rPr>
          <w:rFonts w:ascii="宋体" w:hAnsi="宋体" w:eastAsia="宋体" w:cs="宋体"/>
          <w:b/>
          <w:bCs/>
          <w:sz w:val="24"/>
          <w:szCs w:val="24"/>
        </w:rPr>
      </w:pPr>
    </w:p>
    <w:p w14:paraId="16450E30">
      <w:pPr>
        <w:pStyle w:val="64"/>
        <w:spacing w:before="0" w:after="0" w:line="360" w:lineRule="auto"/>
        <w:jc w:val="center"/>
        <w:rPr>
          <w:rFonts w:ascii="宋体" w:hAnsi="宋体" w:eastAsia="宋体" w:cs="宋体"/>
          <w:b/>
          <w:bCs/>
          <w:sz w:val="24"/>
          <w:szCs w:val="24"/>
        </w:rPr>
      </w:pPr>
    </w:p>
    <w:p w14:paraId="29958ABC">
      <w:pPr>
        <w:pStyle w:val="64"/>
        <w:spacing w:before="0" w:after="0" w:line="360" w:lineRule="auto"/>
        <w:jc w:val="center"/>
        <w:rPr>
          <w:rFonts w:ascii="宋体" w:hAnsi="宋体" w:eastAsia="宋体" w:cs="宋体"/>
          <w:b/>
          <w:bCs/>
          <w:sz w:val="24"/>
          <w:szCs w:val="24"/>
        </w:rPr>
      </w:pPr>
    </w:p>
    <w:p w14:paraId="2E74F587">
      <w:pPr>
        <w:pStyle w:val="64"/>
        <w:spacing w:before="0" w:after="0" w:line="360" w:lineRule="auto"/>
        <w:jc w:val="center"/>
        <w:rPr>
          <w:rFonts w:ascii="宋体" w:hAnsi="宋体" w:eastAsia="宋体" w:cs="宋体"/>
          <w:b/>
          <w:bCs/>
          <w:sz w:val="24"/>
          <w:szCs w:val="24"/>
        </w:rPr>
      </w:pPr>
    </w:p>
    <w:p w14:paraId="053A2961">
      <w:pPr>
        <w:pStyle w:val="64"/>
        <w:spacing w:before="0" w:after="0" w:line="360" w:lineRule="auto"/>
        <w:jc w:val="center"/>
        <w:rPr>
          <w:rFonts w:ascii="宋体" w:hAnsi="宋体" w:eastAsia="宋体" w:cs="宋体"/>
          <w:b/>
          <w:bCs/>
          <w:sz w:val="24"/>
          <w:szCs w:val="24"/>
        </w:rPr>
      </w:pPr>
    </w:p>
    <w:p w14:paraId="4AC2DE09">
      <w:pPr>
        <w:pStyle w:val="64"/>
        <w:spacing w:before="0" w:after="0" w:line="360" w:lineRule="auto"/>
        <w:jc w:val="center"/>
        <w:rPr>
          <w:rFonts w:ascii="宋体" w:hAnsi="宋体" w:eastAsia="宋体" w:cs="宋体"/>
          <w:b/>
          <w:bCs/>
          <w:sz w:val="24"/>
          <w:szCs w:val="24"/>
        </w:rPr>
      </w:pPr>
    </w:p>
    <w:p w14:paraId="07B7269E">
      <w:pPr>
        <w:pStyle w:val="64"/>
        <w:spacing w:before="0" w:after="0" w:line="360" w:lineRule="auto"/>
        <w:jc w:val="center"/>
        <w:rPr>
          <w:rFonts w:ascii="微软雅黑" w:hAnsi="微软雅黑" w:eastAsia="微软雅黑" w:cs="微软雅黑"/>
          <w:b/>
          <w:bCs/>
          <w:spacing w:val="25"/>
          <w:position w:val="-1"/>
          <w:sz w:val="35"/>
          <w:szCs w:val="35"/>
        </w:rPr>
      </w:pPr>
      <w:r>
        <w:rPr>
          <w:rFonts w:hint="eastAsia" w:ascii="宋体" w:hAnsi="宋体" w:eastAsia="宋体" w:cs="宋体"/>
          <w:b/>
          <w:bCs/>
          <w:sz w:val="24"/>
          <w:szCs w:val="24"/>
        </w:rPr>
        <w:t>附件4：承包商安全生产 “吹哨人” 和隐患内部报告奖励统计表</w:t>
      </w:r>
    </w:p>
    <w:p w14:paraId="3C2CAC6A">
      <w:pPr>
        <w:spacing w:before="207" w:line="354" w:lineRule="exact"/>
        <w:jc w:val="center"/>
        <w:outlineLvl w:val="1"/>
        <w:rPr>
          <w:rFonts w:ascii="微软雅黑" w:hAnsi="微软雅黑" w:eastAsia="微软雅黑" w:cs="微软雅黑"/>
          <w:sz w:val="35"/>
          <w:szCs w:val="35"/>
        </w:rPr>
      </w:pPr>
      <w:r>
        <w:rPr>
          <w:rFonts w:ascii="微软雅黑" w:hAnsi="微软雅黑" w:eastAsia="微软雅黑" w:cs="微软雅黑"/>
          <w:spacing w:val="17"/>
          <w:position w:val="-1"/>
          <w:sz w:val="35"/>
          <w:szCs w:val="35"/>
        </w:rPr>
        <w:t>承包商安全生产</w:t>
      </w:r>
      <w:r>
        <w:rPr>
          <w:rFonts w:ascii="微软雅黑" w:hAnsi="微软雅黑" w:eastAsia="微软雅黑" w:cs="微软雅黑"/>
          <w:spacing w:val="86"/>
          <w:position w:val="-1"/>
          <w:sz w:val="35"/>
          <w:szCs w:val="35"/>
        </w:rPr>
        <w:t xml:space="preserve"> </w:t>
      </w:r>
      <w:r>
        <w:rPr>
          <w:position w:val="17"/>
          <w:sz w:val="35"/>
          <w:szCs w:val="35"/>
        </w:rPr>
        <w:drawing>
          <wp:inline distT="0" distB="0" distL="114300" distR="114300">
            <wp:extent cx="102235" cy="70485"/>
            <wp:effectExtent l="0" t="0" r="4445" b="5715"/>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16"/>
                    <a:stretch>
                      <a:fillRect/>
                    </a:stretch>
                  </pic:blipFill>
                  <pic:spPr>
                    <a:xfrm>
                      <a:off x="0" y="0"/>
                      <a:ext cx="102235" cy="70485"/>
                    </a:xfrm>
                    <a:prstGeom prst="rect">
                      <a:avLst/>
                    </a:prstGeom>
                    <a:noFill/>
                    <a:ln>
                      <a:noFill/>
                    </a:ln>
                  </pic:spPr>
                </pic:pic>
              </a:graphicData>
            </a:graphic>
          </wp:inline>
        </w:drawing>
      </w:r>
      <w:r>
        <w:rPr>
          <w:rFonts w:ascii="微软雅黑" w:hAnsi="微软雅黑" w:eastAsia="微软雅黑" w:cs="微软雅黑"/>
          <w:spacing w:val="17"/>
          <w:position w:val="-1"/>
          <w:sz w:val="35"/>
          <w:szCs w:val="35"/>
        </w:rPr>
        <w:t>吹哨人</w:t>
      </w:r>
      <w:r>
        <w:rPr>
          <w:position w:val="17"/>
          <w:sz w:val="35"/>
          <w:szCs w:val="35"/>
        </w:rPr>
        <w:drawing>
          <wp:inline distT="0" distB="0" distL="114300" distR="114300">
            <wp:extent cx="102235" cy="70485"/>
            <wp:effectExtent l="0" t="0" r="4445" b="5715"/>
            <wp:docPr id="5" name="图片 2"/>
            <wp:cNvGraphicFramePr/>
            <a:graphic xmlns:a="http://schemas.openxmlformats.org/drawingml/2006/main">
              <a:graphicData uri="http://schemas.openxmlformats.org/drawingml/2006/picture">
                <pic:pic xmlns:pic="http://schemas.openxmlformats.org/drawingml/2006/picture">
                  <pic:nvPicPr>
                    <pic:cNvPr id="5" name="图片 2"/>
                    <pic:cNvPicPr/>
                  </pic:nvPicPr>
                  <pic:blipFill>
                    <a:blip r:embed="rId17"/>
                    <a:stretch>
                      <a:fillRect/>
                    </a:stretch>
                  </pic:blipFill>
                  <pic:spPr>
                    <a:xfrm>
                      <a:off x="0" y="0"/>
                      <a:ext cx="102235" cy="70485"/>
                    </a:xfrm>
                    <a:prstGeom prst="rect">
                      <a:avLst/>
                    </a:prstGeom>
                    <a:noFill/>
                    <a:ln>
                      <a:noFill/>
                    </a:ln>
                  </pic:spPr>
                </pic:pic>
              </a:graphicData>
            </a:graphic>
          </wp:inline>
        </w:drawing>
      </w:r>
      <w:r>
        <w:rPr>
          <w:rFonts w:ascii="微软雅黑" w:hAnsi="微软雅黑" w:eastAsia="微软雅黑" w:cs="微软雅黑"/>
          <w:spacing w:val="86"/>
          <w:position w:val="-1"/>
          <w:sz w:val="35"/>
          <w:szCs w:val="35"/>
        </w:rPr>
        <w:t xml:space="preserve"> </w:t>
      </w:r>
      <w:r>
        <w:rPr>
          <w:rFonts w:ascii="微软雅黑" w:hAnsi="微软雅黑" w:eastAsia="微软雅黑" w:cs="微软雅黑"/>
          <w:spacing w:val="17"/>
          <w:position w:val="-1"/>
          <w:sz w:val="35"/>
          <w:szCs w:val="35"/>
        </w:rPr>
        <w:t>和隐患内部报告奖励统计</w:t>
      </w:r>
      <w:r>
        <w:rPr>
          <w:rFonts w:ascii="微软雅黑" w:hAnsi="微软雅黑" w:eastAsia="微软雅黑" w:cs="微软雅黑"/>
          <w:spacing w:val="16"/>
          <w:position w:val="-1"/>
          <w:sz w:val="35"/>
          <w:szCs w:val="35"/>
        </w:rPr>
        <w:t>表</w:t>
      </w:r>
    </w:p>
    <w:p w14:paraId="75F690F4">
      <w:pPr>
        <w:spacing w:line="320" w:lineRule="auto"/>
        <w:rPr>
          <w:rFonts w:ascii="Arial"/>
        </w:rPr>
      </w:pPr>
    </w:p>
    <w:p w14:paraId="4E957921">
      <w:pPr>
        <w:pStyle w:val="8"/>
        <w:spacing w:before="78" w:line="217" w:lineRule="auto"/>
        <w:ind w:left="515"/>
        <w:rPr>
          <w:sz w:val="24"/>
        </w:rPr>
      </w:pPr>
      <w:r>
        <w:rPr>
          <w:spacing w:val="-13"/>
          <w:sz w:val="24"/>
        </w:rPr>
        <w:t>统计期间：</w:t>
      </w:r>
      <w:r>
        <w:rPr>
          <w:spacing w:val="6"/>
          <w:sz w:val="24"/>
        </w:rPr>
        <w:t xml:space="preserve">    </w:t>
      </w:r>
      <w:r>
        <w:rPr>
          <w:spacing w:val="-13"/>
          <w:sz w:val="24"/>
        </w:rPr>
        <w:t>年</w:t>
      </w:r>
      <w:r>
        <w:rPr>
          <w:spacing w:val="7"/>
          <w:sz w:val="24"/>
        </w:rPr>
        <w:t xml:space="preserve">   </w:t>
      </w:r>
      <w:r>
        <w:rPr>
          <w:spacing w:val="-13"/>
          <w:sz w:val="24"/>
        </w:rPr>
        <w:t>月</w:t>
      </w:r>
      <w:r>
        <w:rPr>
          <w:spacing w:val="27"/>
          <w:sz w:val="24"/>
        </w:rPr>
        <w:t xml:space="preserve">  </w:t>
      </w:r>
      <w:r>
        <w:rPr>
          <w:spacing w:val="-13"/>
          <w:sz w:val="24"/>
        </w:rPr>
        <w:t>日至</w:t>
      </w:r>
      <w:r>
        <w:rPr>
          <w:spacing w:val="3"/>
          <w:sz w:val="24"/>
        </w:rPr>
        <w:t xml:space="preserve">    </w:t>
      </w:r>
      <w:r>
        <w:rPr>
          <w:spacing w:val="-13"/>
          <w:sz w:val="24"/>
        </w:rPr>
        <w:t>年</w:t>
      </w:r>
      <w:r>
        <w:rPr>
          <w:spacing w:val="11"/>
          <w:sz w:val="24"/>
        </w:rPr>
        <w:t xml:space="preserve">  </w:t>
      </w:r>
      <w:r>
        <w:rPr>
          <w:spacing w:val="-13"/>
          <w:sz w:val="24"/>
        </w:rPr>
        <w:t>月</w:t>
      </w:r>
      <w:r>
        <w:rPr>
          <w:spacing w:val="27"/>
          <w:sz w:val="24"/>
        </w:rPr>
        <w:t xml:space="preserve">  </w:t>
      </w:r>
      <w:r>
        <w:rPr>
          <w:spacing w:val="-13"/>
          <w:sz w:val="24"/>
        </w:rPr>
        <w:t>日</w:t>
      </w:r>
    </w:p>
    <w:p w14:paraId="5ADA1844">
      <w:pPr>
        <w:spacing w:line="33" w:lineRule="exact"/>
      </w:pPr>
    </w:p>
    <w:tbl>
      <w:tblPr>
        <w:tblStyle w:val="66"/>
        <w:tblW w:w="13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929"/>
        <w:gridCol w:w="960"/>
        <w:gridCol w:w="960"/>
        <w:gridCol w:w="1239"/>
        <w:gridCol w:w="1239"/>
        <w:gridCol w:w="1029"/>
        <w:gridCol w:w="960"/>
        <w:gridCol w:w="960"/>
        <w:gridCol w:w="960"/>
        <w:gridCol w:w="960"/>
        <w:gridCol w:w="964"/>
      </w:tblGrid>
      <w:tr w14:paraId="514EC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964" w:type="dxa"/>
            <w:vMerge w:val="restart"/>
            <w:tcBorders>
              <w:bottom w:val="nil"/>
            </w:tcBorders>
          </w:tcPr>
          <w:p w14:paraId="09A489BF">
            <w:pPr>
              <w:spacing w:line="303" w:lineRule="auto"/>
              <w:rPr>
                <w:rFonts w:ascii="Arial"/>
              </w:rPr>
            </w:pPr>
          </w:p>
          <w:p w14:paraId="55BE64C9">
            <w:pPr>
              <w:spacing w:line="304" w:lineRule="auto"/>
              <w:rPr>
                <w:rFonts w:ascii="Arial"/>
              </w:rPr>
            </w:pPr>
          </w:p>
          <w:p w14:paraId="798DF28E">
            <w:pPr>
              <w:pStyle w:val="65"/>
              <w:spacing w:before="78" w:line="241" w:lineRule="auto"/>
              <w:ind w:left="113" w:right="106" w:firstLine="5"/>
            </w:pPr>
            <w:r>
              <w:rPr>
                <w:spacing w:val="4"/>
              </w:rPr>
              <w:t>承包商</w:t>
            </w:r>
            <w:r>
              <w:rPr>
                <w:spacing w:val="-3"/>
              </w:rPr>
              <w:t>名称</w:t>
            </w:r>
          </w:p>
        </w:tc>
        <w:tc>
          <w:tcPr>
            <w:tcW w:w="1929" w:type="dxa"/>
            <w:vMerge w:val="restart"/>
            <w:tcBorders>
              <w:bottom w:val="nil"/>
            </w:tcBorders>
          </w:tcPr>
          <w:p w14:paraId="0F53958A">
            <w:pPr>
              <w:spacing w:line="297" w:lineRule="auto"/>
              <w:rPr>
                <w:rFonts w:ascii="Arial"/>
              </w:rPr>
            </w:pPr>
          </w:p>
          <w:p w14:paraId="31B380F0">
            <w:pPr>
              <w:pStyle w:val="65"/>
              <w:spacing w:before="78" w:line="219" w:lineRule="auto"/>
              <w:ind w:left="126"/>
              <w:rPr>
                <w:lang w:eastAsia="zh-CN"/>
              </w:rPr>
            </w:pPr>
            <w:r>
              <w:rPr>
                <w:spacing w:val="-1"/>
                <w:lang w:eastAsia="zh-CN"/>
              </w:rPr>
              <w:t>是否建立安全生</w:t>
            </w:r>
          </w:p>
          <w:p w14:paraId="7AC2508B">
            <w:pPr>
              <w:pStyle w:val="65"/>
              <w:spacing w:before="28" w:line="217" w:lineRule="auto"/>
              <w:ind w:left="130"/>
              <w:rPr>
                <w:lang w:eastAsia="zh-CN"/>
              </w:rPr>
            </w:pPr>
            <w:r>
              <w:rPr>
                <w:spacing w:val="-7"/>
                <w:lang w:eastAsia="zh-CN"/>
              </w:rPr>
              <w:t>产</w:t>
            </w:r>
            <w:r>
              <w:rPr>
                <w:spacing w:val="-82"/>
                <w:lang w:eastAsia="zh-CN"/>
              </w:rPr>
              <w:t xml:space="preserve"> </w:t>
            </w:r>
            <w:r>
              <w:rPr>
                <w:spacing w:val="-7"/>
                <w:lang w:eastAsia="zh-CN"/>
              </w:rPr>
              <w:t>“吹哨人”或</w:t>
            </w:r>
          </w:p>
          <w:p w14:paraId="4C662D53">
            <w:pPr>
              <w:pStyle w:val="65"/>
              <w:spacing w:before="29" w:line="217" w:lineRule="auto"/>
              <w:ind w:left="149"/>
              <w:rPr>
                <w:lang w:eastAsia="zh-CN"/>
              </w:rPr>
            </w:pPr>
            <w:r>
              <w:rPr>
                <w:spacing w:val="-5"/>
                <w:lang w:eastAsia="zh-CN"/>
              </w:rPr>
              <w:t>隐患内部报告奖</w:t>
            </w:r>
          </w:p>
          <w:p w14:paraId="1682E13C">
            <w:pPr>
              <w:pStyle w:val="65"/>
              <w:spacing w:before="30" w:line="216" w:lineRule="auto"/>
              <w:ind w:left="608"/>
              <w:rPr>
                <w:lang w:eastAsia="zh-CN"/>
              </w:rPr>
            </w:pPr>
            <w:r>
              <w:rPr>
                <w:spacing w:val="-3"/>
                <w:lang w:eastAsia="zh-CN"/>
              </w:rPr>
              <w:t>励制度</w:t>
            </w:r>
          </w:p>
        </w:tc>
        <w:tc>
          <w:tcPr>
            <w:tcW w:w="960" w:type="dxa"/>
            <w:vMerge w:val="restart"/>
            <w:tcBorders>
              <w:bottom w:val="nil"/>
            </w:tcBorders>
          </w:tcPr>
          <w:p w14:paraId="1D93E014">
            <w:pPr>
              <w:spacing w:line="303" w:lineRule="auto"/>
              <w:rPr>
                <w:rFonts w:ascii="Arial"/>
              </w:rPr>
            </w:pPr>
          </w:p>
          <w:p w14:paraId="5E236219">
            <w:pPr>
              <w:spacing w:line="304" w:lineRule="auto"/>
              <w:rPr>
                <w:rFonts w:ascii="Arial"/>
              </w:rPr>
            </w:pPr>
          </w:p>
          <w:p w14:paraId="4FECB5F6">
            <w:pPr>
              <w:pStyle w:val="65"/>
              <w:spacing w:before="78" w:line="241" w:lineRule="auto"/>
              <w:ind w:left="368" w:right="118" w:hanging="235"/>
            </w:pPr>
            <w:r>
              <w:rPr>
                <w:spacing w:val="-6"/>
              </w:rPr>
              <w:t>制度名</w:t>
            </w:r>
            <w:r>
              <w:t>称</w:t>
            </w:r>
          </w:p>
        </w:tc>
        <w:tc>
          <w:tcPr>
            <w:tcW w:w="960" w:type="dxa"/>
            <w:vMerge w:val="restart"/>
            <w:tcBorders>
              <w:bottom w:val="nil"/>
            </w:tcBorders>
          </w:tcPr>
          <w:p w14:paraId="6CCAA614">
            <w:pPr>
              <w:spacing w:line="452" w:lineRule="auto"/>
              <w:rPr>
                <w:rFonts w:ascii="Arial"/>
              </w:rPr>
            </w:pPr>
          </w:p>
          <w:p w14:paraId="1792EA0E">
            <w:pPr>
              <w:pStyle w:val="65"/>
              <w:spacing w:before="78" w:line="219" w:lineRule="auto"/>
              <w:ind w:left="144"/>
            </w:pPr>
            <w:r>
              <w:rPr>
                <w:spacing w:val="-10"/>
              </w:rPr>
              <w:t>隐患是</w:t>
            </w:r>
          </w:p>
          <w:p w14:paraId="33636EC8">
            <w:pPr>
              <w:pStyle w:val="65"/>
              <w:spacing w:before="27" w:line="219" w:lineRule="auto"/>
              <w:ind w:left="135"/>
            </w:pPr>
            <w:r>
              <w:rPr>
                <w:spacing w:val="-7"/>
              </w:rPr>
              <w:t>否分级</w:t>
            </w:r>
          </w:p>
          <w:p w14:paraId="724B9668">
            <w:pPr>
              <w:pStyle w:val="65"/>
              <w:spacing w:before="28" w:line="217" w:lineRule="auto"/>
              <w:ind w:left="261"/>
            </w:pPr>
            <w:r>
              <w:rPr>
                <w:spacing w:val="-13"/>
              </w:rPr>
              <w:t>奖励</w:t>
            </w:r>
          </w:p>
        </w:tc>
        <w:tc>
          <w:tcPr>
            <w:tcW w:w="3507" w:type="dxa"/>
            <w:gridSpan w:val="3"/>
          </w:tcPr>
          <w:p w14:paraId="2AE3FAB8">
            <w:pPr>
              <w:pStyle w:val="65"/>
              <w:spacing w:before="315" w:line="219" w:lineRule="auto"/>
              <w:ind w:left="1295"/>
            </w:pPr>
            <w:r>
              <w:rPr>
                <w:spacing w:val="-7"/>
              </w:rPr>
              <w:t>一般隐患</w:t>
            </w:r>
          </w:p>
        </w:tc>
        <w:tc>
          <w:tcPr>
            <w:tcW w:w="2880" w:type="dxa"/>
            <w:gridSpan w:val="3"/>
          </w:tcPr>
          <w:p w14:paraId="309270BF">
            <w:pPr>
              <w:pStyle w:val="65"/>
              <w:spacing w:before="315" w:line="219" w:lineRule="auto"/>
              <w:ind w:left="978"/>
            </w:pPr>
            <w:r>
              <w:rPr>
                <w:spacing w:val="-5"/>
              </w:rPr>
              <w:t>重大隐患</w:t>
            </w:r>
          </w:p>
        </w:tc>
        <w:tc>
          <w:tcPr>
            <w:tcW w:w="960" w:type="dxa"/>
            <w:vMerge w:val="restart"/>
            <w:tcBorders>
              <w:bottom w:val="nil"/>
            </w:tcBorders>
          </w:tcPr>
          <w:p w14:paraId="68ED57A2">
            <w:pPr>
              <w:spacing w:line="304" w:lineRule="auto"/>
              <w:rPr>
                <w:rFonts w:ascii="Arial"/>
              </w:rPr>
            </w:pPr>
          </w:p>
          <w:p w14:paraId="04031F38">
            <w:pPr>
              <w:spacing w:line="304" w:lineRule="auto"/>
              <w:rPr>
                <w:rFonts w:ascii="Arial"/>
              </w:rPr>
            </w:pPr>
          </w:p>
          <w:p w14:paraId="21FF0804">
            <w:pPr>
              <w:pStyle w:val="65"/>
              <w:spacing w:before="78" w:line="242" w:lineRule="auto"/>
              <w:ind w:left="127" w:right="116" w:firstLine="15"/>
            </w:pPr>
            <w:r>
              <w:rPr>
                <w:spacing w:val="-9"/>
              </w:rPr>
              <w:t>奖励费</w:t>
            </w:r>
            <w:r>
              <w:rPr>
                <w:spacing w:val="-4"/>
              </w:rPr>
              <w:t>用出处</w:t>
            </w:r>
          </w:p>
        </w:tc>
        <w:tc>
          <w:tcPr>
            <w:tcW w:w="964" w:type="dxa"/>
            <w:vMerge w:val="restart"/>
            <w:tcBorders>
              <w:bottom w:val="nil"/>
            </w:tcBorders>
          </w:tcPr>
          <w:p w14:paraId="2267E6EB">
            <w:pPr>
              <w:spacing w:line="254" w:lineRule="auto"/>
              <w:rPr>
                <w:rFonts w:ascii="Arial"/>
              </w:rPr>
            </w:pPr>
          </w:p>
          <w:p w14:paraId="6A22BAFC">
            <w:pPr>
              <w:spacing w:line="254" w:lineRule="auto"/>
              <w:rPr>
                <w:rFonts w:ascii="Arial"/>
              </w:rPr>
            </w:pPr>
          </w:p>
          <w:p w14:paraId="0560772A">
            <w:pPr>
              <w:spacing w:line="255" w:lineRule="auto"/>
              <w:rPr>
                <w:rFonts w:ascii="Arial"/>
              </w:rPr>
            </w:pPr>
          </w:p>
          <w:p w14:paraId="0F9B83AB">
            <w:pPr>
              <w:pStyle w:val="65"/>
              <w:spacing w:before="78" w:line="219" w:lineRule="auto"/>
              <w:ind w:left="250"/>
            </w:pPr>
            <w:r>
              <w:rPr>
                <w:spacing w:val="-7"/>
              </w:rPr>
              <w:t>备注</w:t>
            </w:r>
          </w:p>
        </w:tc>
      </w:tr>
      <w:tr w14:paraId="33299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964" w:type="dxa"/>
            <w:vMerge w:val="continue"/>
            <w:tcBorders>
              <w:top w:val="nil"/>
            </w:tcBorders>
          </w:tcPr>
          <w:p w14:paraId="3F468C51">
            <w:pPr>
              <w:rPr>
                <w:rFonts w:ascii="Arial"/>
              </w:rPr>
            </w:pPr>
          </w:p>
        </w:tc>
        <w:tc>
          <w:tcPr>
            <w:tcW w:w="1929" w:type="dxa"/>
            <w:vMerge w:val="continue"/>
            <w:tcBorders>
              <w:top w:val="nil"/>
            </w:tcBorders>
          </w:tcPr>
          <w:p w14:paraId="1A27116D">
            <w:pPr>
              <w:rPr>
                <w:rFonts w:ascii="Arial"/>
              </w:rPr>
            </w:pPr>
          </w:p>
        </w:tc>
        <w:tc>
          <w:tcPr>
            <w:tcW w:w="960" w:type="dxa"/>
            <w:vMerge w:val="continue"/>
            <w:tcBorders>
              <w:top w:val="nil"/>
            </w:tcBorders>
          </w:tcPr>
          <w:p w14:paraId="527451FB">
            <w:pPr>
              <w:rPr>
                <w:rFonts w:ascii="Arial"/>
              </w:rPr>
            </w:pPr>
          </w:p>
        </w:tc>
        <w:tc>
          <w:tcPr>
            <w:tcW w:w="960" w:type="dxa"/>
            <w:vMerge w:val="continue"/>
            <w:tcBorders>
              <w:top w:val="nil"/>
            </w:tcBorders>
          </w:tcPr>
          <w:p w14:paraId="0E4D378F">
            <w:pPr>
              <w:rPr>
                <w:rFonts w:ascii="Arial"/>
              </w:rPr>
            </w:pPr>
          </w:p>
        </w:tc>
        <w:tc>
          <w:tcPr>
            <w:tcW w:w="1239" w:type="dxa"/>
          </w:tcPr>
          <w:p w14:paraId="3A46BAF9">
            <w:pPr>
              <w:pStyle w:val="65"/>
              <w:spacing w:before="251" w:line="244" w:lineRule="auto"/>
              <w:ind w:left="260" w:right="138" w:hanging="100"/>
            </w:pPr>
            <w:r>
              <w:rPr>
                <w:spacing w:val="-7"/>
              </w:rPr>
              <w:t>奖励标准</w:t>
            </w:r>
            <w:r>
              <w:rPr>
                <w:spacing w:val="-8"/>
              </w:rPr>
              <w:t>（</w:t>
            </w:r>
            <w:r>
              <w:rPr>
                <w:spacing w:val="-71"/>
              </w:rPr>
              <w:t xml:space="preserve"> </w:t>
            </w:r>
            <w:r>
              <w:rPr>
                <w:spacing w:val="-8"/>
              </w:rPr>
              <w:t>元）</w:t>
            </w:r>
          </w:p>
        </w:tc>
        <w:tc>
          <w:tcPr>
            <w:tcW w:w="1239" w:type="dxa"/>
          </w:tcPr>
          <w:p w14:paraId="5C8947DB">
            <w:pPr>
              <w:pStyle w:val="65"/>
              <w:spacing w:before="253" w:line="242" w:lineRule="auto"/>
              <w:ind w:left="262" w:right="136" w:hanging="100"/>
            </w:pPr>
            <w:r>
              <w:rPr>
                <w:spacing w:val="-7"/>
              </w:rPr>
              <w:t>奖励数量</w:t>
            </w:r>
            <w:r>
              <w:rPr>
                <w:spacing w:val="8"/>
              </w:rPr>
              <w:t>（项）</w:t>
            </w:r>
          </w:p>
        </w:tc>
        <w:tc>
          <w:tcPr>
            <w:tcW w:w="1029" w:type="dxa"/>
          </w:tcPr>
          <w:p w14:paraId="706B90BB">
            <w:pPr>
              <w:pStyle w:val="65"/>
              <w:spacing w:before="252" w:line="242" w:lineRule="auto"/>
              <w:ind w:left="121" w:firstLine="56"/>
            </w:pPr>
            <w:r>
              <w:rPr>
                <w:spacing w:val="-11"/>
              </w:rPr>
              <w:t>奖励金</w:t>
            </w:r>
            <w:r>
              <w:rPr>
                <w:spacing w:val="-27"/>
              </w:rPr>
              <w:t>额（</w:t>
            </w:r>
            <w:r>
              <w:rPr>
                <w:spacing w:val="-71"/>
              </w:rPr>
              <w:t xml:space="preserve"> </w:t>
            </w:r>
            <w:r>
              <w:rPr>
                <w:spacing w:val="-27"/>
              </w:rPr>
              <w:t>元）</w:t>
            </w:r>
          </w:p>
        </w:tc>
        <w:tc>
          <w:tcPr>
            <w:tcW w:w="960" w:type="dxa"/>
          </w:tcPr>
          <w:p w14:paraId="06652AFE">
            <w:pPr>
              <w:pStyle w:val="65"/>
              <w:spacing w:before="253" w:line="241" w:lineRule="auto"/>
              <w:ind w:left="120" w:firstLine="22"/>
            </w:pPr>
            <w:r>
              <w:rPr>
                <w:spacing w:val="-12"/>
              </w:rPr>
              <w:t>奖励标</w:t>
            </w:r>
            <w:r>
              <w:rPr>
                <w:spacing w:val="-44"/>
              </w:rPr>
              <w:t>准（</w:t>
            </w:r>
            <w:r>
              <w:rPr>
                <w:spacing w:val="-71"/>
              </w:rPr>
              <w:t xml:space="preserve"> </w:t>
            </w:r>
            <w:r>
              <w:rPr>
                <w:spacing w:val="-44"/>
              </w:rPr>
              <w:t>元）</w:t>
            </w:r>
          </w:p>
        </w:tc>
        <w:tc>
          <w:tcPr>
            <w:tcW w:w="960" w:type="dxa"/>
          </w:tcPr>
          <w:p w14:paraId="2923AD96">
            <w:pPr>
              <w:pStyle w:val="65"/>
              <w:spacing w:before="253" w:line="242" w:lineRule="auto"/>
              <w:ind w:left="121" w:firstLine="21"/>
            </w:pPr>
            <w:r>
              <w:rPr>
                <w:spacing w:val="-12"/>
              </w:rPr>
              <w:t>奖励数</w:t>
            </w:r>
            <w:r>
              <w:rPr>
                <w:spacing w:val="-32"/>
              </w:rPr>
              <w:t>量（项）</w:t>
            </w:r>
          </w:p>
        </w:tc>
        <w:tc>
          <w:tcPr>
            <w:tcW w:w="960" w:type="dxa"/>
          </w:tcPr>
          <w:p w14:paraId="43C661F4">
            <w:pPr>
              <w:pStyle w:val="65"/>
              <w:spacing w:before="252" w:line="242" w:lineRule="auto"/>
              <w:ind w:left="121" w:firstLine="21"/>
            </w:pPr>
            <w:r>
              <w:rPr>
                <w:spacing w:val="-12"/>
              </w:rPr>
              <w:t>奖励金</w:t>
            </w:r>
            <w:r>
              <w:rPr>
                <w:spacing w:val="-44"/>
              </w:rPr>
              <w:t>额（</w:t>
            </w:r>
            <w:r>
              <w:rPr>
                <w:spacing w:val="-72"/>
              </w:rPr>
              <w:t xml:space="preserve"> </w:t>
            </w:r>
            <w:r>
              <w:rPr>
                <w:spacing w:val="-44"/>
              </w:rPr>
              <w:t>元）</w:t>
            </w:r>
          </w:p>
        </w:tc>
        <w:tc>
          <w:tcPr>
            <w:tcW w:w="960" w:type="dxa"/>
            <w:vMerge w:val="continue"/>
            <w:tcBorders>
              <w:top w:val="nil"/>
            </w:tcBorders>
          </w:tcPr>
          <w:p w14:paraId="6C016EB2">
            <w:pPr>
              <w:rPr>
                <w:rFonts w:ascii="Arial"/>
              </w:rPr>
            </w:pPr>
          </w:p>
        </w:tc>
        <w:tc>
          <w:tcPr>
            <w:tcW w:w="964" w:type="dxa"/>
            <w:vMerge w:val="continue"/>
            <w:tcBorders>
              <w:top w:val="nil"/>
            </w:tcBorders>
          </w:tcPr>
          <w:p w14:paraId="46681618">
            <w:pPr>
              <w:rPr>
                <w:rFonts w:ascii="Arial"/>
              </w:rPr>
            </w:pPr>
          </w:p>
        </w:tc>
      </w:tr>
      <w:tr w14:paraId="33B06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4" w:type="dxa"/>
          </w:tcPr>
          <w:p w14:paraId="00E6DBDA">
            <w:pPr>
              <w:rPr>
                <w:rFonts w:ascii="Arial"/>
              </w:rPr>
            </w:pPr>
          </w:p>
        </w:tc>
        <w:tc>
          <w:tcPr>
            <w:tcW w:w="1929" w:type="dxa"/>
          </w:tcPr>
          <w:p w14:paraId="10AFB8C5">
            <w:pPr>
              <w:rPr>
                <w:rFonts w:ascii="Arial"/>
              </w:rPr>
            </w:pPr>
          </w:p>
        </w:tc>
        <w:tc>
          <w:tcPr>
            <w:tcW w:w="960" w:type="dxa"/>
          </w:tcPr>
          <w:p w14:paraId="3A2D4FC7">
            <w:pPr>
              <w:rPr>
                <w:rFonts w:ascii="Arial"/>
              </w:rPr>
            </w:pPr>
          </w:p>
        </w:tc>
        <w:tc>
          <w:tcPr>
            <w:tcW w:w="960" w:type="dxa"/>
          </w:tcPr>
          <w:p w14:paraId="1F7106BE">
            <w:pPr>
              <w:rPr>
                <w:rFonts w:ascii="Arial"/>
              </w:rPr>
            </w:pPr>
          </w:p>
        </w:tc>
        <w:tc>
          <w:tcPr>
            <w:tcW w:w="1239" w:type="dxa"/>
          </w:tcPr>
          <w:p w14:paraId="7AFAB190">
            <w:pPr>
              <w:rPr>
                <w:rFonts w:ascii="Arial"/>
              </w:rPr>
            </w:pPr>
          </w:p>
        </w:tc>
        <w:tc>
          <w:tcPr>
            <w:tcW w:w="1239" w:type="dxa"/>
          </w:tcPr>
          <w:p w14:paraId="25058D76">
            <w:pPr>
              <w:rPr>
                <w:rFonts w:ascii="Arial"/>
              </w:rPr>
            </w:pPr>
          </w:p>
        </w:tc>
        <w:tc>
          <w:tcPr>
            <w:tcW w:w="1029" w:type="dxa"/>
          </w:tcPr>
          <w:p w14:paraId="5FC25D03">
            <w:pPr>
              <w:rPr>
                <w:rFonts w:ascii="Arial"/>
              </w:rPr>
            </w:pPr>
          </w:p>
        </w:tc>
        <w:tc>
          <w:tcPr>
            <w:tcW w:w="960" w:type="dxa"/>
          </w:tcPr>
          <w:p w14:paraId="10A31716">
            <w:pPr>
              <w:rPr>
                <w:rFonts w:ascii="Arial"/>
              </w:rPr>
            </w:pPr>
          </w:p>
        </w:tc>
        <w:tc>
          <w:tcPr>
            <w:tcW w:w="960" w:type="dxa"/>
          </w:tcPr>
          <w:p w14:paraId="1CADE4C4">
            <w:pPr>
              <w:rPr>
                <w:rFonts w:ascii="Arial"/>
              </w:rPr>
            </w:pPr>
          </w:p>
        </w:tc>
        <w:tc>
          <w:tcPr>
            <w:tcW w:w="960" w:type="dxa"/>
          </w:tcPr>
          <w:p w14:paraId="005CD52E">
            <w:pPr>
              <w:rPr>
                <w:rFonts w:ascii="Arial"/>
              </w:rPr>
            </w:pPr>
          </w:p>
        </w:tc>
        <w:tc>
          <w:tcPr>
            <w:tcW w:w="960" w:type="dxa"/>
          </w:tcPr>
          <w:p w14:paraId="51D47A0E">
            <w:pPr>
              <w:rPr>
                <w:rFonts w:ascii="Arial"/>
              </w:rPr>
            </w:pPr>
          </w:p>
        </w:tc>
        <w:tc>
          <w:tcPr>
            <w:tcW w:w="964" w:type="dxa"/>
          </w:tcPr>
          <w:p w14:paraId="1D26B455">
            <w:pPr>
              <w:rPr>
                <w:rFonts w:ascii="Arial"/>
              </w:rPr>
            </w:pPr>
          </w:p>
        </w:tc>
      </w:tr>
      <w:tr w14:paraId="6C3E1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64" w:type="dxa"/>
          </w:tcPr>
          <w:p w14:paraId="47488B01">
            <w:pPr>
              <w:rPr>
                <w:rFonts w:ascii="Arial"/>
              </w:rPr>
            </w:pPr>
          </w:p>
        </w:tc>
        <w:tc>
          <w:tcPr>
            <w:tcW w:w="1929" w:type="dxa"/>
          </w:tcPr>
          <w:p w14:paraId="73B8F14C">
            <w:pPr>
              <w:rPr>
                <w:rFonts w:ascii="Arial"/>
              </w:rPr>
            </w:pPr>
          </w:p>
        </w:tc>
        <w:tc>
          <w:tcPr>
            <w:tcW w:w="960" w:type="dxa"/>
          </w:tcPr>
          <w:p w14:paraId="7FB334AA">
            <w:pPr>
              <w:rPr>
                <w:rFonts w:ascii="Arial"/>
              </w:rPr>
            </w:pPr>
          </w:p>
        </w:tc>
        <w:tc>
          <w:tcPr>
            <w:tcW w:w="960" w:type="dxa"/>
          </w:tcPr>
          <w:p w14:paraId="1E8DF234">
            <w:pPr>
              <w:rPr>
                <w:rFonts w:ascii="Arial"/>
              </w:rPr>
            </w:pPr>
          </w:p>
        </w:tc>
        <w:tc>
          <w:tcPr>
            <w:tcW w:w="1239" w:type="dxa"/>
          </w:tcPr>
          <w:p w14:paraId="323CCD19">
            <w:pPr>
              <w:rPr>
                <w:rFonts w:ascii="Arial"/>
              </w:rPr>
            </w:pPr>
          </w:p>
        </w:tc>
        <w:tc>
          <w:tcPr>
            <w:tcW w:w="1239" w:type="dxa"/>
          </w:tcPr>
          <w:p w14:paraId="767FE40E">
            <w:pPr>
              <w:rPr>
                <w:rFonts w:ascii="Arial"/>
              </w:rPr>
            </w:pPr>
          </w:p>
        </w:tc>
        <w:tc>
          <w:tcPr>
            <w:tcW w:w="1029" w:type="dxa"/>
          </w:tcPr>
          <w:p w14:paraId="66BF5684">
            <w:pPr>
              <w:rPr>
                <w:rFonts w:ascii="Arial"/>
              </w:rPr>
            </w:pPr>
          </w:p>
        </w:tc>
        <w:tc>
          <w:tcPr>
            <w:tcW w:w="960" w:type="dxa"/>
          </w:tcPr>
          <w:p w14:paraId="7217C593">
            <w:pPr>
              <w:rPr>
                <w:rFonts w:ascii="Arial"/>
              </w:rPr>
            </w:pPr>
          </w:p>
        </w:tc>
        <w:tc>
          <w:tcPr>
            <w:tcW w:w="960" w:type="dxa"/>
          </w:tcPr>
          <w:p w14:paraId="7478E050">
            <w:pPr>
              <w:rPr>
                <w:rFonts w:ascii="Arial"/>
              </w:rPr>
            </w:pPr>
          </w:p>
        </w:tc>
        <w:tc>
          <w:tcPr>
            <w:tcW w:w="960" w:type="dxa"/>
          </w:tcPr>
          <w:p w14:paraId="76C7BE77">
            <w:pPr>
              <w:rPr>
                <w:rFonts w:ascii="Arial"/>
              </w:rPr>
            </w:pPr>
          </w:p>
        </w:tc>
        <w:tc>
          <w:tcPr>
            <w:tcW w:w="960" w:type="dxa"/>
          </w:tcPr>
          <w:p w14:paraId="71AC9714">
            <w:pPr>
              <w:rPr>
                <w:rFonts w:ascii="Arial"/>
              </w:rPr>
            </w:pPr>
          </w:p>
        </w:tc>
        <w:tc>
          <w:tcPr>
            <w:tcW w:w="964" w:type="dxa"/>
          </w:tcPr>
          <w:p w14:paraId="6152578E">
            <w:pPr>
              <w:rPr>
                <w:rFonts w:ascii="Arial"/>
              </w:rPr>
            </w:pPr>
          </w:p>
        </w:tc>
      </w:tr>
      <w:tr w14:paraId="162C8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64" w:type="dxa"/>
          </w:tcPr>
          <w:p w14:paraId="56FB997F">
            <w:pPr>
              <w:rPr>
                <w:rFonts w:ascii="Arial"/>
              </w:rPr>
            </w:pPr>
          </w:p>
        </w:tc>
        <w:tc>
          <w:tcPr>
            <w:tcW w:w="1929" w:type="dxa"/>
          </w:tcPr>
          <w:p w14:paraId="751425FB">
            <w:pPr>
              <w:rPr>
                <w:rFonts w:ascii="Arial"/>
              </w:rPr>
            </w:pPr>
          </w:p>
        </w:tc>
        <w:tc>
          <w:tcPr>
            <w:tcW w:w="960" w:type="dxa"/>
          </w:tcPr>
          <w:p w14:paraId="7407B6B4">
            <w:pPr>
              <w:rPr>
                <w:rFonts w:ascii="Arial"/>
              </w:rPr>
            </w:pPr>
          </w:p>
        </w:tc>
        <w:tc>
          <w:tcPr>
            <w:tcW w:w="960" w:type="dxa"/>
          </w:tcPr>
          <w:p w14:paraId="55BC4B12">
            <w:pPr>
              <w:rPr>
                <w:rFonts w:ascii="Arial"/>
              </w:rPr>
            </w:pPr>
          </w:p>
        </w:tc>
        <w:tc>
          <w:tcPr>
            <w:tcW w:w="1239" w:type="dxa"/>
          </w:tcPr>
          <w:p w14:paraId="5A7DAB92">
            <w:pPr>
              <w:rPr>
                <w:rFonts w:ascii="Arial"/>
              </w:rPr>
            </w:pPr>
          </w:p>
        </w:tc>
        <w:tc>
          <w:tcPr>
            <w:tcW w:w="1239" w:type="dxa"/>
          </w:tcPr>
          <w:p w14:paraId="493208D6">
            <w:pPr>
              <w:rPr>
                <w:rFonts w:ascii="Arial"/>
              </w:rPr>
            </w:pPr>
          </w:p>
        </w:tc>
        <w:tc>
          <w:tcPr>
            <w:tcW w:w="1029" w:type="dxa"/>
          </w:tcPr>
          <w:p w14:paraId="4880128C">
            <w:pPr>
              <w:rPr>
                <w:rFonts w:ascii="Arial"/>
              </w:rPr>
            </w:pPr>
          </w:p>
        </w:tc>
        <w:tc>
          <w:tcPr>
            <w:tcW w:w="960" w:type="dxa"/>
          </w:tcPr>
          <w:p w14:paraId="061F279F">
            <w:pPr>
              <w:rPr>
                <w:rFonts w:ascii="Arial"/>
              </w:rPr>
            </w:pPr>
          </w:p>
        </w:tc>
        <w:tc>
          <w:tcPr>
            <w:tcW w:w="960" w:type="dxa"/>
          </w:tcPr>
          <w:p w14:paraId="4026A390">
            <w:pPr>
              <w:rPr>
                <w:rFonts w:ascii="Arial"/>
              </w:rPr>
            </w:pPr>
          </w:p>
        </w:tc>
        <w:tc>
          <w:tcPr>
            <w:tcW w:w="960" w:type="dxa"/>
          </w:tcPr>
          <w:p w14:paraId="1F6C567B">
            <w:pPr>
              <w:rPr>
                <w:rFonts w:ascii="Arial"/>
              </w:rPr>
            </w:pPr>
          </w:p>
        </w:tc>
        <w:tc>
          <w:tcPr>
            <w:tcW w:w="960" w:type="dxa"/>
          </w:tcPr>
          <w:p w14:paraId="605028E3">
            <w:pPr>
              <w:rPr>
                <w:rFonts w:ascii="Arial"/>
              </w:rPr>
            </w:pPr>
          </w:p>
        </w:tc>
        <w:tc>
          <w:tcPr>
            <w:tcW w:w="964" w:type="dxa"/>
          </w:tcPr>
          <w:p w14:paraId="23C89EEC">
            <w:pPr>
              <w:rPr>
                <w:rFonts w:ascii="Arial"/>
              </w:rPr>
            </w:pPr>
          </w:p>
        </w:tc>
      </w:tr>
      <w:tr w14:paraId="20C74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6052" w:type="dxa"/>
            <w:gridSpan w:val="5"/>
          </w:tcPr>
          <w:p w14:paraId="76D1A463">
            <w:pPr>
              <w:spacing w:line="286" w:lineRule="auto"/>
              <w:rPr>
                <w:rFonts w:ascii="Arial"/>
              </w:rPr>
            </w:pPr>
          </w:p>
          <w:p w14:paraId="531187EF">
            <w:pPr>
              <w:pStyle w:val="65"/>
              <w:spacing w:before="78" w:line="217" w:lineRule="auto"/>
              <w:ind w:left="2796"/>
            </w:pPr>
            <w:r>
              <w:rPr>
                <w:spacing w:val="-7"/>
              </w:rPr>
              <w:t>合计</w:t>
            </w:r>
          </w:p>
        </w:tc>
        <w:tc>
          <w:tcPr>
            <w:tcW w:w="1239" w:type="dxa"/>
          </w:tcPr>
          <w:p w14:paraId="3E978775">
            <w:pPr>
              <w:rPr>
                <w:rFonts w:ascii="Arial"/>
              </w:rPr>
            </w:pPr>
          </w:p>
        </w:tc>
        <w:tc>
          <w:tcPr>
            <w:tcW w:w="1029" w:type="dxa"/>
          </w:tcPr>
          <w:p w14:paraId="261ADA58">
            <w:pPr>
              <w:rPr>
                <w:rFonts w:ascii="Arial"/>
              </w:rPr>
            </w:pPr>
          </w:p>
        </w:tc>
        <w:tc>
          <w:tcPr>
            <w:tcW w:w="960" w:type="dxa"/>
          </w:tcPr>
          <w:p w14:paraId="11328948">
            <w:pPr>
              <w:rPr>
                <w:rFonts w:ascii="Arial"/>
              </w:rPr>
            </w:pPr>
          </w:p>
        </w:tc>
        <w:tc>
          <w:tcPr>
            <w:tcW w:w="960" w:type="dxa"/>
          </w:tcPr>
          <w:p w14:paraId="315B696D">
            <w:pPr>
              <w:rPr>
                <w:rFonts w:ascii="Arial"/>
              </w:rPr>
            </w:pPr>
          </w:p>
        </w:tc>
        <w:tc>
          <w:tcPr>
            <w:tcW w:w="960" w:type="dxa"/>
          </w:tcPr>
          <w:p w14:paraId="2C927BFB">
            <w:pPr>
              <w:rPr>
                <w:rFonts w:ascii="Arial"/>
              </w:rPr>
            </w:pPr>
          </w:p>
        </w:tc>
        <w:tc>
          <w:tcPr>
            <w:tcW w:w="960" w:type="dxa"/>
          </w:tcPr>
          <w:p w14:paraId="6DCFB80D">
            <w:pPr>
              <w:rPr>
                <w:rFonts w:ascii="Arial"/>
              </w:rPr>
            </w:pPr>
          </w:p>
        </w:tc>
        <w:tc>
          <w:tcPr>
            <w:tcW w:w="964" w:type="dxa"/>
          </w:tcPr>
          <w:p w14:paraId="53D75B48">
            <w:pPr>
              <w:rPr>
                <w:rFonts w:ascii="Arial"/>
              </w:rPr>
            </w:pPr>
          </w:p>
        </w:tc>
      </w:tr>
    </w:tbl>
    <w:p w14:paraId="69DCFB2D">
      <w:pPr>
        <w:pStyle w:val="8"/>
        <w:spacing w:before="38" w:line="218" w:lineRule="auto"/>
        <w:ind w:left="504"/>
        <w:rPr>
          <w:sz w:val="24"/>
        </w:rPr>
      </w:pPr>
      <w:r>
        <w:rPr>
          <w:spacing w:val="-2"/>
          <w:sz w:val="24"/>
        </w:rPr>
        <w:t>填表说明：</w:t>
      </w:r>
    </w:p>
    <w:p w14:paraId="0953F56F">
      <w:pPr>
        <w:pStyle w:val="8"/>
        <w:spacing w:before="29" w:line="214" w:lineRule="auto"/>
        <w:ind w:left="519"/>
        <w:rPr>
          <w:sz w:val="24"/>
        </w:rPr>
      </w:pPr>
      <w:r>
        <w:rPr>
          <w:spacing w:val="-2"/>
          <w:sz w:val="24"/>
        </w:rPr>
        <w:t>1.本表用于统计承包商在其自身内部执行</w:t>
      </w:r>
      <w:r>
        <w:rPr>
          <w:spacing w:val="-72"/>
          <w:sz w:val="24"/>
        </w:rPr>
        <w:t xml:space="preserve"> </w:t>
      </w:r>
      <w:r>
        <w:rPr>
          <w:spacing w:val="-2"/>
          <w:sz w:val="24"/>
        </w:rPr>
        <w:t>“吹哨人”及隐患报告奖励制度的情况。</w:t>
      </w:r>
    </w:p>
    <w:p w14:paraId="68CE5AAC">
      <w:pPr>
        <w:pStyle w:val="8"/>
        <w:spacing w:before="33" w:line="217" w:lineRule="auto"/>
        <w:ind w:left="513"/>
        <w:rPr>
          <w:sz w:val="24"/>
        </w:rPr>
      </w:pPr>
      <w:r>
        <w:rPr>
          <w:spacing w:val="-3"/>
          <w:sz w:val="24"/>
        </w:rPr>
        <w:t>2.</w:t>
      </w:r>
      <w:r>
        <w:rPr>
          <w:spacing w:val="-68"/>
          <w:sz w:val="24"/>
        </w:rPr>
        <w:t xml:space="preserve"> </w:t>
      </w:r>
      <w:r>
        <w:rPr>
          <w:spacing w:val="-3"/>
          <w:sz w:val="24"/>
        </w:rPr>
        <w:t>“奖励数量（项）”指获得奖励的隐患报告项数。</w:t>
      </w:r>
    </w:p>
    <w:p w14:paraId="74F6BE5B">
      <w:pPr>
        <w:pStyle w:val="8"/>
        <w:spacing w:before="30" w:line="215" w:lineRule="auto"/>
        <w:ind w:left="522"/>
        <w:rPr>
          <w:sz w:val="24"/>
        </w:rPr>
      </w:pPr>
      <w:r>
        <w:rPr>
          <w:spacing w:val="-4"/>
          <w:sz w:val="24"/>
        </w:rPr>
        <w:t>3.</w:t>
      </w:r>
      <w:r>
        <w:rPr>
          <w:spacing w:val="-86"/>
          <w:sz w:val="24"/>
        </w:rPr>
        <w:t xml:space="preserve"> </w:t>
      </w:r>
      <w:r>
        <w:rPr>
          <w:spacing w:val="-4"/>
          <w:sz w:val="24"/>
        </w:rPr>
        <w:t>“奖励费用出处”请填写如</w:t>
      </w:r>
      <w:r>
        <w:rPr>
          <w:spacing w:val="-85"/>
          <w:sz w:val="24"/>
        </w:rPr>
        <w:t xml:space="preserve"> </w:t>
      </w:r>
      <w:r>
        <w:rPr>
          <w:spacing w:val="-4"/>
          <w:sz w:val="24"/>
        </w:rPr>
        <w:t>“安全生产费用”</w:t>
      </w:r>
      <w:r>
        <w:rPr>
          <w:spacing w:val="-86"/>
          <w:sz w:val="24"/>
        </w:rPr>
        <w:t xml:space="preserve"> </w:t>
      </w:r>
      <w:r>
        <w:rPr>
          <w:spacing w:val="-4"/>
          <w:sz w:val="24"/>
        </w:rPr>
        <w:t>“专项奖励</w:t>
      </w:r>
      <w:r>
        <w:rPr>
          <w:spacing w:val="-5"/>
          <w:sz w:val="24"/>
        </w:rPr>
        <w:t>基金”等。</w:t>
      </w:r>
    </w:p>
    <w:p w14:paraId="208795EA">
      <w:pPr>
        <w:pStyle w:val="8"/>
        <w:spacing w:before="33" w:line="214" w:lineRule="auto"/>
        <w:ind w:left="512"/>
        <w:rPr>
          <w:sz w:val="24"/>
        </w:rPr>
      </w:pPr>
      <w:r>
        <w:rPr>
          <w:spacing w:val="-1"/>
          <w:sz w:val="24"/>
        </w:rPr>
        <w:t>4.本表由发包</w:t>
      </w:r>
      <w:r>
        <w:rPr>
          <w:rFonts w:hint="eastAsia"/>
          <w:spacing w:val="-1"/>
          <w:sz w:val="24"/>
        </w:rPr>
        <w:t>人</w:t>
      </w:r>
      <w:r>
        <w:rPr>
          <w:spacing w:val="-1"/>
          <w:sz w:val="24"/>
        </w:rPr>
        <w:t>安全环保管理部门负责收集、审核并存档。</w:t>
      </w:r>
    </w:p>
    <w:p w14:paraId="34A09165"/>
    <w:p w14:paraId="10EF3ED9">
      <w:pPr>
        <w:pStyle w:val="67"/>
        <w:ind w:left="3600" w:hanging="3600" w:hangingChars="1200"/>
        <w:jc w:val="both"/>
      </w:pPr>
      <w:r>
        <w:rPr>
          <w:rFonts w:ascii="Times New Roman" w:eastAsia="仿宋_GB2312"/>
          <w:color w:val="000000"/>
          <w:sz w:val="30"/>
          <w:szCs w:val="30"/>
        </w:rPr>
        <w:t>附件</w:t>
      </w:r>
      <w:r>
        <w:rPr>
          <w:rFonts w:hint="eastAsia" w:ascii="Times New Roman" w:eastAsia="仿宋_GB2312"/>
          <w:color w:val="000000"/>
          <w:sz w:val="30"/>
          <w:szCs w:val="30"/>
        </w:rPr>
        <w:t>5</w:t>
      </w:r>
      <w:r>
        <w:rPr>
          <w:rFonts w:ascii="Times New Roman" w:eastAsia="仿宋_GB2312"/>
          <w:color w:val="000000"/>
          <w:sz w:val="30"/>
          <w:szCs w:val="30"/>
        </w:rPr>
        <w:t>：</w:t>
      </w:r>
      <w:r>
        <w:br w:type="textWrapping"/>
      </w:r>
      <w:r>
        <w:rPr>
          <w:rFonts w:hint="eastAsia"/>
        </w:rPr>
        <w:t>工程经济资料管理办法</w:t>
      </w:r>
    </w:p>
    <w:p w14:paraId="43EDB386">
      <w:pPr>
        <w:pStyle w:val="68"/>
        <w:spacing w:before="312" w:after="312"/>
        <w:ind w:left="3544"/>
      </w:pPr>
      <w:r>
        <w:rPr>
          <w:rFonts w:hint="eastAsia"/>
        </w:rPr>
        <w:t>目的</w:t>
      </w:r>
    </w:p>
    <w:p w14:paraId="4A9CE840">
      <w:pPr>
        <w:pStyle w:val="63"/>
      </w:pPr>
      <w:r>
        <w:t>为了规范工程项目中经济资料办理的程序和流程，确保经济资料的真实性、准确性、完整性、时效性，明确相关人员的责任和义务</w:t>
      </w:r>
      <w:r>
        <w:rPr>
          <w:rFonts w:hint="eastAsia"/>
        </w:rPr>
        <w:t>。</w:t>
      </w:r>
    </w:p>
    <w:p w14:paraId="0E5483D8">
      <w:pPr>
        <w:pStyle w:val="68"/>
        <w:spacing w:before="312" w:after="312"/>
        <w:ind w:left="3544"/>
      </w:pPr>
      <w:r>
        <w:rPr>
          <w:rFonts w:hint="eastAsia"/>
        </w:rPr>
        <w:t>范围</w:t>
      </w:r>
    </w:p>
    <w:p w14:paraId="42A24AA7">
      <w:pPr>
        <w:pStyle w:val="63"/>
      </w:pPr>
      <w:r>
        <w:rPr>
          <w:rFonts w:hint="eastAsia"/>
        </w:rPr>
        <w:t>本标准规定了工程建设过程中经济签证、技术联系的管理要求。</w:t>
      </w:r>
    </w:p>
    <w:p w14:paraId="534903D4">
      <w:pPr>
        <w:pStyle w:val="63"/>
        <w:rPr>
          <w:rFonts w:cs="宋体"/>
        </w:rPr>
      </w:pPr>
      <w:r>
        <w:rPr>
          <w:rFonts w:hint="eastAsia"/>
        </w:rPr>
        <w:t>本办法适用于国际复材、重庆庹展新材料科技有限公司、重庆天泽新材料有限公司的制度管理工作，其他分公司、全资子公司、控股子公司及相关单位的新建、扩建、改建、维修</w:t>
      </w:r>
      <w:r>
        <w:rPr>
          <w:rFonts w:hint="eastAsia" w:cs="宋体"/>
        </w:rPr>
        <w:t>工程中发生的经济签证管理。</w:t>
      </w:r>
    </w:p>
    <w:p w14:paraId="4EF91A78">
      <w:pPr>
        <w:pStyle w:val="68"/>
        <w:spacing w:before="312" w:after="312"/>
        <w:ind w:left="3544"/>
      </w:pPr>
      <w:r>
        <w:rPr>
          <w:rFonts w:hint="eastAsia"/>
        </w:rPr>
        <w:t>规范性引用文件</w:t>
      </w:r>
    </w:p>
    <w:p w14:paraId="233B2A5C">
      <w:pPr>
        <w:pStyle w:val="63"/>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1DE9AE16">
      <w:pPr>
        <w:pStyle w:val="63"/>
      </w:pPr>
      <w:r>
        <w:rPr>
          <w:rFonts w:hint="eastAsia"/>
        </w:rPr>
        <w:t>建筑工程施工发包与承包计价管理办法</w:t>
      </w:r>
    </w:p>
    <w:p w14:paraId="6D3DE253">
      <w:pPr>
        <w:pStyle w:val="63"/>
      </w:pPr>
      <w:r>
        <w:rPr>
          <w:rFonts w:hint="eastAsia"/>
        </w:rPr>
        <w:t>建设工程价款结算暂行办法</w:t>
      </w:r>
    </w:p>
    <w:p w14:paraId="148A4F60">
      <w:pPr>
        <w:pStyle w:val="63"/>
        <w:rPr>
          <w:rFonts w:cs="宋体"/>
        </w:rPr>
      </w:pPr>
      <w:r>
        <w:rPr>
          <w:rFonts w:hint="eastAsia"/>
        </w:rPr>
        <w:t>重庆市建设工程造价管理规定</w:t>
      </w:r>
    </w:p>
    <w:p w14:paraId="03FDEB95">
      <w:pPr>
        <w:pStyle w:val="63"/>
      </w:pPr>
      <w:r>
        <w:rPr>
          <w:rFonts w:hint="eastAsia"/>
        </w:rPr>
        <w:t>云天化集团有限责任公司招标投标管理办法</w:t>
      </w:r>
    </w:p>
    <w:p w14:paraId="5AB55498">
      <w:pPr>
        <w:pStyle w:val="68"/>
        <w:spacing w:before="312" w:after="312"/>
        <w:ind w:left="3544"/>
      </w:pPr>
      <w:r>
        <w:rPr>
          <w:rFonts w:hint="eastAsia"/>
        </w:rPr>
        <w:t>经济签证单管理</w:t>
      </w:r>
    </w:p>
    <w:p w14:paraId="273420D5">
      <w:pPr>
        <w:pStyle w:val="69"/>
        <w:ind w:left="568"/>
      </w:pPr>
      <w:r>
        <w:rPr>
          <w:rFonts w:hint="eastAsia"/>
        </w:rPr>
        <w:t>原则：实事求是，办理与审查及时；谁参加谁签；一事一单，工完签完。</w:t>
      </w:r>
    </w:p>
    <w:p w14:paraId="3150C81C">
      <w:pPr>
        <w:pStyle w:val="69"/>
        <w:ind w:left="568"/>
      </w:pPr>
      <w:r>
        <w:rPr>
          <w:rFonts w:hint="eastAsia"/>
        </w:rPr>
        <w:t>范围：施工图纸、设计变更所确定的工程内容之外，施工图预算、工程量清单计费、消耗量定额或费用定额（计价规则）取费中未含有，而施工过程中又实际发生费用的施工内容所办理的签证。包含经济签证、清单计价工程的计日工，以及由设计变更、工程洽商记录、施工组织设计、施工方案和特殊技术措施等转换而成的经济签证。</w:t>
      </w:r>
    </w:p>
    <w:p w14:paraId="2F762760">
      <w:pPr>
        <w:pStyle w:val="69"/>
        <w:ind w:left="568"/>
      </w:pPr>
      <w:r>
        <w:rPr>
          <w:rFonts w:hint="eastAsia"/>
        </w:rPr>
        <w:t>签证事由：此栏应由应现场专业负责人负责手写，字迹应工整、清晰，须详细说明发生签证事由的原因、依据。</w:t>
      </w:r>
    </w:p>
    <w:p w14:paraId="057784AA">
      <w:pPr>
        <w:pStyle w:val="69"/>
        <w:ind w:left="568"/>
      </w:pPr>
      <w:r>
        <w:rPr>
          <w:rFonts w:hint="eastAsia"/>
        </w:rPr>
        <w:t>方式：办理经济签证时，原则上应附施工简图，不能附图的应注明工程量计算式，工程量很小可以直接签认工程量。对无法套用定额的、或虽能套用定额但比较繁琐且量小的签证事由，方可签认人工工日数量或机械台班数量，但应明确所使用的甲供材明细。经济签证不得直接签认费用金额，确须签认的，须经</w:t>
      </w:r>
      <w:r>
        <w:rPr>
          <w:rFonts w:hint="eastAsia"/>
          <w:szCs w:val="18"/>
        </w:rPr>
        <w:t>主管部门领导</w:t>
      </w:r>
      <w:r>
        <w:rPr>
          <w:rFonts w:hint="eastAsia"/>
        </w:rPr>
        <w:t>(或公司分管领导）对费用金额签署审核意见。</w:t>
      </w:r>
    </w:p>
    <w:p w14:paraId="76AC58FF">
      <w:pPr>
        <w:pStyle w:val="69"/>
        <w:ind w:left="568"/>
      </w:pPr>
      <w:r>
        <w:rPr>
          <w:rFonts w:hint="eastAsia"/>
        </w:rPr>
        <w:t>内容: 必须明确工程名称(与施工合同中名称一致)、单项工程名称、专业、施工部位、施工简图或工程量计算式、签证日期、参加单位(含建设单位、施工单位、监理单位)有关人员签名并加盖公章（或经授权的项目章）等。</w:t>
      </w:r>
    </w:p>
    <w:p w14:paraId="09C060A6">
      <w:pPr>
        <w:pStyle w:val="70"/>
        <w:spacing w:before="156" w:after="156"/>
        <w:ind w:left="568"/>
        <w:rPr>
          <w:rFonts w:ascii="宋体" w:hAnsi="宋体" w:eastAsia="宋体"/>
        </w:rPr>
      </w:pPr>
      <w:r>
        <w:rPr>
          <w:rFonts w:hint="eastAsia" w:ascii="宋体" w:hAnsi="宋体" w:eastAsia="宋体"/>
        </w:rPr>
        <w:t>程序</w:t>
      </w:r>
      <w:r>
        <w:rPr>
          <w:rFonts w:ascii="宋体" w:hAnsi="宋体" w:eastAsia="宋体"/>
        </w:rPr>
        <w:br w:type="textWrapping"/>
      </w:r>
      <w:r>
        <w:rPr>
          <w:rFonts w:ascii="宋体" w:hAnsi="宋体" w:eastAsia="宋体"/>
        </w:rPr>
        <w:t xml:space="preserve">    1</w:t>
      </w:r>
      <w:r>
        <w:rPr>
          <w:rFonts w:hint="eastAsia" w:ascii="宋体" w:hAnsi="宋体" w:eastAsia="宋体"/>
        </w:rPr>
        <w:t>、施工单位应于签证事由施工完毕后7日内向现场专业负责人提交经济签证单(签证事由施工时间较长的或签证事由施工完毕后不能准确确定签证内容的，施工单位应在施工过程中提请监理单位和现场专业负责人组织预勘验，需进行现场收方的应提前24小时通知监理单位、现场专业负责人、造价管理人员)，否则，超过规定时限的一律不予办理；</w:t>
      </w:r>
      <w:r>
        <w:rPr>
          <w:rFonts w:ascii="宋体" w:hAnsi="宋体" w:eastAsia="宋体"/>
        </w:rPr>
        <w:br w:type="textWrapping"/>
      </w:r>
      <w:r>
        <w:rPr>
          <w:rFonts w:ascii="宋体" w:hAnsi="宋体" w:eastAsia="宋体"/>
        </w:rPr>
        <w:t xml:space="preserve">    </w:t>
      </w:r>
      <w:r>
        <w:rPr>
          <w:rFonts w:hint="eastAsia" w:ascii="宋体" w:hAnsi="宋体" w:eastAsia="宋体"/>
        </w:rPr>
        <w:t>2、现场专业负责人收到后72小时内组织造价管理人员、施工单位人员、监理人员及其他相关人员进行现场勘验；</w:t>
      </w:r>
      <w:r>
        <w:rPr>
          <w:rFonts w:ascii="宋体" w:hAnsi="宋体" w:eastAsia="宋体"/>
        </w:rPr>
        <w:br w:type="textWrapping"/>
      </w:r>
      <w:r>
        <w:rPr>
          <w:rFonts w:ascii="宋体" w:hAnsi="宋体" w:eastAsia="宋体"/>
        </w:rPr>
        <w:t xml:space="preserve">    </w:t>
      </w:r>
      <w:r>
        <w:rPr>
          <w:rFonts w:hint="eastAsia" w:ascii="宋体" w:hAnsi="宋体" w:eastAsia="宋体"/>
        </w:rPr>
        <w:t>3、现场专业负责人在勘验后72小时内审核完毕后移交监理人员；</w:t>
      </w:r>
      <w:r>
        <w:rPr>
          <w:rFonts w:ascii="宋体" w:hAnsi="宋体" w:eastAsia="宋体"/>
        </w:rPr>
        <w:br w:type="textWrapping"/>
      </w:r>
      <w:r>
        <w:rPr>
          <w:rFonts w:ascii="宋体" w:hAnsi="宋体" w:eastAsia="宋体"/>
        </w:rPr>
        <w:t xml:space="preserve">    4</w:t>
      </w:r>
      <w:r>
        <w:rPr>
          <w:rFonts w:hint="eastAsia" w:ascii="宋体" w:hAnsi="宋体" w:eastAsia="宋体"/>
        </w:rPr>
        <w:t>、监理人员在收到后72小时内审核完毕并移交造价管理人员；</w:t>
      </w:r>
      <w:r>
        <w:rPr>
          <w:rFonts w:ascii="宋体" w:hAnsi="宋体" w:eastAsia="宋体"/>
        </w:rPr>
        <w:br w:type="textWrapping"/>
      </w:r>
      <w:r>
        <w:rPr>
          <w:rFonts w:ascii="宋体" w:hAnsi="宋体" w:eastAsia="宋体"/>
        </w:rPr>
        <w:t xml:space="preserve">    5</w:t>
      </w:r>
      <w:r>
        <w:rPr>
          <w:rFonts w:hint="eastAsia" w:ascii="宋体" w:hAnsi="宋体" w:eastAsia="宋体"/>
        </w:rPr>
        <w:t>、造价管理人员在收到后72小时内审核完毕并提交项目负责人、主管部门领导签字（超过5万元需公司分管领导签字）并于次日内分发给建设单位、监理公司、施工单位各一份，造价管理人员须做签证登记；</w:t>
      </w:r>
      <w:r>
        <w:rPr>
          <w:rFonts w:ascii="宋体" w:hAnsi="宋体" w:eastAsia="宋体"/>
        </w:rPr>
        <w:br w:type="textWrapping"/>
      </w:r>
      <w:r>
        <w:rPr>
          <w:rFonts w:ascii="宋体" w:hAnsi="宋体" w:eastAsia="宋体"/>
        </w:rPr>
        <w:t xml:space="preserve">    6、</w:t>
      </w:r>
      <w:r>
        <w:rPr>
          <w:rFonts w:hint="eastAsia" w:ascii="宋体" w:hAnsi="宋体" w:eastAsia="宋体"/>
        </w:rPr>
        <w:t>现场专业负责人、造价管理人员（包含造价咨询公司审核时间）未分别在72小时内完成审核则由主管部门在对应人员当月绩效考核时减发绩效200元/人.次。</w:t>
      </w:r>
    </w:p>
    <w:p w14:paraId="5CEE092B">
      <w:pPr>
        <w:pStyle w:val="69"/>
        <w:ind w:left="568"/>
      </w:pPr>
      <w:r>
        <w:rPr>
          <w:rFonts w:hint="eastAsia"/>
        </w:rPr>
        <w:t>经济签证单办理流程</w:t>
      </w:r>
      <w:bookmarkStart w:id="527" w:name="OLE_LINK2"/>
      <w:bookmarkStart w:id="528" w:name="OLE_LINK3"/>
      <w:r>
        <w:rPr>
          <w:rFonts w:hint="eastAsia"/>
        </w:rPr>
        <w:t>见附录C</w:t>
      </w:r>
      <w:bookmarkEnd w:id="527"/>
      <w:bookmarkEnd w:id="528"/>
    </w:p>
    <w:p w14:paraId="62EFA34C">
      <w:pPr>
        <w:pStyle w:val="69"/>
        <w:ind w:left="568"/>
      </w:pPr>
      <w:r>
        <w:rPr>
          <w:rFonts w:hint="eastAsia"/>
        </w:rPr>
        <w:t>对于现场收方的情况，施工单位应先作原始记录单，在现场收方时根据参加人员商定的结果，在原始记录单上做好记录，所有参加人员必须签字认可，原件由造价管理人员保管。施工单位报送正式的经济签证单时，应提供该原始记录单。</w:t>
      </w:r>
    </w:p>
    <w:p w14:paraId="3D16626E">
      <w:pPr>
        <w:pStyle w:val="69"/>
        <w:ind w:left="568"/>
      </w:pPr>
      <w:r>
        <w:rPr>
          <w:rFonts w:hint="eastAsia"/>
        </w:rPr>
        <w:t>办理经济签证时，建设单位及监理公司现场代表应认真、仔细确定签证内容的真实性、准确性、完整性，严禁虚增经济签证的内容；造价管理人员根据造价计算相关规定，结合工程建设的实际情况确定费用划分、是否单列计算或不计算等。</w:t>
      </w:r>
    </w:p>
    <w:p w14:paraId="1AC1B5F8">
      <w:pPr>
        <w:pStyle w:val="69"/>
        <w:ind w:left="568"/>
      </w:pPr>
      <w:r>
        <w:rPr>
          <w:rFonts w:hint="eastAsia"/>
        </w:rPr>
        <w:t>在经济签证单中，设备、材料需要回收的，施工单位在工程结算时应出具回收单位(部门）的相关证明，否则，我公司将在工程结算中扣除应回收部分的价款。</w:t>
      </w:r>
    </w:p>
    <w:p w14:paraId="310F0144">
      <w:pPr>
        <w:pStyle w:val="69"/>
        <w:ind w:left="568"/>
      </w:pPr>
      <w:r>
        <w:rPr>
          <w:rFonts w:hint="eastAsia"/>
        </w:rPr>
        <w:t>建设单位有关人员因特殊原因不能参加的，由部门领导(或专业组负责人）安排其他人员参加，没有其他人员代为参加的，可在三天内补签。超过时限补签的应注明“补”，并签注补签日期。</w:t>
      </w:r>
    </w:p>
    <w:p w14:paraId="702BA9AE">
      <w:pPr>
        <w:pStyle w:val="69"/>
        <w:ind w:left="568"/>
      </w:pPr>
      <w:r>
        <w:rPr>
          <w:rFonts w:hint="eastAsia"/>
        </w:rPr>
        <w:t>工程竣工验收前的施工内容必须在工程竣工验收前办理完毕。</w:t>
      </w:r>
    </w:p>
    <w:p w14:paraId="7B213375">
      <w:pPr>
        <w:pStyle w:val="70"/>
        <w:spacing w:before="156" w:after="156"/>
        <w:ind w:left="568"/>
      </w:pPr>
      <w:r>
        <w:rPr>
          <w:rFonts w:hint="eastAsia" w:ascii="宋体" w:eastAsia="宋体"/>
        </w:rPr>
        <w:t>经济签证单上必须具备建设单位的现场专业负责人员、造价管理人员、项目负责人和主管部门领导签字方为有效</w:t>
      </w:r>
      <w:r>
        <w:rPr>
          <w:rFonts w:hint="eastAsia"/>
        </w:rPr>
        <w:t>。</w:t>
      </w:r>
    </w:p>
    <w:p w14:paraId="320CB26E">
      <w:pPr>
        <w:pStyle w:val="69"/>
        <w:ind w:left="568"/>
      </w:pPr>
      <w:r>
        <w:rPr>
          <w:rFonts w:hint="eastAsia"/>
        </w:rPr>
        <w:t>单份经济签证单涉及的变更金额在五万元以下（含五万元）的，须经</w:t>
      </w:r>
      <w:r>
        <w:rPr>
          <w:rFonts w:hint="eastAsia"/>
          <w:szCs w:val="18"/>
        </w:rPr>
        <w:t>主管部门领导</w:t>
      </w:r>
      <w:r>
        <w:rPr>
          <w:rFonts w:hint="eastAsia"/>
        </w:rPr>
        <w:t>审核认可；单份经济签证单涉及的变更金额在五万元以上的，须经公司分管领导审核认可。</w:t>
      </w:r>
    </w:p>
    <w:p w14:paraId="2438C77B">
      <w:pPr>
        <w:pStyle w:val="69"/>
        <w:ind w:left="568"/>
      </w:pPr>
      <w:r>
        <w:rPr>
          <w:rFonts w:hint="eastAsia"/>
        </w:rPr>
        <w:t>施工单位提交的经济签证单不得有涂抹和更改，否则，一律不予受理；建设单位、监理单位的审核意见须及时反馈施工单位重新编制签证，不得以任何方式直接在签证单上进行修改。</w:t>
      </w:r>
    </w:p>
    <w:p w14:paraId="4BDB333C">
      <w:pPr>
        <w:pStyle w:val="69"/>
        <w:ind w:left="568"/>
      </w:pPr>
      <w:r>
        <w:rPr>
          <w:rFonts w:hint="eastAsia"/>
        </w:rPr>
        <w:t>经济签证单一式二份(原件）；</w:t>
      </w:r>
      <w:r>
        <w:br w:type="textWrapping"/>
      </w:r>
      <w:r>
        <w:t xml:space="preserve">    </w:t>
      </w:r>
      <w:r>
        <w:rPr>
          <w:rFonts w:hint="eastAsia"/>
        </w:rPr>
        <w:t>编号：专业代码－××号；</w:t>
      </w:r>
      <w:r>
        <w:br w:type="textWrapping"/>
      </w:r>
      <w:r>
        <w:t xml:space="preserve">    </w:t>
      </w:r>
      <w:r>
        <w:rPr>
          <w:rFonts w:hint="eastAsia"/>
        </w:rPr>
        <w:t>专业代码：土建－TJ；工艺管道－GD；设备－SB；仪表－YB；暖通—NT；电气－DQ；绝热防腐－FF；给排水－GPS；消防—XF；钢结构－GG；其它－QT；</w:t>
      </w:r>
      <w:r>
        <w:br w:type="textWrapping"/>
      </w:r>
      <w:r>
        <w:t xml:space="preserve">    </w:t>
      </w:r>
      <w:r>
        <w:rPr>
          <w:rFonts w:hint="eastAsia"/>
        </w:rPr>
        <w:t>连续编号，不得重号、空号、跳号。对于审核后不予确认的，仍应保留该编号的签证单，结算时依据的签证单必须编号连续。</w:t>
      </w:r>
    </w:p>
    <w:p w14:paraId="60343B26">
      <w:pPr>
        <w:pStyle w:val="69"/>
        <w:ind w:left="568"/>
      </w:pPr>
      <w:r>
        <w:rPr>
          <w:rFonts w:hint="eastAsia"/>
        </w:rPr>
        <w:t>主管部门应加强工程内容和工程量减少的签证管理。对工程内容和工程量减少的，现场专业人员或监理工程师应督促施工单位办理相关经济签证。对拒不办理的，由现场专业人员或监理工程师发出督办通知，督办通知发出后仍未办理的，按所减少工程费用的2倍在工程竣工结算时扣减。</w:t>
      </w:r>
    </w:p>
    <w:p w14:paraId="667EF37F">
      <w:pPr>
        <w:pStyle w:val="70"/>
        <w:spacing w:before="156" w:after="156"/>
        <w:ind w:left="568"/>
      </w:pPr>
      <w:r>
        <w:rPr>
          <w:rFonts w:hint="eastAsia" w:ascii="宋体" w:hAnsi="宋体" w:eastAsia="宋体"/>
        </w:rPr>
        <w:t>签证抽查：</w:t>
      </w:r>
      <w:r>
        <w:br w:type="textWrapping"/>
      </w:r>
      <w:r>
        <w:rPr>
          <w:rFonts w:hint="eastAsia"/>
        </w:rPr>
        <w:t xml:space="preserve"> </w:t>
      </w:r>
      <w:r>
        <w:t xml:space="preserve">   </w:t>
      </w:r>
      <w:r>
        <w:rPr>
          <w:rFonts w:hint="eastAsia" w:ascii="宋体" w:eastAsia="宋体"/>
        </w:rPr>
        <w:t>主管部门派遣的其他专业负责人、造价管理人员每月对上月在建工程已完善签字盖章流程的签证中选取20%进行复核审查（抽查数量向上取整，当月完成签证不足10份的抽查2份，重点抽选金额较大的签证）。复核结果需形成现场抽查记录表（一式二份），如签证工程量与实际工程量不符或违背合同计价原则，则对相关签证经办专业负责人和造价管理人员进行考核。现场抽查记录表由参与抽查人员留底。</w:t>
      </w:r>
    </w:p>
    <w:p w14:paraId="651A8BA2">
      <w:pPr>
        <w:pStyle w:val="69"/>
        <w:ind w:left="568"/>
      </w:pPr>
      <w:r>
        <w:rPr>
          <w:rFonts w:hint="eastAsia"/>
        </w:rPr>
        <w:t>签证考核：</w:t>
      </w:r>
      <w:r>
        <w:br w:type="textWrapping"/>
      </w:r>
      <w:r>
        <w:rPr>
          <w:rFonts w:hint="eastAsia"/>
        </w:rPr>
        <w:t xml:space="preserve"> </w:t>
      </w:r>
      <w:r>
        <w:t xml:space="preserve">   </w:t>
      </w:r>
      <w:r>
        <w:rPr>
          <w:rFonts w:hint="eastAsia"/>
        </w:rPr>
        <w:t>当签证工程量与实际工程量不符或违背合同计价原则时，签证单按实进行修正；正偏差在3%以内不考核，正偏差大于3%时且单张签证金额偏差在5000元以内，对负责该签证的专业负责人、造价管理人员按250元/份签证进行绩效考核；正偏差大于3%时且单张签证金额偏差在5000元以上，对负责该签证的专业负责人、造价管理人员按500元/份签证进行绩效考核,当年次数达到3次,暂停工程管理相关工作，如发现恶意弄虚作假，按公司《员工违规行为处理规定》执行。</w:t>
      </w:r>
    </w:p>
    <w:p w14:paraId="1C1EAD62">
      <w:pPr>
        <w:pStyle w:val="68"/>
        <w:spacing w:before="312" w:after="312"/>
        <w:ind w:left="3544"/>
      </w:pPr>
      <w:r>
        <w:rPr>
          <w:rFonts w:hint="eastAsia"/>
        </w:rPr>
        <w:t>施工组织设计、专项施工方案和特殊技术措施管理</w:t>
      </w:r>
    </w:p>
    <w:p w14:paraId="5BBD3511">
      <w:pPr>
        <w:pStyle w:val="69"/>
        <w:ind w:left="568"/>
      </w:pPr>
      <w:r>
        <w:t>施工组织设计、施工方案和特殊技术措施的</w:t>
      </w:r>
      <w:r>
        <w:rPr>
          <w:rFonts w:hint="eastAsia"/>
        </w:rPr>
        <w:t>书面批复意见内</w:t>
      </w:r>
      <w:r>
        <w:t>明确</w:t>
      </w:r>
      <w:r>
        <w:rPr>
          <w:rFonts w:hint="eastAsia"/>
        </w:rPr>
        <w:t>而具体的</w:t>
      </w:r>
      <w:r>
        <w:t>批复内容</w:t>
      </w:r>
      <w:r>
        <w:rPr>
          <w:rFonts w:hint="eastAsia"/>
        </w:rPr>
        <w:t>可</w:t>
      </w:r>
      <w:r>
        <w:t>作为工程竣工结算依据</w:t>
      </w:r>
      <w:r>
        <w:rPr>
          <w:rFonts w:hint="eastAsia"/>
        </w:rPr>
        <w:t>。而</w:t>
      </w:r>
      <w:r>
        <w:t>批复</w:t>
      </w:r>
      <w:r>
        <w:rPr>
          <w:rFonts w:hint="eastAsia"/>
        </w:rPr>
        <w:t>意见</w:t>
      </w:r>
      <w:r>
        <w:t>内未明确的</w:t>
      </w:r>
      <w:r>
        <w:rPr>
          <w:rFonts w:hint="eastAsia"/>
        </w:rPr>
        <w:t>，或概括性描述的，或对</w:t>
      </w:r>
      <w:r>
        <w:t>明确的内容有更改的</w:t>
      </w:r>
      <w:r>
        <w:rPr>
          <w:rFonts w:hint="eastAsia"/>
        </w:rPr>
        <w:t>，</w:t>
      </w:r>
      <w:r>
        <w:t>应</w:t>
      </w:r>
      <w:r>
        <w:rPr>
          <w:rFonts w:hint="eastAsia"/>
        </w:rPr>
        <w:t>根据工程实际实施情况</w:t>
      </w:r>
      <w:r>
        <w:t>办理工程经济签证单后方可作为结算依据。</w:t>
      </w:r>
    </w:p>
    <w:p w14:paraId="203F179A">
      <w:pPr>
        <w:pStyle w:val="69"/>
        <w:ind w:left="568"/>
      </w:pPr>
      <w:r>
        <w:t>对于大型工程，</w:t>
      </w:r>
      <w:r>
        <w:rPr>
          <w:rFonts w:hint="eastAsia"/>
        </w:rPr>
        <w:t>为便于造价管理，</w:t>
      </w:r>
      <w:r>
        <w:t>可不</w:t>
      </w:r>
      <w:r>
        <w:rPr>
          <w:rFonts w:hint="eastAsia"/>
        </w:rPr>
        <w:t>以</w:t>
      </w:r>
      <w:r>
        <w:t>施工组织设计、施工方案和特殊技术措施的</w:t>
      </w:r>
      <w:r>
        <w:rPr>
          <w:rFonts w:hint="eastAsia"/>
        </w:rPr>
        <w:t>书面批复意见</w:t>
      </w:r>
      <w:r>
        <w:t>作为结算依据，而</w:t>
      </w:r>
      <w:r>
        <w:rPr>
          <w:rFonts w:hint="eastAsia"/>
        </w:rPr>
        <w:t>是根据实际实施情况转化为</w:t>
      </w:r>
      <w:r>
        <w:t>经济签证单</w:t>
      </w:r>
      <w:r>
        <w:rPr>
          <w:rFonts w:hint="eastAsia"/>
        </w:rPr>
        <w:t>后</w:t>
      </w:r>
      <w:r>
        <w:t>作为依据。</w:t>
      </w:r>
    </w:p>
    <w:p w14:paraId="41ED3CC1">
      <w:pPr>
        <w:pStyle w:val="69"/>
        <w:ind w:left="568"/>
      </w:pPr>
      <w:r>
        <w:t>未实行会审和会签的施工组织设计、施工方案和特殊技术措施，</w:t>
      </w:r>
      <w:r>
        <w:rPr>
          <w:rFonts w:hint="eastAsia"/>
        </w:rPr>
        <w:t>为无效的技术经济文件，</w:t>
      </w:r>
      <w:r>
        <w:t>一律不得作为工程施工和工程竣工结算的依据。</w:t>
      </w:r>
    </w:p>
    <w:p w14:paraId="25875DA3">
      <w:pPr>
        <w:pStyle w:val="68"/>
        <w:spacing w:before="312" w:after="312"/>
        <w:ind w:left="3544"/>
      </w:pPr>
      <w:r>
        <w:rPr>
          <w:rFonts w:hint="eastAsia"/>
        </w:rPr>
        <w:t>附则</w:t>
      </w:r>
    </w:p>
    <w:p w14:paraId="6F478F99">
      <w:pPr>
        <w:pStyle w:val="69"/>
        <w:ind w:left="568"/>
      </w:pPr>
      <w:r>
        <w:rPr>
          <w:rFonts w:hint="eastAsia"/>
        </w:rPr>
        <w:t>未按上述要求办理的，均为无效的技术经济文件。</w:t>
      </w:r>
    </w:p>
    <w:p w14:paraId="3FA4525B">
      <w:pPr>
        <w:pStyle w:val="69"/>
        <w:ind w:left="568"/>
      </w:pPr>
      <w:r>
        <w:rPr>
          <w:rFonts w:hint="eastAsia"/>
        </w:rPr>
        <w:t>凡施工单位不提交费用减少的经济签证单，一经发现，由监理公司或建设单位发出通知，若通知后仍未提交的，我公司将在工程结算中双倍扣回所减少部分的费用。同时建设单位及监理公司现场代表应特别督促施工单位对涉及费用减少的项目办理经济签证。</w:t>
      </w:r>
    </w:p>
    <w:p w14:paraId="3B7AEE90">
      <w:pPr>
        <w:pStyle w:val="69"/>
        <w:ind w:left="568"/>
      </w:pPr>
      <w:r>
        <w:t>其他部门业务涉及需要办理经济签证单可参照本管理办法执行。</w:t>
      </w:r>
      <w:r>
        <w:br w:type="textWrapping"/>
      </w:r>
    </w:p>
    <w:p w14:paraId="578A8D62">
      <w:pPr>
        <w:widowControl/>
        <w:jc w:val="left"/>
        <w:rPr>
          <w:rFonts w:ascii="宋体"/>
          <w:kern w:val="0"/>
          <w:szCs w:val="21"/>
        </w:rPr>
      </w:pPr>
      <w:r>
        <w:br w:type="page"/>
      </w:r>
    </w:p>
    <w:p w14:paraId="572D6349">
      <w:pPr>
        <w:pStyle w:val="69"/>
        <w:jc w:val="center"/>
      </w:pPr>
      <w:r>
        <w:rPr>
          <w:rFonts w:hint="eastAsia"/>
        </w:rPr>
        <w:t>附录A</w:t>
      </w:r>
      <w:r>
        <w:br w:type="textWrapping"/>
      </w:r>
      <w:r>
        <w:rPr>
          <w:rFonts w:hint="eastAsia"/>
        </w:rPr>
        <w:t>（规范性附录）</w:t>
      </w:r>
    </w:p>
    <w:p w14:paraId="6F548D2F">
      <w:pPr>
        <w:autoSpaceDE w:val="0"/>
        <w:autoSpaceDN w:val="0"/>
        <w:adjustRightInd w:val="0"/>
        <w:spacing w:line="360" w:lineRule="auto"/>
        <w:jc w:val="center"/>
        <w:rPr>
          <w:rFonts w:ascii="宋体" w:hAnsi="宋体"/>
          <w:b/>
          <w:sz w:val="24"/>
        </w:rPr>
      </w:pPr>
      <w:r>
        <w:rPr>
          <w:rFonts w:hint="eastAsia" w:ascii="宋体" w:hAnsi="宋体"/>
          <w:b/>
          <w:sz w:val="24"/>
        </w:rPr>
        <w:t>经济签证单</w:t>
      </w:r>
    </w:p>
    <w:p w14:paraId="1B080FF6">
      <w:pPr>
        <w:autoSpaceDE w:val="0"/>
        <w:autoSpaceDN w:val="0"/>
        <w:adjustRightInd w:val="0"/>
        <w:spacing w:line="360" w:lineRule="auto"/>
        <w:jc w:val="center"/>
        <w:rPr>
          <w:rFonts w:ascii="宋体" w:hAnsi="宋体"/>
          <w:b/>
          <w:sz w:val="18"/>
          <w:szCs w:val="18"/>
        </w:rPr>
      </w:pPr>
      <w:r>
        <w:rPr>
          <w:rFonts w:hint="eastAsia" w:ascii="宋体" w:hAnsi="宋体"/>
          <w:sz w:val="18"/>
          <w:szCs w:val="18"/>
        </w:rPr>
        <w:t>（五万元以下适用）</w:t>
      </w:r>
    </w:p>
    <w:tbl>
      <w:tblPr>
        <w:tblStyle w:val="20"/>
        <w:tblW w:w="9056" w:type="dxa"/>
        <w:jc w:val="center"/>
        <w:tblLayout w:type="fixed"/>
        <w:tblCellMar>
          <w:top w:w="0" w:type="dxa"/>
          <w:left w:w="108" w:type="dxa"/>
          <w:bottom w:w="0" w:type="dxa"/>
          <w:right w:w="108" w:type="dxa"/>
        </w:tblCellMar>
      </w:tblPr>
      <w:tblGrid>
        <w:gridCol w:w="1694"/>
        <w:gridCol w:w="1843"/>
        <w:gridCol w:w="1760"/>
        <w:gridCol w:w="83"/>
        <w:gridCol w:w="1283"/>
        <w:gridCol w:w="559"/>
        <w:gridCol w:w="1834"/>
      </w:tblGrid>
      <w:tr w14:paraId="660BBA8A">
        <w:tblPrEx>
          <w:tblCellMar>
            <w:top w:w="0" w:type="dxa"/>
            <w:left w:w="108" w:type="dxa"/>
            <w:bottom w:w="0" w:type="dxa"/>
            <w:right w:w="108" w:type="dxa"/>
          </w:tblCellMar>
        </w:tblPrEx>
        <w:trPr>
          <w:trHeight w:val="356" w:hRule="atLeast"/>
          <w:jc w:val="center"/>
        </w:trPr>
        <w:tc>
          <w:tcPr>
            <w:tcW w:w="5297" w:type="dxa"/>
            <w:gridSpan w:val="3"/>
            <w:tcBorders>
              <w:top w:val="nil"/>
              <w:left w:val="nil"/>
              <w:bottom w:val="nil"/>
              <w:right w:val="nil"/>
            </w:tcBorders>
            <w:vAlign w:val="center"/>
          </w:tcPr>
          <w:p w14:paraId="4EB6D9BA">
            <w:pPr>
              <w:widowControl/>
              <w:jc w:val="left"/>
              <w:rPr>
                <w:rFonts w:ascii="宋体" w:hAnsi="宋体" w:cs="宋体"/>
                <w:kern w:val="0"/>
                <w:sz w:val="24"/>
              </w:rPr>
            </w:pPr>
            <w:r>
              <w:rPr>
                <w:rFonts w:hint="eastAsia" w:ascii="宋体" w:hAnsi="宋体" w:cs="宋体"/>
                <w:kern w:val="0"/>
                <w:sz w:val="24"/>
              </w:rPr>
              <w:t>工程名称：                  分部工程：</w:t>
            </w:r>
          </w:p>
        </w:tc>
        <w:tc>
          <w:tcPr>
            <w:tcW w:w="3759" w:type="dxa"/>
            <w:gridSpan w:val="4"/>
            <w:tcBorders>
              <w:top w:val="nil"/>
              <w:left w:val="nil"/>
              <w:bottom w:val="nil"/>
              <w:right w:val="nil"/>
            </w:tcBorders>
            <w:vAlign w:val="center"/>
          </w:tcPr>
          <w:p w14:paraId="628ABAD0">
            <w:pPr>
              <w:widowControl/>
              <w:rPr>
                <w:rFonts w:ascii="宋体" w:hAnsi="宋体" w:cs="宋体"/>
                <w:kern w:val="0"/>
                <w:sz w:val="24"/>
              </w:rPr>
            </w:pPr>
            <w:r>
              <w:rPr>
                <w:rFonts w:hint="eastAsia" w:ascii="宋体" w:hAnsi="宋体" w:cs="宋体"/>
                <w:kern w:val="0"/>
                <w:sz w:val="24"/>
              </w:rPr>
              <w:t xml:space="preserve">日期：            </w:t>
            </w:r>
          </w:p>
        </w:tc>
      </w:tr>
      <w:tr w14:paraId="3A2E30AD">
        <w:tblPrEx>
          <w:tblCellMar>
            <w:top w:w="0" w:type="dxa"/>
            <w:left w:w="108" w:type="dxa"/>
            <w:bottom w:w="0" w:type="dxa"/>
            <w:right w:w="108" w:type="dxa"/>
          </w:tblCellMar>
        </w:tblPrEx>
        <w:trPr>
          <w:trHeight w:val="634" w:hRule="atLeast"/>
          <w:jc w:val="center"/>
        </w:trPr>
        <w:tc>
          <w:tcPr>
            <w:tcW w:w="5380" w:type="dxa"/>
            <w:gridSpan w:val="4"/>
            <w:tcBorders>
              <w:top w:val="single" w:color="auto" w:sz="4" w:space="0"/>
              <w:left w:val="single" w:color="auto" w:sz="4" w:space="0"/>
              <w:bottom w:val="single" w:color="auto" w:sz="4" w:space="0"/>
              <w:right w:val="single" w:color="auto" w:sz="4" w:space="0"/>
            </w:tcBorders>
            <w:vAlign w:val="center"/>
          </w:tcPr>
          <w:p w14:paraId="421FF333">
            <w:pPr>
              <w:widowControl/>
              <w:jc w:val="left"/>
              <w:rPr>
                <w:rFonts w:ascii="宋体" w:hAnsi="宋体" w:cs="宋体"/>
                <w:kern w:val="0"/>
                <w:sz w:val="24"/>
              </w:rPr>
            </w:pPr>
            <w:r>
              <w:rPr>
                <w:rFonts w:hint="eastAsia" w:ascii="宋体" w:hAnsi="宋体" w:cs="宋体"/>
                <w:kern w:val="0"/>
                <w:sz w:val="24"/>
              </w:rPr>
              <w:t>施工单位：</w:t>
            </w:r>
          </w:p>
        </w:tc>
        <w:tc>
          <w:tcPr>
            <w:tcW w:w="1283" w:type="dxa"/>
            <w:tcBorders>
              <w:top w:val="single" w:color="auto" w:sz="4" w:space="0"/>
              <w:left w:val="nil"/>
              <w:bottom w:val="single" w:color="auto" w:sz="4" w:space="0"/>
              <w:right w:val="single" w:color="auto" w:sz="4" w:space="0"/>
            </w:tcBorders>
            <w:vAlign w:val="center"/>
          </w:tcPr>
          <w:p w14:paraId="1C43E180">
            <w:pPr>
              <w:widowControl/>
              <w:jc w:val="left"/>
              <w:rPr>
                <w:rFonts w:ascii="宋体" w:hAnsi="宋体" w:cs="宋体"/>
                <w:kern w:val="0"/>
                <w:sz w:val="24"/>
              </w:rPr>
            </w:pPr>
            <w:r>
              <w:rPr>
                <w:rFonts w:hint="eastAsia" w:ascii="宋体" w:hAnsi="宋体" w:cs="宋体"/>
                <w:kern w:val="0"/>
                <w:sz w:val="24"/>
              </w:rPr>
              <w:t>专业：</w:t>
            </w:r>
          </w:p>
        </w:tc>
        <w:tc>
          <w:tcPr>
            <w:tcW w:w="2393" w:type="dxa"/>
            <w:gridSpan w:val="2"/>
            <w:tcBorders>
              <w:top w:val="single" w:color="auto" w:sz="4" w:space="0"/>
              <w:left w:val="nil"/>
              <w:bottom w:val="single" w:color="auto" w:sz="4" w:space="0"/>
              <w:right w:val="single" w:color="auto" w:sz="4" w:space="0"/>
            </w:tcBorders>
            <w:vAlign w:val="center"/>
          </w:tcPr>
          <w:p w14:paraId="31374C9B">
            <w:pPr>
              <w:widowControl/>
              <w:jc w:val="left"/>
              <w:rPr>
                <w:rFonts w:ascii="宋体" w:hAnsi="宋体" w:cs="宋体"/>
                <w:kern w:val="0"/>
                <w:sz w:val="24"/>
              </w:rPr>
            </w:pPr>
            <w:r>
              <w:rPr>
                <w:rFonts w:hint="eastAsia" w:ascii="宋体" w:hAnsi="宋体" w:cs="宋体"/>
                <w:kern w:val="0"/>
                <w:sz w:val="24"/>
              </w:rPr>
              <w:t>编号：</w:t>
            </w:r>
          </w:p>
        </w:tc>
      </w:tr>
      <w:tr w14:paraId="139EDA8B">
        <w:tblPrEx>
          <w:tblCellMar>
            <w:top w:w="0" w:type="dxa"/>
            <w:left w:w="108" w:type="dxa"/>
            <w:bottom w:w="0" w:type="dxa"/>
            <w:right w:w="108" w:type="dxa"/>
          </w:tblCellMar>
        </w:tblPrEx>
        <w:trPr>
          <w:trHeight w:val="1656" w:hRule="atLeast"/>
          <w:jc w:val="center"/>
        </w:trPr>
        <w:tc>
          <w:tcPr>
            <w:tcW w:w="9056" w:type="dxa"/>
            <w:gridSpan w:val="7"/>
            <w:vMerge w:val="restart"/>
            <w:tcBorders>
              <w:top w:val="single" w:color="auto" w:sz="4" w:space="0"/>
              <w:left w:val="single" w:color="auto" w:sz="4" w:space="0"/>
              <w:bottom w:val="nil"/>
              <w:right w:val="single" w:color="000000" w:sz="4" w:space="0"/>
            </w:tcBorders>
          </w:tcPr>
          <w:p w14:paraId="19C5A208">
            <w:pPr>
              <w:widowControl/>
              <w:jc w:val="left"/>
              <w:rPr>
                <w:rFonts w:ascii="宋体" w:hAnsi="宋体" w:cs="宋体"/>
                <w:kern w:val="0"/>
                <w:sz w:val="22"/>
              </w:rPr>
            </w:pPr>
            <w:r>
              <w:rPr>
                <w:rFonts w:hint="eastAsia" w:ascii="宋体" w:hAnsi="宋体" w:cs="宋体"/>
                <w:kern w:val="0"/>
                <w:sz w:val="22"/>
              </w:rPr>
              <w:t>签证事由：</w:t>
            </w:r>
          </w:p>
        </w:tc>
      </w:tr>
      <w:tr w14:paraId="40179187">
        <w:tblPrEx>
          <w:tblCellMar>
            <w:top w:w="0" w:type="dxa"/>
            <w:left w:w="108" w:type="dxa"/>
            <w:bottom w:w="0" w:type="dxa"/>
            <w:right w:w="108" w:type="dxa"/>
          </w:tblCellMar>
        </w:tblPrEx>
        <w:trPr>
          <w:trHeight w:val="312" w:hRule="atLeast"/>
          <w:jc w:val="center"/>
        </w:trPr>
        <w:tc>
          <w:tcPr>
            <w:tcW w:w="9056" w:type="dxa"/>
            <w:gridSpan w:val="7"/>
            <w:vMerge w:val="continue"/>
            <w:tcBorders>
              <w:top w:val="single" w:color="auto" w:sz="4" w:space="0"/>
              <w:left w:val="single" w:color="auto" w:sz="4" w:space="0"/>
              <w:bottom w:val="single" w:color="auto" w:sz="4" w:space="0"/>
              <w:right w:val="single" w:color="000000" w:sz="4" w:space="0"/>
            </w:tcBorders>
            <w:vAlign w:val="center"/>
          </w:tcPr>
          <w:p w14:paraId="6E74CE39">
            <w:pPr>
              <w:widowControl/>
              <w:jc w:val="left"/>
              <w:rPr>
                <w:rFonts w:ascii="宋体" w:hAnsi="宋体" w:cs="宋体"/>
                <w:kern w:val="0"/>
                <w:sz w:val="22"/>
              </w:rPr>
            </w:pPr>
          </w:p>
        </w:tc>
      </w:tr>
      <w:tr w14:paraId="6272B051">
        <w:tblPrEx>
          <w:tblCellMar>
            <w:top w:w="0" w:type="dxa"/>
            <w:left w:w="108" w:type="dxa"/>
            <w:bottom w:w="0" w:type="dxa"/>
            <w:right w:w="108" w:type="dxa"/>
          </w:tblCellMar>
        </w:tblPrEx>
        <w:trPr>
          <w:trHeight w:val="4175" w:hRule="atLeast"/>
          <w:jc w:val="center"/>
        </w:trPr>
        <w:tc>
          <w:tcPr>
            <w:tcW w:w="9056" w:type="dxa"/>
            <w:gridSpan w:val="7"/>
            <w:tcBorders>
              <w:top w:val="single" w:color="auto" w:sz="4" w:space="0"/>
              <w:left w:val="single" w:color="auto" w:sz="4" w:space="0"/>
              <w:bottom w:val="single" w:color="auto" w:sz="4" w:space="0"/>
              <w:right w:val="single" w:color="000000" w:sz="4" w:space="0"/>
            </w:tcBorders>
            <w:vAlign w:val="center"/>
          </w:tcPr>
          <w:p w14:paraId="263C6F08">
            <w:pPr>
              <w:widowControl/>
              <w:jc w:val="left"/>
              <w:rPr>
                <w:rFonts w:ascii="宋体" w:hAnsi="宋体" w:cs="宋体"/>
                <w:kern w:val="0"/>
                <w:sz w:val="22"/>
              </w:rPr>
            </w:pPr>
            <w:r>
              <w:rPr>
                <w:rFonts w:hint="eastAsia" w:ascii="宋体" w:hAnsi="宋体" w:cs="宋体"/>
                <w:kern w:val="0"/>
                <w:sz w:val="22"/>
              </w:rPr>
              <w:t>内容（部位、数量、草图、说明、相片）：</w:t>
            </w:r>
          </w:p>
          <w:p w14:paraId="4A38BE5E">
            <w:pPr>
              <w:widowControl/>
              <w:jc w:val="left"/>
              <w:rPr>
                <w:rFonts w:ascii="宋体" w:hAnsi="宋体" w:cs="宋体"/>
                <w:kern w:val="0"/>
                <w:sz w:val="22"/>
              </w:rPr>
            </w:pPr>
          </w:p>
          <w:p w14:paraId="4A3DB486">
            <w:pPr>
              <w:widowControl/>
              <w:jc w:val="left"/>
              <w:rPr>
                <w:rFonts w:ascii="宋体" w:hAnsi="宋体" w:cs="宋体"/>
                <w:kern w:val="0"/>
                <w:sz w:val="22"/>
              </w:rPr>
            </w:pPr>
          </w:p>
          <w:p w14:paraId="0EA403D9">
            <w:pPr>
              <w:widowControl/>
              <w:jc w:val="left"/>
              <w:rPr>
                <w:rFonts w:ascii="宋体" w:hAnsi="宋体" w:cs="宋体"/>
                <w:kern w:val="0"/>
                <w:sz w:val="22"/>
              </w:rPr>
            </w:pPr>
          </w:p>
          <w:p w14:paraId="757B4FB5">
            <w:pPr>
              <w:widowControl/>
              <w:jc w:val="left"/>
              <w:rPr>
                <w:rFonts w:ascii="宋体" w:hAnsi="宋体" w:cs="宋体"/>
                <w:kern w:val="0"/>
                <w:sz w:val="22"/>
              </w:rPr>
            </w:pPr>
          </w:p>
          <w:p w14:paraId="4B1A3AD7">
            <w:pPr>
              <w:widowControl/>
              <w:jc w:val="left"/>
              <w:rPr>
                <w:rFonts w:ascii="宋体" w:hAnsi="宋体" w:cs="宋体"/>
                <w:kern w:val="0"/>
                <w:sz w:val="22"/>
              </w:rPr>
            </w:pPr>
          </w:p>
          <w:p w14:paraId="27284F9E">
            <w:pPr>
              <w:widowControl/>
              <w:jc w:val="left"/>
              <w:rPr>
                <w:rFonts w:ascii="宋体" w:hAnsi="宋体" w:cs="宋体"/>
                <w:kern w:val="0"/>
                <w:sz w:val="22"/>
              </w:rPr>
            </w:pPr>
          </w:p>
          <w:p w14:paraId="5280C1D7">
            <w:pPr>
              <w:widowControl/>
              <w:jc w:val="left"/>
              <w:rPr>
                <w:rFonts w:ascii="宋体" w:hAnsi="宋体" w:cs="宋体"/>
                <w:kern w:val="0"/>
                <w:sz w:val="22"/>
              </w:rPr>
            </w:pPr>
          </w:p>
          <w:p w14:paraId="19B65B66">
            <w:pPr>
              <w:widowControl/>
              <w:jc w:val="left"/>
              <w:rPr>
                <w:rFonts w:ascii="宋体" w:hAnsi="宋体" w:cs="宋体"/>
                <w:kern w:val="0"/>
                <w:sz w:val="22"/>
              </w:rPr>
            </w:pPr>
          </w:p>
          <w:p w14:paraId="4A8FA418">
            <w:pPr>
              <w:widowControl/>
              <w:jc w:val="left"/>
              <w:rPr>
                <w:rFonts w:ascii="宋体" w:hAnsi="宋体" w:cs="宋体"/>
                <w:kern w:val="0"/>
                <w:sz w:val="22"/>
              </w:rPr>
            </w:pPr>
          </w:p>
          <w:p w14:paraId="5548EAD4">
            <w:pPr>
              <w:widowControl/>
              <w:jc w:val="left"/>
              <w:rPr>
                <w:rFonts w:ascii="宋体" w:hAnsi="宋体" w:cs="宋体"/>
                <w:kern w:val="0"/>
                <w:sz w:val="22"/>
              </w:rPr>
            </w:pPr>
          </w:p>
          <w:p w14:paraId="119B2A58">
            <w:pPr>
              <w:widowControl/>
              <w:spacing w:before="100" w:beforeAutospacing="1"/>
              <w:jc w:val="left"/>
              <w:rPr>
                <w:rFonts w:ascii="宋体" w:hAnsi="宋体" w:cs="宋体"/>
                <w:kern w:val="0"/>
                <w:sz w:val="22"/>
              </w:rPr>
            </w:pPr>
          </w:p>
        </w:tc>
      </w:tr>
      <w:tr w14:paraId="631C27AD">
        <w:tblPrEx>
          <w:tblCellMar>
            <w:top w:w="0" w:type="dxa"/>
            <w:left w:w="108" w:type="dxa"/>
            <w:bottom w:w="0" w:type="dxa"/>
            <w:right w:w="108" w:type="dxa"/>
          </w:tblCellMar>
        </w:tblPrEx>
        <w:trPr>
          <w:trHeight w:val="906" w:hRule="atLeast"/>
          <w:jc w:val="center"/>
        </w:trPr>
        <w:tc>
          <w:tcPr>
            <w:tcW w:w="9056" w:type="dxa"/>
            <w:gridSpan w:val="7"/>
            <w:vMerge w:val="restart"/>
            <w:tcBorders>
              <w:top w:val="single" w:color="auto" w:sz="4" w:space="0"/>
              <w:left w:val="single" w:color="auto" w:sz="4" w:space="0"/>
              <w:bottom w:val="nil"/>
              <w:right w:val="single" w:color="000000" w:sz="4" w:space="0"/>
            </w:tcBorders>
          </w:tcPr>
          <w:p w14:paraId="31B7A5A2">
            <w:pPr>
              <w:rPr>
                <w:rFonts w:ascii="宋体" w:hAnsi="宋体" w:cs="宋体"/>
                <w:kern w:val="0"/>
                <w:sz w:val="22"/>
              </w:rPr>
            </w:pPr>
            <w:r>
              <w:rPr>
                <w:rFonts w:hint="eastAsia" w:ascii="宋体" w:hAnsi="宋体" w:cs="宋体"/>
                <w:kern w:val="0"/>
                <w:sz w:val="22"/>
              </w:rPr>
              <w:t>审核人员意见：</w:t>
            </w:r>
          </w:p>
        </w:tc>
      </w:tr>
      <w:tr w14:paraId="59831934">
        <w:tblPrEx>
          <w:tblCellMar>
            <w:top w:w="0" w:type="dxa"/>
            <w:left w:w="108" w:type="dxa"/>
            <w:bottom w:w="0" w:type="dxa"/>
            <w:right w:w="108" w:type="dxa"/>
          </w:tblCellMar>
        </w:tblPrEx>
        <w:trPr>
          <w:trHeight w:val="496" w:hRule="atLeast"/>
          <w:jc w:val="center"/>
        </w:trPr>
        <w:tc>
          <w:tcPr>
            <w:tcW w:w="9056" w:type="dxa"/>
            <w:gridSpan w:val="7"/>
            <w:vMerge w:val="continue"/>
            <w:tcBorders>
              <w:top w:val="single" w:color="auto" w:sz="4" w:space="0"/>
              <w:left w:val="single" w:color="auto" w:sz="4" w:space="0"/>
              <w:bottom w:val="nil"/>
              <w:right w:val="single" w:color="000000" w:sz="4" w:space="0"/>
            </w:tcBorders>
            <w:vAlign w:val="center"/>
          </w:tcPr>
          <w:p w14:paraId="0A8F1EF1">
            <w:pPr>
              <w:widowControl/>
              <w:jc w:val="left"/>
              <w:rPr>
                <w:rFonts w:ascii="宋体" w:hAnsi="宋体" w:cs="宋体"/>
                <w:kern w:val="0"/>
                <w:sz w:val="22"/>
              </w:rPr>
            </w:pPr>
          </w:p>
        </w:tc>
      </w:tr>
      <w:tr w14:paraId="166DFD95">
        <w:tblPrEx>
          <w:tblCellMar>
            <w:top w:w="0" w:type="dxa"/>
            <w:left w:w="108" w:type="dxa"/>
            <w:bottom w:w="0" w:type="dxa"/>
            <w:right w:w="108" w:type="dxa"/>
          </w:tblCellMar>
        </w:tblPrEx>
        <w:trPr>
          <w:trHeight w:val="1248" w:hRule="atLeast"/>
          <w:jc w:val="center"/>
        </w:trPr>
        <w:tc>
          <w:tcPr>
            <w:tcW w:w="1694" w:type="dxa"/>
            <w:tcBorders>
              <w:top w:val="single" w:color="auto" w:sz="4" w:space="0"/>
              <w:left w:val="single" w:color="auto" w:sz="4" w:space="0"/>
              <w:bottom w:val="single" w:color="auto" w:sz="4" w:space="0"/>
              <w:right w:val="single" w:color="auto" w:sz="4" w:space="0"/>
            </w:tcBorders>
          </w:tcPr>
          <w:p w14:paraId="1CE7C6EA">
            <w:pPr>
              <w:widowControl/>
              <w:jc w:val="left"/>
              <w:rPr>
                <w:rFonts w:ascii="宋体" w:hAnsi="宋体" w:cs="宋体"/>
                <w:kern w:val="0"/>
                <w:sz w:val="22"/>
              </w:rPr>
            </w:pPr>
            <w:r>
              <w:rPr>
                <w:rFonts w:hint="eastAsia" w:ascii="宋体" w:hAnsi="宋体" w:cs="宋体"/>
                <w:kern w:val="0"/>
                <w:sz w:val="22"/>
              </w:rPr>
              <w:t xml:space="preserve">施工单位签章                           </w:t>
            </w:r>
          </w:p>
        </w:tc>
        <w:tc>
          <w:tcPr>
            <w:tcW w:w="1843" w:type="dxa"/>
            <w:tcBorders>
              <w:top w:val="single" w:color="auto" w:sz="4" w:space="0"/>
              <w:left w:val="single" w:color="auto" w:sz="4" w:space="0"/>
              <w:bottom w:val="single" w:color="auto" w:sz="4" w:space="0"/>
              <w:right w:val="single" w:color="auto" w:sz="4" w:space="0"/>
            </w:tcBorders>
          </w:tcPr>
          <w:p w14:paraId="78C08454">
            <w:pPr>
              <w:widowControl/>
              <w:jc w:val="left"/>
              <w:rPr>
                <w:rFonts w:ascii="宋体" w:hAnsi="宋体" w:cs="宋体"/>
                <w:kern w:val="0"/>
                <w:sz w:val="22"/>
              </w:rPr>
            </w:pPr>
            <w:r>
              <w:rPr>
                <w:rFonts w:hint="eastAsia" w:ascii="宋体" w:hAnsi="宋体" w:cs="宋体"/>
                <w:kern w:val="0"/>
                <w:sz w:val="22"/>
              </w:rPr>
              <w:t>监理公司签章</w:t>
            </w:r>
          </w:p>
        </w:tc>
        <w:tc>
          <w:tcPr>
            <w:tcW w:w="1843" w:type="dxa"/>
            <w:gridSpan w:val="2"/>
            <w:tcBorders>
              <w:top w:val="single" w:color="auto" w:sz="4" w:space="0"/>
              <w:left w:val="single" w:color="auto" w:sz="4" w:space="0"/>
              <w:bottom w:val="single" w:color="auto" w:sz="4" w:space="0"/>
              <w:right w:val="single" w:color="auto" w:sz="4" w:space="0"/>
            </w:tcBorders>
          </w:tcPr>
          <w:p w14:paraId="042554B7">
            <w:pPr>
              <w:widowControl/>
              <w:jc w:val="left"/>
              <w:rPr>
                <w:rFonts w:ascii="宋体" w:hAnsi="宋体" w:cs="宋体"/>
                <w:kern w:val="0"/>
                <w:sz w:val="22"/>
              </w:rPr>
            </w:pPr>
            <w:r>
              <w:rPr>
                <w:rFonts w:hint="eastAsia" w:ascii="宋体" w:hAnsi="宋体" w:cs="宋体"/>
                <w:kern w:val="0"/>
                <w:sz w:val="22"/>
              </w:rPr>
              <w:t>现场专业负责人（项目负责人）</w:t>
            </w:r>
          </w:p>
          <w:p w14:paraId="754EAA36">
            <w:pPr>
              <w:widowControl/>
              <w:jc w:val="left"/>
              <w:rPr>
                <w:rFonts w:ascii="宋体" w:hAnsi="宋体" w:cs="宋体"/>
                <w:kern w:val="0"/>
                <w:sz w:val="22"/>
              </w:rPr>
            </w:pPr>
            <w:r>
              <w:rPr>
                <w:rFonts w:hint="eastAsia" w:ascii="宋体" w:hAnsi="宋体" w:cs="宋体"/>
                <w:kern w:val="0"/>
                <w:sz w:val="22"/>
              </w:rPr>
              <w:t>部门签章</w:t>
            </w:r>
          </w:p>
        </w:tc>
        <w:tc>
          <w:tcPr>
            <w:tcW w:w="1842" w:type="dxa"/>
            <w:gridSpan w:val="2"/>
            <w:tcBorders>
              <w:top w:val="single" w:color="auto" w:sz="4" w:space="0"/>
              <w:left w:val="single" w:color="auto" w:sz="4" w:space="0"/>
              <w:bottom w:val="single" w:color="auto" w:sz="4" w:space="0"/>
              <w:right w:val="single" w:color="auto" w:sz="4" w:space="0"/>
            </w:tcBorders>
          </w:tcPr>
          <w:p w14:paraId="7E9D8AA8">
            <w:pPr>
              <w:widowControl/>
              <w:jc w:val="left"/>
              <w:rPr>
                <w:rFonts w:ascii="宋体" w:hAnsi="宋体" w:cs="宋体"/>
                <w:kern w:val="0"/>
                <w:sz w:val="22"/>
              </w:rPr>
            </w:pPr>
            <w:r>
              <w:rPr>
                <w:rFonts w:hint="eastAsia" w:ascii="宋体" w:hAnsi="宋体" w:cs="宋体"/>
                <w:kern w:val="0"/>
                <w:sz w:val="22"/>
              </w:rPr>
              <w:t>造价管理人员</w:t>
            </w:r>
          </w:p>
        </w:tc>
        <w:tc>
          <w:tcPr>
            <w:tcW w:w="1834" w:type="dxa"/>
            <w:tcBorders>
              <w:top w:val="single" w:color="auto" w:sz="4" w:space="0"/>
              <w:left w:val="single" w:color="auto" w:sz="4" w:space="0"/>
              <w:right w:val="single" w:color="auto" w:sz="4" w:space="0"/>
            </w:tcBorders>
          </w:tcPr>
          <w:p w14:paraId="74E4A86A">
            <w:pPr>
              <w:widowControl/>
              <w:jc w:val="left"/>
              <w:rPr>
                <w:rFonts w:ascii="宋体" w:hAnsi="宋体" w:cs="宋体"/>
                <w:kern w:val="0"/>
                <w:sz w:val="22"/>
              </w:rPr>
            </w:pPr>
            <w:r>
              <w:rPr>
                <w:rFonts w:hint="eastAsia" w:ascii="宋体" w:hAnsi="宋体" w:cs="宋体"/>
                <w:kern w:val="0"/>
                <w:sz w:val="22"/>
              </w:rPr>
              <w:t>部门领导</w:t>
            </w:r>
          </w:p>
        </w:tc>
      </w:tr>
      <w:tr w14:paraId="13343085">
        <w:tblPrEx>
          <w:tblCellMar>
            <w:top w:w="0" w:type="dxa"/>
            <w:left w:w="108" w:type="dxa"/>
            <w:bottom w:w="0" w:type="dxa"/>
            <w:right w:w="108" w:type="dxa"/>
          </w:tblCellMar>
        </w:tblPrEx>
        <w:trPr>
          <w:trHeight w:val="1273" w:hRule="atLeast"/>
          <w:jc w:val="center"/>
        </w:trPr>
        <w:tc>
          <w:tcPr>
            <w:tcW w:w="1694" w:type="dxa"/>
            <w:tcBorders>
              <w:top w:val="single" w:color="auto" w:sz="4" w:space="0"/>
              <w:left w:val="single" w:color="auto" w:sz="4" w:space="0"/>
              <w:bottom w:val="single" w:color="auto" w:sz="4" w:space="0"/>
              <w:right w:val="single" w:color="auto" w:sz="4" w:space="0"/>
            </w:tcBorders>
          </w:tcPr>
          <w:p w14:paraId="533944B7">
            <w:pPr>
              <w:widowControl/>
              <w:jc w:val="left"/>
              <w:rPr>
                <w:rFonts w:ascii="宋体" w:hAnsi="宋体" w:cs="宋体"/>
                <w:kern w:val="0"/>
                <w:sz w:val="22"/>
              </w:rPr>
            </w:pPr>
            <w:r>
              <w:rPr>
                <w:rFonts w:hint="eastAsia" w:ascii="宋体" w:hAnsi="宋体" w:cs="宋体"/>
                <w:kern w:val="0"/>
                <w:sz w:val="22"/>
              </w:rPr>
              <w:t>经办人：</w:t>
            </w:r>
          </w:p>
        </w:tc>
        <w:tc>
          <w:tcPr>
            <w:tcW w:w="1843" w:type="dxa"/>
            <w:tcBorders>
              <w:top w:val="single" w:color="auto" w:sz="4" w:space="0"/>
              <w:left w:val="nil"/>
              <w:bottom w:val="single" w:color="auto" w:sz="4" w:space="0"/>
              <w:right w:val="single" w:color="auto" w:sz="4" w:space="0"/>
            </w:tcBorders>
          </w:tcPr>
          <w:p w14:paraId="01380979">
            <w:pPr>
              <w:widowControl/>
              <w:jc w:val="left"/>
              <w:rPr>
                <w:rFonts w:ascii="宋体" w:hAnsi="宋体" w:cs="宋体"/>
                <w:kern w:val="0"/>
                <w:sz w:val="22"/>
              </w:rPr>
            </w:pPr>
            <w:r>
              <w:rPr>
                <w:rFonts w:hint="eastAsia" w:ascii="宋体" w:hAnsi="宋体" w:cs="宋体"/>
                <w:kern w:val="0"/>
                <w:sz w:val="22"/>
              </w:rPr>
              <w:t>经办人：</w:t>
            </w:r>
          </w:p>
        </w:tc>
        <w:tc>
          <w:tcPr>
            <w:tcW w:w="1843" w:type="dxa"/>
            <w:gridSpan w:val="2"/>
            <w:tcBorders>
              <w:top w:val="single" w:color="auto" w:sz="4" w:space="0"/>
              <w:left w:val="nil"/>
              <w:bottom w:val="single" w:color="auto" w:sz="4" w:space="0"/>
              <w:right w:val="single" w:color="auto" w:sz="4" w:space="0"/>
            </w:tcBorders>
          </w:tcPr>
          <w:p w14:paraId="5664A1C1">
            <w:pPr>
              <w:widowControl/>
              <w:jc w:val="left"/>
              <w:rPr>
                <w:rFonts w:ascii="宋体" w:hAnsi="宋体" w:cs="宋体"/>
                <w:kern w:val="0"/>
                <w:sz w:val="22"/>
              </w:rPr>
            </w:pPr>
            <w:r>
              <w:rPr>
                <w:rFonts w:hint="eastAsia" w:ascii="宋体" w:hAnsi="宋体" w:cs="宋体"/>
                <w:kern w:val="0"/>
                <w:sz w:val="22"/>
              </w:rPr>
              <w:t>经办人：</w:t>
            </w:r>
          </w:p>
        </w:tc>
        <w:tc>
          <w:tcPr>
            <w:tcW w:w="1842" w:type="dxa"/>
            <w:gridSpan w:val="2"/>
            <w:tcBorders>
              <w:top w:val="single" w:color="auto" w:sz="4" w:space="0"/>
              <w:left w:val="nil"/>
              <w:bottom w:val="single" w:color="auto" w:sz="4" w:space="0"/>
              <w:right w:val="single" w:color="auto" w:sz="4" w:space="0"/>
            </w:tcBorders>
          </w:tcPr>
          <w:p w14:paraId="24EA356A">
            <w:pPr>
              <w:widowControl/>
              <w:jc w:val="left"/>
              <w:rPr>
                <w:rFonts w:ascii="宋体" w:hAnsi="宋体" w:cs="宋体"/>
                <w:kern w:val="0"/>
                <w:sz w:val="22"/>
              </w:rPr>
            </w:pPr>
            <w:r>
              <w:rPr>
                <w:rFonts w:hint="eastAsia" w:ascii="宋体" w:hAnsi="宋体" w:cs="宋体"/>
                <w:kern w:val="0"/>
                <w:sz w:val="22"/>
              </w:rPr>
              <w:t>经办人：</w:t>
            </w:r>
          </w:p>
        </w:tc>
        <w:tc>
          <w:tcPr>
            <w:tcW w:w="1834" w:type="dxa"/>
            <w:tcBorders>
              <w:top w:val="single" w:color="auto" w:sz="4" w:space="0"/>
              <w:left w:val="nil"/>
              <w:bottom w:val="single" w:color="auto" w:sz="4" w:space="0"/>
              <w:right w:val="single" w:color="auto" w:sz="4" w:space="0"/>
            </w:tcBorders>
          </w:tcPr>
          <w:p w14:paraId="353F4462">
            <w:pPr>
              <w:widowControl/>
              <w:jc w:val="left"/>
              <w:rPr>
                <w:rFonts w:ascii="宋体" w:hAnsi="宋体" w:cs="宋体"/>
                <w:kern w:val="0"/>
                <w:sz w:val="22"/>
              </w:rPr>
            </w:pPr>
            <w:r>
              <w:rPr>
                <w:rFonts w:hint="eastAsia" w:ascii="宋体" w:hAnsi="宋体" w:cs="宋体"/>
                <w:kern w:val="0"/>
                <w:sz w:val="22"/>
              </w:rPr>
              <w:t>审批人：</w:t>
            </w:r>
          </w:p>
        </w:tc>
      </w:tr>
    </w:tbl>
    <w:p w14:paraId="03B22C8D">
      <w:pPr>
        <w:autoSpaceDE w:val="0"/>
        <w:autoSpaceDN w:val="0"/>
        <w:adjustRightInd w:val="0"/>
        <w:spacing w:line="360" w:lineRule="auto"/>
        <w:ind w:left="201" w:leftChars="96"/>
        <w:rPr>
          <w:rFonts w:ascii="宋体" w:hAnsi="宋体"/>
          <w:szCs w:val="21"/>
        </w:rPr>
      </w:pPr>
      <w:r>
        <w:rPr>
          <w:rFonts w:hint="eastAsia" w:ascii="宋体" w:hAnsi="宋体"/>
          <w:szCs w:val="21"/>
        </w:rPr>
        <w:t>注：1、本记录表二份原件，施工单位、建设单位工程管理部各执一份原件；</w:t>
      </w:r>
    </w:p>
    <w:p w14:paraId="6787CC58">
      <w:r>
        <w:br w:type="page"/>
      </w:r>
    </w:p>
    <w:p w14:paraId="5F505117">
      <w:pPr>
        <w:jc w:val="center"/>
      </w:pPr>
      <w:r>
        <w:rPr>
          <w:rFonts w:hint="eastAsia"/>
        </w:rPr>
        <w:t>附录B</w:t>
      </w:r>
      <w:r>
        <w:br w:type="textWrapping"/>
      </w:r>
      <w:r>
        <w:rPr>
          <w:rFonts w:hint="eastAsia"/>
        </w:rPr>
        <w:t>（规范性附录）</w:t>
      </w:r>
    </w:p>
    <w:p w14:paraId="500F50B1">
      <w:pPr>
        <w:autoSpaceDE w:val="0"/>
        <w:autoSpaceDN w:val="0"/>
        <w:adjustRightInd w:val="0"/>
        <w:spacing w:line="360" w:lineRule="auto"/>
        <w:jc w:val="center"/>
        <w:rPr>
          <w:rFonts w:ascii="宋体" w:hAnsi="宋体"/>
          <w:b/>
          <w:sz w:val="24"/>
        </w:rPr>
      </w:pPr>
      <w:r>
        <w:rPr>
          <w:rFonts w:hint="eastAsia" w:ascii="宋体" w:hAnsi="宋体"/>
          <w:b/>
          <w:sz w:val="24"/>
        </w:rPr>
        <w:t>经济签证单</w:t>
      </w:r>
    </w:p>
    <w:p w14:paraId="7D7700CE">
      <w:pPr>
        <w:autoSpaceDE w:val="0"/>
        <w:autoSpaceDN w:val="0"/>
        <w:adjustRightInd w:val="0"/>
        <w:spacing w:line="360" w:lineRule="auto"/>
        <w:jc w:val="center"/>
        <w:rPr>
          <w:rFonts w:ascii="宋体" w:hAnsi="宋体"/>
          <w:b/>
          <w:sz w:val="18"/>
          <w:szCs w:val="18"/>
        </w:rPr>
      </w:pPr>
      <w:r>
        <w:rPr>
          <w:rFonts w:hint="eastAsia" w:ascii="宋体" w:hAnsi="宋体"/>
          <w:sz w:val="18"/>
          <w:szCs w:val="18"/>
        </w:rPr>
        <w:t>（五万元以上适用）</w:t>
      </w:r>
    </w:p>
    <w:tbl>
      <w:tblPr>
        <w:tblStyle w:val="20"/>
        <w:tblW w:w="9056" w:type="dxa"/>
        <w:jc w:val="center"/>
        <w:tblLayout w:type="fixed"/>
        <w:tblCellMar>
          <w:top w:w="0" w:type="dxa"/>
          <w:left w:w="108" w:type="dxa"/>
          <w:bottom w:w="0" w:type="dxa"/>
          <w:right w:w="108" w:type="dxa"/>
        </w:tblCellMar>
      </w:tblPr>
      <w:tblGrid>
        <w:gridCol w:w="1411"/>
        <w:gridCol w:w="1417"/>
        <w:gridCol w:w="1559"/>
        <w:gridCol w:w="8"/>
        <w:gridCol w:w="902"/>
        <w:gridCol w:w="650"/>
        <w:gridCol w:w="716"/>
        <w:gridCol w:w="843"/>
        <w:gridCol w:w="1550"/>
      </w:tblGrid>
      <w:tr w14:paraId="63AC2873">
        <w:tblPrEx>
          <w:tblCellMar>
            <w:top w:w="0" w:type="dxa"/>
            <w:left w:w="108" w:type="dxa"/>
            <w:bottom w:w="0" w:type="dxa"/>
            <w:right w:w="108" w:type="dxa"/>
          </w:tblCellMar>
        </w:tblPrEx>
        <w:trPr>
          <w:trHeight w:val="356" w:hRule="atLeast"/>
          <w:jc w:val="center"/>
        </w:trPr>
        <w:tc>
          <w:tcPr>
            <w:tcW w:w="5297" w:type="dxa"/>
            <w:gridSpan w:val="5"/>
            <w:tcBorders>
              <w:top w:val="nil"/>
              <w:left w:val="nil"/>
              <w:bottom w:val="nil"/>
              <w:right w:val="nil"/>
            </w:tcBorders>
            <w:vAlign w:val="center"/>
          </w:tcPr>
          <w:p w14:paraId="6C763876">
            <w:pPr>
              <w:widowControl/>
              <w:jc w:val="left"/>
              <w:rPr>
                <w:rFonts w:ascii="宋体" w:hAnsi="宋体" w:cs="宋体"/>
                <w:kern w:val="0"/>
                <w:sz w:val="24"/>
              </w:rPr>
            </w:pPr>
            <w:r>
              <w:rPr>
                <w:rFonts w:hint="eastAsia" w:ascii="宋体" w:hAnsi="宋体" w:cs="宋体"/>
                <w:kern w:val="0"/>
                <w:sz w:val="24"/>
              </w:rPr>
              <w:t>工程名称：                  分部工程：</w:t>
            </w:r>
          </w:p>
        </w:tc>
        <w:tc>
          <w:tcPr>
            <w:tcW w:w="3759" w:type="dxa"/>
            <w:gridSpan w:val="4"/>
            <w:tcBorders>
              <w:top w:val="nil"/>
              <w:left w:val="nil"/>
              <w:bottom w:val="nil"/>
              <w:right w:val="nil"/>
            </w:tcBorders>
            <w:vAlign w:val="center"/>
          </w:tcPr>
          <w:p w14:paraId="0ED07927">
            <w:pPr>
              <w:widowControl/>
              <w:rPr>
                <w:rFonts w:ascii="宋体" w:hAnsi="宋体" w:cs="宋体"/>
                <w:kern w:val="0"/>
                <w:sz w:val="24"/>
              </w:rPr>
            </w:pPr>
            <w:r>
              <w:rPr>
                <w:rFonts w:hint="eastAsia" w:ascii="宋体" w:hAnsi="宋体" w:cs="宋体"/>
                <w:kern w:val="0"/>
                <w:sz w:val="24"/>
              </w:rPr>
              <w:t xml:space="preserve">日期：            </w:t>
            </w:r>
          </w:p>
        </w:tc>
      </w:tr>
      <w:tr w14:paraId="52DEF911">
        <w:tblPrEx>
          <w:tblCellMar>
            <w:top w:w="0" w:type="dxa"/>
            <w:left w:w="108" w:type="dxa"/>
            <w:bottom w:w="0" w:type="dxa"/>
            <w:right w:w="108" w:type="dxa"/>
          </w:tblCellMar>
        </w:tblPrEx>
        <w:trPr>
          <w:trHeight w:val="634" w:hRule="atLeast"/>
          <w:jc w:val="center"/>
        </w:trPr>
        <w:tc>
          <w:tcPr>
            <w:tcW w:w="4395" w:type="dxa"/>
            <w:gridSpan w:val="4"/>
            <w:tcBorders>
              <w:top w:val="single" w:color="auto" w:sz="4" w:space="0"/>
              <w:left w:val="single" w:color="auto" w:sz="4" w:space="0"/>
              <w:bottom w:val="single" w:color="auto" w:sz="4" w:space="0"/>
              <w:right w:val="single" w:color="auto" w:sz="4" w:space="0"/>
            </w:tcBorders>
            <w:vAlign w:val="center"/>
          </w:tcPr>
          <w:p w14:paraId="66170566">
            <w:pPr>
              <w:widowControl/>
              <w:jc w:val="left"/>
              <w:rPr>
                <w:rFonts w:ascii="宋体" w:hAnsi="宋体" w:cs="宋体"/>
                <w:kern w:val="0"/>
                <w:sz w:val="24"/>
              </w:rPr>
            </w:pPr>
            <w:r>
              <w:rPr>
                <w:rFonts w:hint="eastAsia" w:ascii="宋体" w:hAnsi="宋体" w:cs="宋体"/>
                <w:kern w:val="0"/>
                <w:sz w:val="24"/>
              </w:rPr>
              <w:t>施工单位：</w:t>
            </w:r>
          </w:p>
        </w:tc>
        <w:tc>
          <w:tcPr>
            <w:tcW w:w="2268" w:type="dxa"/>
            <w:gridSpan w:val="3"/>
            <w:tcBorders>
              <w:top w:val="single" w:color="auto" w:sz="4" w:space="0"/>
              <w:left w:val="nil"/>
              <w:bottom w:val="single" w:color="auto" w:sz="4" w:space="0"/>
              <w:right w:val="single" w:color="auto" w:sz="4" w:space="0"/>
            </w:tcBorders>
            <w:vAlign w:val="center"/>
          </w:tcPr>
          <w:p w14:paraId="6403737A">
            <w:pPr>
              <w:widowControl/>
              <w:jc w:val="left"/>
              <w:rPr>
                <w:rFonts w:ascii="宋体" w:hAnsi="宋体" w:cs="宋体"/>
                <w:kern w:val="0"/>
                <w:sz w:val="24"/>
              </w:rPr>
            </w:pPr>
            <w:r>
              <w:rPr>
                <w:rFonts w:hint="eastAsia" w:ascii="宋体" w:hAnsi="宋体" w:cs="宋体"/>
                <w:kern w:val="0"/>
                <w:sz w:val="24"/>
              </w:rPr>
              <w:t>专业：</w:t>
            </w:r>
          </w:p>
        </w:tc>
        <w:tc>
          <w:tcPr>
            <w:tcW w:w="2393" w:type="dxa"/>
            <w:gridSpan w:val="2"/>
            <w:tcBorders>
              <w:top w:val="single" w:color="auto" w:sz="4" w:space="0"/>
              <w:left w:val="nil"/>
              <w:bottom w:val="single" w:color="auto" w:sz="4" w:space="0"/>
              <w:right w:val="single" w:color="auto" w:sz="4" w:space="0"/>
            </w:tcBorders>
            <w:vAlign w:val="center"/>
          </w:tcPr>
          <w:p w14:paraId="04329996">
            <w:pPr>
              <w:widowControl/>
              <w:jc w:val="left"/>
              <w:rPr>
                <w:rFonts w:ascii="宋体" w:hAnsi="宋体" w:cs="宋体"/>
                <w:kern w:val="0"/>
                <w:sz w:val="24"/>
              </w:rPr>
            </w:pPr>
            <w:r>
              <w:rPr>
                <w:rFonts w:hint="eastAsia" w:ascii="宋体" w:hAnsi="宋体" w:cs="宋体"/>
                <w:kern w:val="0"/>
                <w:sz w:val="24"/>
              </w:rPr>
              <w:t>编号：</w:t>
            </w:r>
          </w:p>
        </w:tc>
      </w:tr>
      <w:tr w14:paraId="5797FB54">
        <w:tblPrEx>
          <w:tblCellMar>
            <w:top w:w="0" w:type="dxa"/>
            <w:left w:w="108" w:type="dxa"/>
            <w:bottom w:w="0" w:type="dxa"/>
            <w:right w:w="108" w:type="dxa"/>
          </w:tblCellMar>
        </w:tblPrEx>
        <w:trPr>
          <w:trHeight w:val="1883" w:hRule="atLeast"/>
          <w:jc w:val="center"/>
        </w:trPr>
        <w:tc>
          <w:tcPr>
            <w:tcW w:w="9056" w:type="dxa"/>
            <w:gridSpan w:val="9"/>
            <w:tcBorders>
              <w:top w:val="single" w:color="auto" w:sz="4" w:space="0"/>
              <w:left w:val="single" w:color="auto" w:sz="4" w:space="0"/>
              <w:bottom w:val="single" w:color="auto" w:sz="4" w:space="0"/>
              <w:right w:val="single" w:color="auto" w:sz="4" w:space="0"/>
            </w:tcBorders>
            <w:vAlign w:val="center"/>
          </w:tcPr>
          <w:p w14:paraId="2FECC4A7">
            <w:pPr>
              <w:widowControl/>
              <w:jc w:val="left"/>
              <w:rPr>
                <w:rFonts w:ascii="宋体" w:hAnsi="宋体" w:cs="宋体"/>
                <w:kern w:val="0"/>
                <w:sz w:val="22"/>
              </w:rPr>
            </w:pPr>
            <w:r>
              <w:rPr>
                <w:rFonts w:hint="eastAsia" w:ascii="宋体" w:hAnsi="宋体" w:cs="宋体"/>
                <w:kern w:val="0"/>
                <w:sz w:val="22"/>
              </w:rPr>
              <w:t>签证事由：</w:t>
            </w:r>
          </w:p>
          <w:p w14:paraId="1AC9C1E2">
            <w:pPr>
              <w:widowControl/>
              <w:jc w:val="left"/>
              <w:rPr>
                <w:rFonts w:ascii="宋体" w:hAnsi="宋体" w:cs="宋体"/>
                <w:kern w:val="0"/>
                <w:sz w:val="22"/>
              </w:rPr>
            </w:pPr>
          </w:p>
          <w:p w14:paraId="391420CB">
            <w:pPr>
              <w:widowControl/>
              <w:jc w:val="left"/>
              <w:rPr>
                <w:rFonts w:ascii="宋体" w:hAnsi="宋体" w:cs="宋体"/>
                <w:kern w:val="0"/>
                <w:sz w:val="22"/>
              </w:rPr>
            </w:pPr>
          </w:p>
          <w:p w14:paraId="35B090FB">
            <w:pPr>
              <w:widowControl/>
              <w:jc w:val="left"/>
              <w:rPr>
                <w:rFonts w:ascii="宋体" w:hAnsi="宋体" w:cs="宋体"/>
                <w:kern w:val="0"/>
                <w:sz w:val="22"/>
              </w:rPr>
            </w:pPr>
          </w:p>
          <w:p w14:paraId="2A550502">
            <w:pPr>
              <w:widowControl/>
              <w:jc w:val="left"/>
              <w:rPr>
                <w:rFonts w:ascii="宋体" w:hAnsi="宋体" w:cs="宋体"/>
                <w:kern w:val="0"/>
                <w:sz w:val="22"/>
              </w:rPr>
            </w:pPr>
          </w:p>
          <w:p w14:paraId="54401CE7">
            <w:pPr>
              <w:widowControl/>
              <w:jc w:val="left"/>
              <w:rPr>
                <w:rFonts w:ascii="宋体" w:hAnsi="宋体" w:cs="宋体"/>
                <w:kern w:val="0"/>
                <w:sz w:val="24"/>
              </w:rPr>
            </w:pPr>
          </w:p>
        </w:tc>
      </w:tr>
      <w:tr w14:paraId="7D414F86">
        <w:tblPrEx>
          <w:tblCellMar>
            <w:top w:w="0" w:type="dxa"/>
            <w:left w:w="108" w:type="dxa"/>
            <w:bottom w:w="0" w:type="dxa"/>
            <w:right w:w="108" w:type="dxa"/>
          </w:tblCellMar>
        </w:tblPrEx>
        <w:trPr>
          <w:trHeight w:val="1656" w:hRule="atLeast"/>
          <w:jc w:val="center"/>
        </w:trPr>
        <w:tc>
          <w:tcPr>
            <w:tcW w:w="9056" w:type="dxa"/>
            <w:gridSpan w:val="9"/>
            <w:vMerge w:val="restart"/>
            <w:tcBorders>
              <w:top w:val="single" w:color="auto" w:sz="4" w:space="0"/>
              <w:left w:val="single" w:color="auto" w:sz="4" w:space="0"/>
              <w:bottom w:val="nil"/>
              <w:right w:val="single" w:color="000000" w:sz="4" w:space="0"/>
            </w:tcBorders>
          </w:tcPr>
          <w:p w14:paraId="3AA1706F">
            <w:pPr>
              <w:widowControl/>
              <w:jc w:val="left"/>
              <w:rPr>
                <w:rFonts w:ascii="宋体" w:hAnsi="宋体" w:cs="宋体"/>
                <w:kern w:val="0"/>
                <w:sz w:val="22"/>
              </w:rPr>
            </w:pPr>
            <w:r>
              <w:rPr>
                <w:rFonts w:hint="eastAsia" w:ascii="宋体" w:hAnsi="宋体" w:cs="宋体"/>
                <w:kern w:val="0"/>
                <w:sz w:val="22"/>
              </w:rPr>
              <w:t>内容（部位、数量、草图、说明、相片）：</w:t>
            </w:r>
          </w:p>
        </w:tc>
      </w:tr>
      <w:tr w14:paraId="1A753D5F">
        <w:tblPrEx>
          <w:tblCellMar>
            <w:top w:w="0" w:type="dxa"/>
            <w:left w:w="108" w:type="dxa"/>
            <w:bottom w:w="0" w:type="dxa"/>
            <w:right w:w="108" w:type="dxa"/>
          </w:tblCellMar>
        </w:tblPrEx>
        <w:trPr>
          <w:trHeight w:val="1753" w:hRule="atLeast"/>
          <w:jc w:val="center"/>
        </w:trPr>
        <w:tc>
          <w:tcPr>
            <w:tcW w:w="9056" w:type="dxa"/>
            <w:gridSpan w:val="9"/>
            <w:vMerge w:val="continue"/>
            <w:tcBorders>
              <w:top w:val="single" w:color="auto" w:sz="4" w:space="0"/>
              <w:left w:val="single" w:color="auto" w:sz="4" w:space="0"/>
              <w:bottom w:val="nil"/>
              <w:right w:val="single" w:color="000000" w:sz="4" w:space="0"/>
            </w:tcBorders>
            <w:vAlign w:val="center"/>
          </w:tcPr>
          <w:p w14:paraId="33C88499">
            <w:pPr>
              <w:widowControl/>
              <w:jc w:val="left"/>
              <w:rPr>
                <w:rFonts w:ascii="宋体" w:hAnsi="宋体" w:cs="宋体"/>
                <w:kern w:val="0"/>
                <w:sz w:val="22"/>
              </w:rPr>
            </w:pPr>
          </w:p>
        </w:tc>
      </w:tr>
      <w:tr w14:paraId="5EB39005">
        <w:tblPrEx>
          <w:tblCellMar>
            <w:top w:w="0" w:type="dxa"/>
            <w:left w:w="108" w:type="dxa"/>
            <w:bottom w:w="0" w:type="dxa"/>
            <w:right w:w="108" w:type="dxa"/>
          </w:tblCellMar>
        </w:tblPrEx>
        <w:trPr>
          <w:trHeight w:val="433" w:hRule="atLeast"/>
          <w:jc w:val="center"/>
        </w:trPr>
        <w:tc>
          <w:tcPr>
            <w:tcW w:w="9056" w:type="dxa"/>
            <w:gridSpan w:val="9"/>
            <w:vMerge w:val="continue"/>
            <w:tcBorders>
              <w:top w:val="single" w:color="auto" w:sz="4" w:space="0"/>
              <w:left w:val="single" w:color="auto" w:sz="4" w:space="0"/>
              <w:bottom w:val="nil"/>
              <w:right w:val="single" w:color="000000" w:sz="4" w:space="0"/>
            </w:tcBorders>
            <w:vAlign w:val="center"/>
          </w:tcPr>
          <w:p w14:paraId="112CF572">
            <w:pPr>
              <w:widowControl/>
              <w:jc w:val="left"/>
              <w:rPr>
                <w:rFonts w:ascii="宋体" w:hAnsi="宋体" w:cs="宋体"/>
                <w:kern w:val="0"/>
                <w:sz w:val="22"/>
              </w:rPr>
            </w:pPr>
          </w:p>
        </w:tc>
      </w:tr>
      <w:tr w14:paraId="4BEEC58A">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single" w:color="auto" w:sz="4" w:space="0"/>
              <w:right w:val="single" w:color="000000" w:sz="4" w:space="0"/>
            </w:tcBorders>
            <w:vAlign w:val="center"/>
          </w:tcPr>
          <w:p w14:paraId="0BF4A6E0">
            <w:pPr>
              <w:widowControl/>
              <w:jc w:val="left"/>
              <w:rPr>
                <w:rFonts w:ascii="宋体" w:hAnsi="宋体" w:cs="宋体"/>
                <w:kern w:val="0"/>
                <w:sz w:val="22"/>
              </w:rPr>
            </w:pPr>
          </w:p>
        </w:tc>
      </w:tr>
      <w:tr w14:paraId="3747A6D8">
        <w:tblPrEx>
          <w:tblCellMar>
            <w:top w:w="0" w:type="dxa"/>
            <w:left w:w="108" w:type="dxa"/>
            <w:bottom w:w="0" w:type="dxa"/>
            <w:right w:w="108" w:type="dxa"/>
          </w:tblCellMar>
        </w:tblPrEx>
        <w:trPr>
          <w:trHeight w:val="906" w:hRule="atLeast"/>
          <w:jc w:val="center"/>
        </w:trPr>
        <w:tc>
          <w:tcPr>
            <w:tcW w:w="9056" w:type="dxa"/>
            <w:gridSpan w:val="9"/>
            <w:vMerge w:val="restart"/>
            <w:tcBorders>
              <w:top w:val="single" w:color="auto" w:sz="4" w:space="0"/>
              <w:left w:val="single" w:color="auto" w:sz="4" w:space="0"/>
              <w:bottom w:val="nil"/>
              <w:right w:val="single" w:color="000000" w:sz="4" w:space="0"/>
            </w:tcBorders>
          </w:tcPr>
          <w:p w14:paraId="1D3E902D">
            <w:pPr>
              <w:rPr>
                <w:rFonts w:ascii="宋体" w:hAnsi="宋体" w:cs="宋体"/>
                <w:kern w:val="0"/>
                <w:sz w:val="22"/>
              </w:rPr>
            </w:pPr>
            <w:r>
              <w:rPr>
                <w:rFonts w:hint="eastAsia" w:ascii="宋体" w:hAnsi="宋体" w:cs="宋体"/>
                <w:kern w:val="0"/>
                <w:sz w:val="22"/>
              </w:rPr>
              <w:t>审核人员意见：</w:t>
            </w:r>
          </w:p>
        </w:tc>
      </w:tr>
      <w:tr w14:paraId="0C0E8F05">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nil"/>
              <w:right w:val="single" w:color="000000" w:sz="4" w:space="0"/>
            </w:tcBorders>
            <w:vAlign w:val="center"/>
          </w:tcPr>
          <w:p w14:paraId="08BA0AA0">
            <w:pPr>
              <w:widowControl/>
              <w:jc w:val="left"/>
              <w:rPr>
                <w:rFonts w:ascii="宋体" w:hAnsi="宋体" w:cs="宋体"/>
                <w:kern w:val="0"/>
                <w:sz w:val="22"/>
              </w:rPr>
            </w:pPr>
          </w:p>
        </w:tc>
      </w:tr>
      <w:tr w14:paraId="43C21662">
        <w:tblPrEx>
          <w:tblCellMar>
            <w:top w:w="0" w:type="dxa"/>
            <w:left w:w="108" w:type="dxa"/>
            <w:bottom w:w="0" w:type="dxa"/>
            <w:right w:w="108" w:type="dxa"/>
          </w:tblCellMar>
        </w:tblPrEx>
        <w:trPr>
          <w:trHeight w:val="415" w:hRule="atLeast"/>
          <w:jc w:val="center"/>
        </w:trPr>
        <w:tc>
          <w:tcPr>
            <w:tcW w:w="1411" w:type="dxa"/>
            <w:vMerge w:val="restart"/>
            <w:tcBorders>
              <w:top w:val="single" w:color="auto" w:sz="4" w:space="0"/>
              <w:left w:val="single" w:color="auto" w:sz="4" w:space="0"/>
              <w:bottom w:val="single" w:color="auto" w:sz="4" w:space="0"/>
              <w:right w:val="single" w:color="auto" w:sz="4" w:space="0"/>
            </w:tcBorders>
          </w:tcPr>
          <w:p w14:paraId="6B6473A9">
            <w:pPr>
              <w:widowControl/>
              <w:jc w:val="left"/>
              <w:rPr>
                <w:rFonts w:ascii="宋体" w:hAnsi="宋体" w:cs="宋体"/>
                <w:kern w:val="0"/>
                <w:sz w:val="22"/>
              </w:rPr>
            </w:pPr>
            <w:r>
              <w:rPr>
                <w:rFonts w:hint="eastAsia" w:ascii="宋体" w:hAnsi="宋体" w:cs="宋体"/>
                <w:kern w:val="0"/>
                <w:sz w:val="22"/>
              </w:rPr>
              <w:t xml:space="preserve">施工单位签章                           </w:t>
            </w:r>
          </w:p>
        </w:tc>
        <w:tc>
          <w:tcPr>
            <w:tcW w:w="1417" w:type="dxa"/>
            <w:vMerge w:val="restart"/>
            <w:tcBorders>
              <w:top w:val="single" w:color="auto" w:sz="4" w:space="0"/>
              <w:left w:val="single" w:color="auto" w:sz="4" w:space="0"/>
              <w:bottom w:val="single" w:color="auto" w:sz="4" w:space="0"/>
              <w:right w:val="single" w:color="auto" w:sz="4" w:space="0"/>
            </w:tcBorders>
          </w:tcPr>
          <w:p w14:paraId="77B8E78C">
            <w:pPr>
              <w:widowControl/>
              <w:jc w:val="left"/>
              <w:rPr>
                <w:rFonts w:ascii="宋体" w:hAnsi="宋体" w:cs="宋体"/>
                <w:kern w:val="0"/>
                <w:sz w:val="22"/>
              </w:rPr>
            </w:pPr>
            <w:r>
              <w:rPr>
                <w:rFonts w:hint="eastAsia" w:ascii="宋体" w:hAnsi="宋体" w:cs="宋体"/>
                <w:kern w:val="0"/>
                <w:sz w:val="22"/>
              </w:rPr>
              <w:t>监理公司签章</w:t>
            </w:r>
          </w:p>
        </w:tc>
        <w:tc>
          <w:tcPr>
            <w:tcW w:w="1559" w:type="dxa"/>
            <w:vMerge w:val="restart"/>
            <w:tcBorders>
              <w:top w:val="single" w:color="auto" w:sz="4" w:space="0"/>
              <w:left w:val="single" w:color="auto" w:sz="4" w:space="0"/>
              <w:bottom w:val="single" w:color="auto" w:sz="4" w:space="0"/>
              <w:right w:val="single" w:color="auto" w:sz="4" w:space="0"/>
            </w:tcBorders>
          </w:tcPr>
          <w:p w14:paraId="467C55B4">
            <w:pPr>
              <w:widowControl/>
              <w:jc w:val="left"/>
              <w:rPr>
                <w:rFonts w:ascii="宋体" w:hAnsi="宋体" w:cs="宋体"/>
                <w:kern w:val="0"/>
                <w:sz w:val="22"/>
              </w:rPr>
            </w:pPr>
            <w:r>
              <w:rPr>
                <w:rFonts w:hint="eastAsia" w:ascii="宋体" w:hAnsi="宋体" w:cs="宋体"/>
                <w:kern w:val="0"/>
                <w:sz w:val="22"/>
              </w:rPr>
              <w:t>现场专业负责人（项目负责人）</w:t>
            </w:r>
          </w:p>
          <w:p w14:paraId="2F9033E6">
            <w:pPr>
              <w:widowControl/>
              <w:jc w:val="left"/>
              <w:rPr>
                <w:rFonts w:ascii="宋体" w:hAnsi="宋体" w:cs="宋体"/>
                <w:kern w:val="0"/>
                <w:sz w:val="22"/>
              </w:rPr>
            </w:pPr>
            <w:r>
              <w:rPr>
                <w:rFonts w:hint="eastAsia" w:ascii="宋体" w:hAnsi="宋体" w:cs="宋体"/>
                <w:kern w:val="0"/>
                <w:sz w:val="22"/>
              </w:rPr>
              <w:t>部门签章</w:t>
            </w:r>
          </w:p>
        </w:tc>
        <w:tc>
          <w:tcPr>
            <w:tcW w:w="1560" w:type="dxa"/>
            <w:gridSpan w:val="3"/>
            <w:vMerge w:val="restart"/>
            <w:tcBorders>
              <w:top w:val="single" w:color="auto" w:sz="4" w:space="0"/>
              <w:left w:val="single" w:color="auto" w:sz="4" w:space="0"/>
              <w:bottom w:val="single" w:color="auto" w:sz="4" w:space="0"/>
              <w:right w:val="single" w:color="auto" w:sz="4" w:space="0"/>
            </w:tcBorders>
          </w:tcPr>
          <w:p w14:paraId="21DE4252">
            <w:pPr>
              <w:widowControl/>
              <w:jc w:val="left"/>
              <w:rPr>
                <w:rFonts w:ascii="宋体" w:hAnsi="宋体" w:cs="宋体"/>
                <w:kern w:val="0"/>
                <w:sz w:val="22"/>
              </w:rPr>
            </w:pPr>
            <w:r>
              <w:rPr>
                <w:rFonts w:hint="eastAsia" w:ascii="宋体" w:hAnsi="宋体" w:cs="宋体"/>
                <w:kern w:val="0"/>
                <w:sz w:val="22"/>
              </w:rPr>
              <w:t>造价管理人员</w:t>
            </w:r>
          </w:p>
        </w:tc>
        <w:tc>
          <w:tcPr>
            <w:tcW w:w="1559" w:type="dxa"/>
            <w:gridSpan w:val="2"/>
            <w:vMerge w:val="restart"/>
            <w:tcBorders>
              <w:top w:val="single" w:color="auto" w:sz="4" w:space="0"/>
              <w:left w:val="single" w:color="auto" w:sz="4" w:space="0"/>
              <w:bottom w:val="single" w:color="auto" w:sz="4" w:space="0"/>
              <w:right w:val="single" w:color="auto" w:sz="4" w:space="0"/>
            </w:tcBorders>
          </w:tcPr>
          <w:p w14:paraId="7445CAE6">
            <w:pPr>
              <w:widowControl/>
              <w:jc w:val="left"/>
              <w:rPr>
                <w:rFonts w:ascii="宋体" w:hAnsi="宋体" w:cs="宋体"/>
                <w:kern w:val="0"/>
                <w:sz w:val="22"/>
              </w:rPr>
            </w:pPr>
            <w:r>
              <w:rPr>
                <w:rFonts w:hint="eastAsia" w:ascii="宋体" w:hAnsi="宋体" w:cs="宋体"/>
                <w:kern w:val="0"/>
                <w:sz w:val="22"/>
              </w:rPr>
              <w:t>部门领导</w:t>
            </w:r>
          </w:p>
        </w:tc>
        <w:tc>
          <w:tcPr>
            <w:tcW w:w="1550" w:type="dxa"/>
            <w:vMerge w:val="restart"/>
            <w:tcBorders>
              <w:top w:val="single" w:color="auto" w:sz="4" w:space="0"/>
              <w:left w:val="single" w:color="auto" w:sz="4" w:space="0"/>
              <w:bottom w:val="single" w:color="auto" w:sz="4" w:space="0"/>
              <w:right w:val="single" w:color="auto" w:sz="4" w:space="0"/>
            </w:tcBorders>
          </w:tcPr>
          <w:p w14:paraId="4AEEC5F1">
            <w:pPr>
              <w:widowControl/>
              <w:jc w:val="center"/>
              <w:rPr>
                <w:rFonts w:ascii="宋体" w:hAnsi="宋体" w:cs="宋体"/>
                <w:kern w:val="0"/>
                <w:sz w:val="22"/>
              </w:rPr>
            </w:pPr>
            <w:r>
              <w:rPr>
                <w:rFonts w:hint="eastAsia" w:ascii="宋体" w:hAnsi="宋体" w:cs="宋体"/>
                <w:kern w:val="0"/>
                <w:sz w:val="22"/>
              </w:rPr>
              <w:t>公司分管领导</w:t>
            </w:r>
          </w:p>
        </w:tc>
      </w:tr>
      <w:tr w14:paraId="130C721A">
        <w:tblPrEx>
          <w:tblCellMar>
            <w:top w:w="0" w:type="dxa"/>
            <w:left w:w="108" w:type="dxa"/>
            <w:bottom w:w="0" w:type="dxa"/>
            <w:right w:w="108" w:type="dxa"/>
          </w:tblCellMar>
        </w:tblPrEx>
        <w:trPr>
          <w:trHeight w:val="767"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14:paraId="3C4D70ED">
            <w:pPr>
              <w:widowControl/>
              <w:jc w:val="left"/>
              <w:rPr>
                <w:rFonts w:ascii="宋体" w:hAnsi="宋体" w:cs="宋体"/>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0EF5BD32">
            <w:pPr>
              <w:widowControl/>
              <w:jc w:val="left"/>
              <w:rPr>
                <w:rFonts w:ascii="宋体" w:hAnsi="宋体" w:cs="宋体"/>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CFF49C3">
            <w:pPr>
              <w:widowControl/>
              <w:jc w:val="left"/>
              <w:rPr>
                <w:rFonts w:ascii="宋体" w:hAnsi="宋体" w:cs="宋体"/>
                <w:kern w:val="0"/>
                <w:sz w:val="22"/>
              </w:rPr>
            </w:pPr>
          </w:p>
        </w:tc>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551AC953">
            <w:pPr>
              <w:widowControl/>
              <w:jc w:val="left"/>
              <w:rPr>
                <w:rFonts w:ascii="宋体" w:hAnsi="宋体" w:cs="宋体"/>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78972890">
            <w:pPr>
              <w:widowControl/>
              <w:jc w:val="left"/>
              <w:rPr>
                <w:rFonts w:ascii="宋体" w:hAnsi="宋体" w:cs="宋体"/>
                <w:kern w:val="0"/>
                <w:sz w:val="22"/>
              </w:rPr>
            </w:pPr>
          </w:p>
        </w:tc>
        <w:tc>
          <w:tcPr>
            <w:tcW w:w="1550" w:type="dxa"/>
            <w:vMerge w:val="continue"/>
            <w:tcBorders>
              <w:top w:val="single" w:color="auto" w:sz="4" w:space="0"/>
              <w:left w:val="single" w:color="auto" w:sz="4" w:space="0"/>
              <w:bottom w:val="single" w:color="auto" w:sz="4" w:space="0"/>
              <w:right w:val="single" w:color="auto" w:sz="4" w:space="0"/>
            </w:tcBorders>
            <w:vAlign w:val="center"/>
          </w:tcPr>
          <w:p w14:paraId="15B82C6C">
            <w:pPr>
              <w:widowControl/>
              <w:jc w:val="left"/>
              <w:rPr>
                <w:rFonts w:ascii="宋体" w:hAnsi="宋体" w:cs="宋体"/>
                <w:kern w:val="0"/>
                <w:sz w:val="22"/>
              </w:rPr>
            </w:pPr>
          </w:p>
        </w:tc>
      </w:tr>
      <w:tr w14:paraId="239B1778">
        <w:tblPrEx>
          <w:tblCellMar>
            <w:top w:w="0" w:type="dxa"/>
            <w:left w:w="108" w:type="dxa"/>
            <w:bottom w:w="0" w:type="dxa"/>
            <w:right w:w="108" w:type="dxa"/>
          </w:tblCellMar>
        </w:tblPrEx>
        <w:trPr>
          <w:trHeight w:val="1118" w:hRule="atLeast"/>
          <w:jc w:val="center"/>
        </w:trPr>
        <w:tc>
          <w:tcPr>
            <w:tcW w:w="1411" w:type="dxa"/>
            <w:tcBorders>
              <w:top w:val="single" w:color="auto" w:sz="4" w:space="0"/>
              <w:left w:val="single" w:color="auto" w:sz="4" w:space="0"/>
              <w:bottom w:val="single" w:color="auto" w:sz="4" w:space="0"/>
              <w:right w:val="single" w:color="auto" w:sz="4" w:space="0"/>
            </w:tcBorders>
          </w:tcPr>
          <w:p w14:paraId="3F7F8454">
            <w:pPr>
              <w:widowControl/>
              <w:jc w:val="left"/>
              <w:rPr>
                <w:rFonts w:ascii="宋体" w:hAnsi="宋体" w:cs="宋体"/>
                <w:kern w:val="0"/>
                <w:sz w:val="22"/>
              </w:rPr>
            </w:pPr>
            <w:r>
              <w:rPr>
                <w:rFonts w:hint="eastAsia" w:ascii="宋体" w:hAnsi="宋体" w:cs="宋体"/>
                <w:kern w:val="0"/>
                <w:sz w:val="22"/>
              </w:rPr>
              <w:t>经办人：</w:t>
            </w:r>
          </w:p>
        </w:tc>
        <w:tc>
          <w:tcPr>
            <w:tcW w:w="1417" w:type="dxa"/>
            <w:tcBorders>
              <w:top w:val="single" w:color="auto" w:sz="4" w:space="0"/>
              <w:left w:val="nil"/>
              <w:bottom w:val="single" w:color="auto" w:sz="4" w:space="0"/>
              <w:right w:val="single" w:color="auto" w:sz="4" w:space="0"/>
            </w:tcBorders>
          </w:tcPr>
          <w:p w14:paraId="053FCB2D">
            <w:pPr>
              <w:widowControl/>
              <w:jc w:val="left"/>
              <w:rPr>
                <w:rFonts w:ascii="宋体" w:hAnsi="宋体" w:cs="宋体"/>
                <w:kern w:val="0"/>
                <w:sz w:val="22"/>
              </w:rPr>
            </w:pPr>
            <w:r>
              <w:rPr>
                <w:rFonts w:hint="eastAsia" w:ascii="宋体" w:hAnsi="宋体" w:cs="宋体"/>
                <w:kern w:val="0"/>
                <w:sz w:val="22"/>
              </w:rPr>
              <w:t>经办人：</w:t>
            </w:r>
          </w:p>
        </w:tc>
        <w:tc>
          <w:tcPr>
            <w:tcW w:w="1559" w:type="dxa"/>
            <w:tcBorders>
              <w:top w:val="single" w:color="auto" w:sz="4" w:space="0"/>
              <w:left w:val="nil"/>
              <w:bottom w:val="single" w:color="auto" w:sz="4" w:space="0"/>
              <w:right w:val="single" w:color="auto" w:sz="4" w:space="0"/>
            </w:tcBorders>
          </w:tcPr>
          <w:p w14:paraId="29A400AD">
            <w:pPr>
              <w:widowControl/>
              <w:jc w:val="left"/>
              <w:rPr>
                <w:rFonts w:ascii="宋体" w:hAnsi="宋体" w:cs="宋体"/>
                <w:kern w:val="0"/>
                <w:sz w:val="22"/>
              </w:rPr>
            </w:pPr>
            <w:r>
              <w:rPr>
                <w:rFonts w:hint="eastAsia" w:ascii="宋体" w:hAnsi="宋体" w:cs="宋体"/>
                <w:kern w:val="0"/>
                <w:sz w:val="22"/>
              </w:rPr>
              <w:t>经办人：</w:t>
            </w:r>
          </w:p>
        </w:tc>
        <w:tc>
          <w:tcPr>
            <w:tcW w:w="1560" w:type="dxa"/>
            <w:gridSpan w:val="3"/>
            <w:tcBorders>
              <w:top w:val="single" w:color="auto" w:sz="4" w:space="0"/>
              <w:left w:val="nil"/>
              <w:bottom w:val="single" w:color="auto" w:sz="4" w:space="0"/>
              <w:right w:val="single" w:color="auto" w:sz="4" w:space="0"/>
            </w:tcBorders>
          </w:tcPr>
          <w:p w14:paraId="015CF34C">
            <w:pPr>
              <w:widowControl/>
              <w:jc w:val="left"/>
              <w:rPr>
                <w:rFonts w:ascii="宋体" w:hAnsi="宋体" w:cs="宋体"/>
                <w:kern w:val="0"/>
                <w:sz w:val="22"/>
              </w:rPr>
            </w:pPr>
            <w:r>
              <w:rPr>
                <w:rFonts w:hint="eastAsia" w:ascii="宋体" w:hAnsi="宋体" w:cs="宋体"/>
                <w:kern w:val="0"/>
                <w:sz w:val="22"/>
              </w:rPr>
              <w:t>经办人：</w:t>
            </w:r>
          </w:p>
        </w:tc>
        <w:tc>
          <w:tcPr>
            <w:tcW w:w="1559" w:type="dxa"/>
            <w:gridSpan w:val="2"/>
            <w:tcBorders>
              <w:top w:val="single" w:color="auto" w:sz="4" w:space="0"/>
              <w:left w:val="nil"/>
              <w:bottom w:val="single" w:color="auto" w:sz="4" w:space="0"/>
              <w:right w:val="single" w:color="auto" w:sz="4" w:space="0"/>
            </w:tcBorders>
          </w:tcPr>
          <w:p w14:paraId="007EB807">
            <w:pPr>
              <w:widowControl/>
              <w:jc w:val="left"/>
              <w:rPr>
                <w:rFonts w:ascii="宋体" w:hAnsi="宋体" w:cs="宋体"/>
                <w:kern w:val="0"/>
                <w:sz w:val="22"/>
              </w:rPr>
            </w:pPr>
            <w:r>
              <w:rPr>
                <w:rFonts w:hint="eastAsia" w:ascii="宋体" w:hAnsi="宋体" w:cs="宋体"/>
                <w:kern w:val="0"/>
                <w:sz w:val="22"/>
              </w:rPr>
              <w:t>审批人：</w:t>
            </w:r>
          </w:p>
        </w:tc>
        <w:tc>
          <w:tcPr>
            <w:tcW w:w="1550" w:type="dxa"/>
            <w:tcBorders>
              <w:top w:val="single" w:color="auto" w:sz="4" w:space="0"/>
              <w:left w:val="nil"/>
              <w:bottom w:val="single" w:color="auto" w:sz="4" w:space="0"/>
              <w:right w:val="single" w:color="auto" w:sz="4" w:space="0"/>
            </w:tcBorders>
          </w:tcPr>
          <w:p w14:paraId="3774920B">
            <w:pPr>
              <w:widowControl/>
              <w:jc w:val="left"/>
              <w:rPr>
                <w:rFonts w:ascii="宋体" w:hAnsi="宋体" w:cs="宋体"/>
                <w:kern w:val="0"/>
                <w:sz w:val="22"/>
              </w:rPr>
            </w:pPr>
            <w:r>
              <w:rPr>
                <w:rFonts w:hint="eastAsia" w:ascii="宋体" w:hAnsi="宋体" w:cs="宋体"/>
                <w:kern w:val="0"/>
                <w:sz w:val="22"/>
              </w:rPr>
              <w:t>审批人：</w:t>
            </w:r>
          </w:p>
        </w:tc>
      </w:tr>
    </w:tbl>
    <w:p w14:paraId="13EEB78F">
      <w:pPr>
        <w:autoSpaceDE w:val="0"/>
        <w:autoSpaceDN w:val="0"/>
        <w:adjustRightInd w:val="0"/>
        <w:spacing w:line="360" w:lineRule="auto"/>
        <w:ind w:left="201" w:leftChars="96"/>
        <w:rPr>
          <w:rFonts w:ascii="宋体" w:hAnsi="宋体"/>
          <w:szCs w:val="21"/>
        </w:rPr>
      </w:pPr>
      <w:r>
        <w:rPr>
          <w:rFonts w:hint="eastAsia" w:ascii="宋体" w:hAnsi="宋体"/>
          <w:szCs w:val="21"/>
        </w:rPr>
        <w:t>注：1、本记录表二份原件，施工单位、建设单位工程管理部各执一份原件；</w:t>
      </w:r>
    </w:p>
    <w:p w14:paraId="304534F4">
      <w:pPr>
        <w:autoSpaceDE w:val="0"/>
        <w:autoSpaceDN w:val="0"/>
        <w:adjustRightInd w:val="0"/>
        <w:spacing w:line="360" w:lineRule="auto"/>
        <w:ind w:left="201" w:leftChars="96"/>
        <w:rPr>
          <w:rFonts w:ascii="宋体" w:hAnsi="宋体"/>
          <w:szCs w:val="21"/>
        </w:rPr>
      </w:pPr>
    </w:p>
    <w:p w14:paraId="6F2209C3">
      <w:pPr>
        <w:autoSpaceDE w:val="0"/>
        <w:autoSpaceDN w:val="0"/>
        <w:adjustRightInd w:val="0"/>
        <w:spacing w:line="360" w:lineRule="auto"/>
        <w:ind w:left="201" w:leftChars="96"/>
        <w:rPr>
          <w:rFonts w:ascii="宋体" w:hAnsi="宋体"/>
          <w:szCs w:val="21"/>
        </w:rPr>
        <w:sectPr>
          <w:type w:val="continuous"/>
          <w:pgSz w:w="11906" w:h="16838"/>
          <w:pgMar w:top="720" w:right="720" w:bottom="720" w:left="720" w:header="1418" w:footer="1134" w:gutter="0"/>
          <w:cols w:space="720" w:num="1"/>
          <w:formProt w:val="0"/>
          <w:docGrid w:type="linesAndChars" w:linePitch="312" w:charSpace="0"/>
        </w:sectPr>
      </w:pPr>
    </w:p>
    <w:p w14:paraId="61F57B24">
      <w:pPr>
        <w:jc w:val="center"/>
      </w:pPr>
      <w:r>
        <w:rPr>
          <w:rFonts w:hint="eastAsia"/>
        </w:rPr>
        <w:t>附录</w:t>
      </w:r>
      <w:r>
        <w:t>C</w:t>
      </w:r>
      <w:r>
        <w:br w:type="textWrapping"/>
      </w:r>
      <w:r>
        <w:rPr>
          <w:rFonts w:hint="eastAsia"/>
        </w:rPr>
        <w:t>（规范性附录）</w:t>
      </w:r>
    </w:p>
    <w:p w14:paraId="2210B4FA">
      <w:pPr>
        <w:pStyle w:val="71"/>
        <w:spacing w:before="156" w:after="156"/>
        <w:rPr>
          <w:lang w:val="zh-CN"/>
        </w:rPr>
      </w:pPr>
      <w:r>
        <w:rPr>
          <w:rFonts w:hint="eastAsia"/>
        </w:rPr>
        <w:t>经济签证单办理程序</w:t>
      </w:r>
    </w:p>
    <w:p w14:paraId="52263BF0">
      <w:pPr>
        <w:autoSpaceDE w:val="0"/>
        <w:autoSpaceDN w:val="0"/>
        <w:adjustRightInd w:val="0"/>
        <w:spacing w:line="360" w:lineRule="auto"/>
        <w:jc w:val="center"/>
        <w:rPr>
          <w:rFonts w:ascii="宋体" w:hAnsi="宋体"/>
          <w:szCs w:val="21"/>
        </w:rPr>
      </w:pPr>
      <w:r>
        <w:drawing>
          <wp:inline distT="0" distB="0" distL="114300" distR="114300">
            <wp:extent cx="5704205" cy="4178935"/>
            <wp:effectExtent l="0" t="0" r="10795" b="12065"/>
            <wp:docPr id="6" name="图片 3" descr="F:\360MoveData\Users\shixiaoli\Documents\Tencent Files\1149962068\nt_qq\nt_data\Pic\2024-10\Ori\b411cad96a6021b6a8d88e7b3603f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F:\360MoveData\Users\shixiaoli\Documents\Tencent Files\1149962068\nt_qq\nt_data\Pic\2024-10\Ori\b411cad96a6021b6a8d88e7b3603f759.png"/>
                    <pic:cNvPicPr>
                      <a:picLocks noChangeAspect="1"/>
                    </pic:cNvPicPr>
                  </pic:nvPicPr>
                  <pic:blipFill>
                    <a:blip r:embed="rId18"/>
                    <a:stretch>
                      <a:fillRect/>
                    </a:stretch>
                  </pic:blipFill>
                  <pic:spPr>
                    <a:xfrm>
                      <a:off x="0" y="0"/>
                      <a:ext cx="5704205" cy="4178935"/>
                    </a:xfrm>
                    <a:prstGeom prst="rect">
                      <a:avLst/>
                    </a:prstGeom>
                    <a:noFill/>
                    <a:ln>
                      <a:noFill/>
                    </a:ln>
                  </pic:spPr>
                </pic:pic>
              </a:graphicData>
            </a:graphic>
          </wp:inline>
        </w:drawing>
      </w:r>
    </w:p>
    <w:p w14:paraId="4497A47F">
      <w:pPr>
        <w:pStyle w:val="8"/>
        <w:ind w:left="63" w:right="63"/>
        <w:jc w:val="left"/>
        <w:rPr>
          <w:rFonts w:ascii="宋体" w:hAnsi="宋体"/>
          <w:szCs w:val="21"/>
        </w:rPr>
      </w:pPr>
    </w:p>
    <w:p w14:paraId="6F96EE1A">
      <w:pPr>
        <w:pStyle w:val="67"/>
        <w:jc w:val="both"/>
      </w:pPr>
      <w:r>
        <w:rPr>
          <w:rFonts w:ascii="Times New Roman" w:eastAsia="仿宋_GB2312"/>
          <w:color w:val="000000"/>
          <w:sz w:val="30"/>
          <w:szCs w:val="30"/>
        </w:rPr>
        <w:t>附件5：</w:t>
      </w:r>
    </w:p>
    <w:p w14:paraId="0E062455">
      <w:pPr>
        <w:jc w:val="center"/>
        <w:rPr>
          <w:rFonts w:ascii="方正小标宋简体" w:eastAsia="方正小标宋简体"/>
          <w:b/>
          <w:bCs/>
          <w:kern w:val="44"/>
          <w:sz w:val="32"/>
          <w:szCs w:val="32"/>
        </w:rPr>
      </w:pPr>
      <w:r>
        <w:rPr>
          <w:rFonts w:hint="eastAsia" w:ascii="方正小标宋简体" w:eastAsia="方正小标宋简体"/>
          <w:b/>
          <w:bCs/>
          <w:kern w:val="44"/>
          <w:sz w:val="32"/>
          <w:szCs w:val="32"/>
        </w:rPr>
        <w:t>工程项目质量管理考核细则</w:t>
      </w:r>
    </w:p>
    <w:p w14:paraId="1FBDB8B8">
      <w:pPr>
        <w:pStyle w:val="58"/>
        <w:numPr>
          <w:ilvl w:val="0"/>
          <w:numId w:val="10"/>
        </w:numPr>
        <w:ind w:firstLineChars="0"/>
        <w:rPr>
          <w:b/>
          <w:szCs w:val="21"/>
        </w:rPr>
      </w:pPr>
      <w:r>
        <w:rPr>
          <w:rFonts w:hint="eastAsia"/>
          <w:b/>
          <w:szCs w:val="21"/>
        </w:rPr>
        <w:t>目的</w:t>
      </w:r>
    </w:p>
    <w:p w14:paraId="03C5AF10">
      <w:pPr>
        <w:ind w:firstLine="420" w:firstLineChars="200"/>
        <w:rPr>
          <w:szCs w:val="21"/>
        </w:rPr>
      </w:pPr>
      <w:r>
        <w:rPr>
          <w:rFonts w:hint="eastAsia"/>
          <w:szCs w:val="21"/>
        </w:rPr>
        <w:t>为了加强对工程质量的管理，保证工程质量，进一步明确质量责任和责任追究办法，特制定本制度。</w:t>
      </w:r>
    </w:p>
    <w:p w14:paraId="67649787">
      <w:pPr>
        <w:pStyle w:val="58"/>
        <w:numPr>
          <w:ilvl w:val="0"/>
          <w:numId w:val="10"/>
        </w:numPr>
        <w:ind w:firstLineChars="0"/>
        <w:rPr>
          <w:b/>
          <w:szCs w:val="21"/>
        </w:rPr>
      </w:pPr>
      <w:bookmarkStart w:id="529" w:name="_Toc122791548"/>
      <w:r>
        <w:rPr>
          <w:rFonts w:hint="eastAsia"/>
          <w:b/>
          <w:szCs w:val="21"/>
        </w:rPr>
        <w:t>适用范围</w:t>
      </w:r>
      <w:bookmarkEnd w:id="529"/>
    </w:p>
    <w:p w14:paraId="7C30283A">
      <w:pPr>
        <w:ind w:firstLine="420" w:firstLineChars="200"/>
        <w:rPr>
          <w:szCs w:val="21"/>
        </w:rPr>
      </w:pPr>
      <w:r>
        <w:rPr>
          <w:rFonts w:hint="eastAsia"/>
          <w:szCs w:val="21"/>
        </w:rPr>
        <w:t>本规定的适用于重庆国际复合材料股份有限公司工程项目的施工质量管理，适用对象为承担本工程的各个承包商，适用期为整个工程建设期。</w:t>
      </w:r>
    </w:p>
    <w:p w14:paraId="395868EB">
      <w:pPr>
        <w:pStyle w:val="58"/>
        <w:numPr>
          <w:ilvl w:val="0"/>
          <w:numId w:val="10"/>
        </w:numPr>
        <w:ind w:firstLineChars="0"/>
        <w:rPr>
          <w:b/>
          <w:szCs w:val="21"/>
        </w:rPr>
      </w:pPr>
      <w:bookmarkStart w:id="530" w:name="_Toc122791549"/>
      <w:r>
        <w:rPr>
          <w:rFonts w:hint="eastAsia"/>
          <w:b/>
          <w:szCs w:val="21"/>
        </w:rPr>
        <w:t>制定依据</w:t>
      </w:r>
      <w:bookmarkEnd w:id="530"/>
    </w:p>
    <w:p w14:paraId="0E3B8C3B">
      <w:pPr>
        <w:ind w:firstLine="420" w:firstLineChars="200"/>
        <w:rPr>
          <w:szCs w:val="21"/>
        </w:rPr>
      </w:pPr>
      <w:r>
        <w:rPr>
          <w:rFonts w:hint="eastAsia"/>
          <w:szCs w:val="21"/>
        </w:rPr>
        <w:t>本规定的制定依据为《中华人民共和国建筑法》、《建设工程质量管理条例》、国家标准和行业规范、施工承包商签订的《施工承包合同》。</w:t>
      </w:r>
    </w:p>
    <w:p w14:paraId="6DA50ABB">
      <w:pPr>
        <w:pStyle w:val="58"/>
        <w:numPr>
          <w:ilvl w:val="0"/>
          <w:numId w:val="10"/>
        </w:numPr>
        <w:ind w:firstLineChars="0"/>
        <w:rPr>
          <w:b/>
          <w:szCs w:val="21"/>
        </w:rPr>
      </w:pPr>
      <w:bookmarkStart w:id="531" w:name="_Toc122791550"/>
      <w:r>
        <w:rPr>
          <w:rFonts w:hint="eastAsia"/>
          <w:b/>
          <w:szCs w:val="21"/>
        </w:rPr>
        <w:t>《建设工程质量管理条例》相关条文</w:t>
      </w:r>
      <w:bookmarkEnd w:id="531"/>
    </w:p>
    <w:p w14:paraId="5CE539DD">
      <w:pPr>
        <w:ind w:firstLine="420" w:firstLineChars="200"/>
        <w:rPr>
          <w:szCs w:val="21"/>
        </w:rPr>
      </w:pPr>
      <w:r>
        <w:rPr>
          <w:rFonts w:hint="eastAsia"/>
          <w:szCs w:val="21"/>
        </w:rPr>
        <w:t>本部分引用《建设工程质量管理条例》关于施工承包商的质量责任和义务部分的原条文。</w:t>
      </w:r>
    </w:p>
    <w:p w14:paraId="07BC7CC8">
      <w:pPr>
        <w:rPr>
          <w:szCs w:val="21"/>
        </w:rPr>
      </w:pPr>
      <w:r>
        <w:rPr>
          <w:rFonts w:hint="eastAsia"/>
          <w:szCs w:val="21"/>
        </w:rPr>
        <w:t>4.1 施工单位不得转包或者违法分包工程。</w:t>
      </w:r>
    </w:p>
    <w:p w14:paraId="5FB83E73">
      <w:pPr>
        <w:rPr>
          <w:szCs w:val="21"/>
        </w:rPr>
      </w:pPr>
      <w:r>
        <w:rPr>
          <w:rFonts w:hint="eastAsia"/>
          <w:szCs w:val="21"/>
        </w:rPr>
        <w:t>4.2施工单位必须按照工程设计图纸和施工技术标准施工，不得擅自修改工程设计，不得偷工减料。</w:t>
      </w:r>
    </w:p>
    <w:p w14:paraId="0E7C72D6">
      <w:pPr>
        <w:rPr>
          <w:szCs w:val="21"/>
        </w:rPr>
      </w:pPr>
      <w:r>
        <w:rPr>
          <w:rFonts w:hint="eastAsia"/>
          <w:szCs w:val="21"/>
        </w:rPr>
        <w:t>4.3施工单位在施工过程中发现设计文件和图纸有差错的，应当及时提出意见和建议。</w:t>
      </w:r>
    </w:p>
    <w:p w14:paraId="3FC97996">
      <w:pPr>
        <w:rPr>
          <w:szCs w:val="21"/>
        </w:rPr>
      </w:pPr>
      <w:r>
        <w:rPr>
          <w:rFonts w:hint="eastAsia"/>
          <w:szCs w:val="21"/>
        </w:rPr>
        <w:t>4.4施工单位必须按照工程设计要求、施工技术标准和合同约定，对建筑材料、建筑构配件、 设备和自拌混凝土进行检验、检验应当有书面记录和专人签字；未经检验和检验不合格的，不得使用。</w:t>
      </w:r>
    </w:p>
    <w:p w14:paraId="5819E99A">
      <w:pPr>
        <w:rPr>
          <w:szCs w:val="21"/>
        </w:rPr>
      </w:pPr>
      <w:r>
        <w:rPr>
          <w:rFonts w:hint="eastAsia"/>
          <w:szCs w:val="21"/>
        </w:rPr>
        <w:t>4.5施工单位必须建立、健全施工质量检验制度，严格工序管理，作好隐蔽工程的质量检查和记录。隐蔽工程在隐蔽前，施工单位应当通知监理单位、建设单位。</w:t>
      </w:r>
    </w:p>
    <w:p w14:paraId="739443D5">
      <w:pPr>
        <w:rPr>
          <w:szCs w:val="21"/>
        </w:rPr>
      </w:pPr>
      <w:r>
        <w:rPr>
          <w:rFonts w:hint="eastAsia"/>
          <w:szCs w:val="21"/>
        </w:rPr>
        <w:t>4.6施工人员对涉及结构安全的试块、试件以及有关材料，应当在建设单位或者工程监理单位监督下现场取样，并送具有相应资质等级的质量检测单位进行检测。</w:t>
      </w:r>
    </w:p>
    <w:p w14:paraId="664491E8">
      <w:pPr>
        <w:rPr>
          <w:szCs w:val="21"/>
        </w:rPr>
      </w:pPr>
      <w:r>
        <w:rPr>
          <w:rFonts w:hint="eastAsia"/>
          <w:szCs w:val="21"/>
        </w:rPr>
        <w:t>4.7施工单位对施工中出现质量问题的建设工程或者竣工验收不合格的建设工程，应当负责返修。</w:t>
      </w:r>
    </w:p>
    <w:p w14:paraId="5578C0B8">
      <w:pPr>
        <w:rPr>
          <w:szCs w:val="21"/>
        </w:rPr>
      </w:pPr>
      <w:r>
        <w:rPr>
          <w:rFonts w:hint="eastAsia"/>
          <w:szCs w:val="21"/>
        </w:rPr>
        <w:t>4.8施工单位应当建立、健全质量教育培训制度，坚持对职工的质量教育培训；未经质量教育培训或者考核不合格的人员，不得上岗作业。</w:t>
      </w:r>
    </w:p>
    <w:p w14:paraId="708EA1C6">
      <w:pPr>
        <w:pStyle w:val="58"/>
        <w:numPr>
          <w:ilvl w:val="0"/>
          <w:numId w:val="10"/>
        </w:numPr>
        <w:ind w:firstLineChars="0"/>
        <w:rPr>
          <w:b/>
          <w:szCs w:val="21"/>
        </w:rPr>
      </w:pPr>
      <w:bookmarkStart w:id="532" w:name="_Toc122791551"/>
      <w:r>
        <w:rPr>
          <w:rFonts w:hint="eastAsia"/>
          <w:b/>
          <w:szCs w:val="21"/>
        </w:rPr>
        <w:t>对施工承包商的质量责任和义务的解释和扩充</w:t>
      </w:r>
      <w:bookmarkEnd w:id="532"/>
    </w:p>
    <w:p w14:paraId="564F8197">
      <w:pPr>
        <w:rPr>
          <w:szCs w:val="21"/>
        </w:rPr>
      </w:pPr>
      <w:r>
        <w:rPr>
          <w:rFonts w:hint="eastAsia"/>
          <w:szCs w:val="21"/>
        </w:rPr>
        <w:t>5.1  施工分包商在隐蔽工程隐蔽前应提前48小时通监理单位（或建设单位）。</w:t>
      </w:r>
    </w:p>
    <w:p w14:paraId="5E37E75B">
      <w:pPr>
        <w:rPr>
          <w:szCs w:val="21"/>
        </w:rPr>
      </w:pPr>
      <w:r>
        <w:rPr>
          <w:rFonts w:hint="eastAsia"/>
          <w:szCs w:val="21"/>
        </w:rPr>
        <w:t>5.2  施工分包商必须健全质量管理组织机构，每个专业都必须配备足够的专职质量监督人员，管理人员要持证上岗，要切实保证各专业人员到位。</w:t>
      </w:r>
    </w:p>
    <w:p w14:paraId="5C3F1C70">
      <w:pPr>
        <w:rPr>
          <w:szCs w:val="21"/>
        </w:rPr>
      </w:pPr>
      <w:r>
        <w:rPr>
          <w:rFonts w:hint="eastAsia"/>
          <w:szCs w:val="21"/>
        </w:rPr>
        <w:t>5.3  针对4.8条的扩充为，本工程现场施工人员必须经过质量培训并通过考试，才能上岗。特殊作业人员要持政府部门颁发的有效上岗证才能上岗。</w:t>
      </w:r>
    </w:p>
    <w:p w14:paraId="1DE543DB">
      <w:pPr>
        <w:rPr>
          <w:szCs w:val="21"/>
        </w:rPr>
      </w:pPr>
      <w:r>
        <w:rPr>
          <w:rFonts w:hint="eastAsia"/>
          <w:szCs w:val="21"/>
        </w:rPr>
        <w:t>5.4  在每个专业的施工准备阶段，各承包商都要将测量仪器送有校验资质的单位进行校验，保证测量仪器准确。并将校验证书报监理部备案。</w:t>
      </w:r>
    </w:p>
    <w:p w14:paraId="396AD565">
      <w:pPr>
        <w:rPr>
          <w:szCs w:val="21"/>
        </w:rPr>
      </w:pPr>
      <w:r>
        <w:rPr>
          <w:rFonts w:hint="eastAsia"/>
          <w:szCs w:val="21"/>
        </w:rPr>
        <w:t xml:space="preserve">5.5  凡由施工承包商采购的材料、设备等，在采购订货前应向建设单位、监理单位申报，在建设单位确认后方可进行采购。 </w:t>
      </w:r>
    </w:p>
    <w:p w14:paraId="72539500">
      <w:pPr>
        <w:rPr>
          <w:szCs w:val="21"/>
        </w:rPr>
      </w:pPr>
      <w:r>
        <w:rPr>
          <w:rFonts w:hint="eastAsia"/>
          <w:szCs w:val="21"/>
        </w:rPr>
        <w:t>5.6  凡运到施工现场的原材料、半成品或构配件，应有产品合格证或技术说明书、试验报告，并由施工单位按规范要求进行检验，向建设单位、监理工程师提出检验或试验报告，确认质量合格后，方可使用。</w:t>
      </w:r>
    </w:p>
    <w:p w14:paraId="40D4A2B9">
      <w:pPr>
        <w:rPr>
          <w:szCs w:val="21"/>
        </w:rPr>
      </w:pPr>
      <w:r>
        <w:rPr>
          <w:rFonts w:hint="eastAsia"/>
          <w:szCs w:val="21"/>
        </w:rPr>
        <w:t>5.7  设备、材料的存放必须进行可靠保护，要保证设备和材料不受损坏。</w:t>
      </w:r>
    </w:p>
    <w:p w14:paraId="329D8225">
      <w:pPr>
        <w:rPr>
          <w:szCs w:val="21"/>
        </w:rPr>
      </w:pPr>
      <w:r>
        <w:rPr>
          <w:rFonts w:hint="eastAsia"/>
          <w:szCs w:val="21"/>
        </w:rPr>
        <w:t>5.8  重大施工作业前，施工单位必须编制作业指导书（或施工方案），并提前7天上报建设或监理方审核，作业指导书或施工方案未经批准前不得进行该部分的施工，批准后的作业指导书在施工前要进行技术交底，并有技术交底记录。</w:t>
      </w:r>
    </w:p>
    <w:p w14:paraId="6C3BD710">
      <w:pPr>
        <w:rPr>
          <w:szCs w:val="21"/>
        </w:rPr>
      </w:pPr>
      <w:r>
        <w:rPr>
          <w:rFonts w:hint="eastAsia"/>
          <w:szCs w:val="21"/>
        </w:rPr>
        <w:t>5.9  《施工方案》经审核、审批、正式出版后，作为建设单位、监理单位监督管理的依据，现场施工必须按照施工方案中描述的措施和工艺进行施工。</w:t>
      </w:r>
    </w:p>
    <w:p w14:paraId="6217C04C">
      <w:pPr>
        <w:rPr>
          <w:szCs w:val="21"/>
        </w:rPr>
      </w:pPr>
      <w:r>
        <w:rPr>
          <w:rFonts w:hint="eastAsia"/>
          <w:szCs w:val="21"/>
        </w:rPr>
        <w:t>5.10  单位工程开工前，施工单位必须按开工报告要求完成准备工作，向建设单位或监理单位提交开工申请。单位工程完工且自检查合格达到报验条件后，施工单位必须提前24小时准备好相关材料，向建设单位提交单位工程验收申请。</w:t>
      </w:r>
    </w:p>
    <w:p w14:paraId="4BA6D246">
      <w:pPr>
        <w:rPr>
          <w:szCs w:val="21"/>
        </w:rPr>
      </w:pPr>
      <w:r>
        <w:rPr>
          <w:rFonts w:hint="eastAsia"/>
          <w:szCs w:val="21"/>
        </w:rPr>
        <w:t>5.11  对主要的工序交接作业，办理工序交接签证，不得在未办理工序交接手续前进行下道工序。施工过程的的检查验收要严格按照各专业的“验评项目划分表执行”，施工单位要严格执行质量验收制度，上一级质检员未自检，无施工记录、自检记录，不得通知下一级质检。</w:t>
      </w:r>
    </w:p>
    <w:p w14:paraId="56A9EA73">
      <w:pPr>
        <w:rPr>
          <w:szCs w:val="21"/>
        </w:rPr>
      </w:pPr>
      <w:r>
        <w:rPr>
          <w:rFonts w:hint="eastAsia"/>
          <w:szCs w:val="21"/>
        </w:rPr>
        <w:t>5.1</w:t>
      </w:r>
      <w:r>
        <w:rPr>
          <w:szCs w:val="21"/>
        </w:rPr>
        <w:t>2</w:t>
      </w:r>
      <w:r>
        <w:rPr>
          <w:rFonts w:hint="eastAsia"/>
          <w:szCs w:val="21"/>
        </w:rPr>
        <w:t>成品保护措施</w:t>
      </w:r>
    </w:p>
    <w:p w14:paraId="2F3497B0">
      <w:pPr>
        <w:pStyle w:val="58"/>
        <w:ind w:firstLine="0" w:firstLineChars="0"/>
        <w:rPr>
          <w:szCs w:val="21"/>
        </w:rPr>
      </w:pPr>
      <w:r>
        <w:rPr>
          <w:rFonts w:hint="eastAsia"/>
          <w:szCs w:val="21"/>
        </w:rPr>
        <w:t>5.12.1施工单位在成品保护管理上应实行项目经理负责制，各班组、各技术专业组、各职能人员应明确职责，分工负责，各专业队或作业班组必须配备认真负责的专职或兼职的成品保护专管员。</w:t>
      </w:r>
    </w:p>
    <w:p w14:paraId="15092494">
      <w:pPr>
        <w:pStyle w:val="58"/>
        <w:ind w:firstLine="0" w:firstLineChars="0"/>
        <w:rPr>
          <w:szCs w:val="21"/>
        </w:rPr>
      </w:pPr>
      <w:r>
        <w:rPr>
          <w:rFonts w:hint="eastAsia"/>
          <w:szCs w:val="21"/>
        </w:rPr>
        <w:t>5.12.2各施工单位应建立健全成品保护工作体系，严格执行本单位的工程施工安装产品保护程序，在安排施工生产的同时明确成品保护的基本要求和重点，对成品保护措施纳入技术交底。</w:t>
      </w:r>
    </w:p>
    <w:p w14:paraId="359554C4">
      <w:pPr>
        <w:pStyle w:val="58"/>
        <w:ind w:firstLine="0" w:firstLineChars="0"/>
        <w:rPr>
          <w:szCs w:val="21"/>
        </w:rPr>
      </w:pPr>
      <w:r>
        <w:rPr>
          <w:rFonts w:hint="eastAsia"/>
          <w:szCs w:val="21"/>
        </w:rPr>
        <w:t>5.12.3各施工单位应加强成品保护的宣传教育，使有关人员明白做好成品保护是满足施工正常进行的必要条件和维护职业道德的基本要求。</w:t>
      </w:r>
    </w:p>
    <w:p w14:paraId="0BB27ADC">
      <w:pPr>
        <w:pStyle w:val="58"/>
        <w:ind w:firstLine="0" w:firstLineChars="0"/>
        <w:rPr>
          <w:szCs w:val="21"/>
        </w:rPr>
      </w:pPr>
      <w:r>
        <w:rPr>
          <w:rFonts w:hint="eastAsia"/>
          <w:szCs w:val="21"/>
        </w:rPr>
        <w:t>5.12.4工序全部或部分完成后，本工序施工责任单位应设立醒目明确的标识，警戒、围挡等措施，涉及安全风险的还应做好安全防护。</w:t>
      </w:r>
    </w:p>
    <w:p w14:paraId="0CF382E9">
      <w:pPr>
        <w:pStyle w:val="58"/>
        <w:ind w:firstLine="0" w:firstLineChars="0"/>
        <w:rPr>
          <w:szCs w:val="21"/>
        </w:rPr>
      </w:pPr>
      <w:r>
        <w:rPr>
          <w:rFonts w:hint="eastAsia"/>
          <w:szCs w:val="21"/>
        </w:rPr>
        <w:t>5.12.5其他相邻施工单位不得随意拆除、破坏成品保护标识、警戒、围挡，应严格按照设置标识妥善保护已完工程。</w:t>
      </w:r>
    </w:p>
    <w:p w14:paraId="720639FE">
      <w:pPr>
        <w:pStyle w:val="58"/>
        <w:ind w:firstLine="0" w:firstLineChars="0"/>
        <w:rPr>
          <w:szCs w:val="21"/>
        </w:rPr>
      </w:pPr>
      <w:r>
        <w:rPr>
          <w:rFonts w:hint="eastAsia"/>
          <w:szCs w:val="21"/>
        </w:rPr>
        <w:t>5.12.6已完工程施工单位应加大成品保护工作的监督力度，落实好成品保护措施的有效性，及时发现和制止成品损坏的行为。</w:t>
      </w:r>
    </w:p>
    <w:p w14:paraId="721F10B3">
      <w:pPr>
        <w:pStyle w:val="58"/>
        <w:ind w:firstLine="0" w:firstLineChars="0"/>
        <w:rPr>
          <w:szCs w:val="21"/>
        </w:rPr>
      </w:pPr>
      <w:r>
        <w:rPr>
          <w:rFonts w:hint="eastAsia"/>
          <w:szCs w:val="21"/>
        </w:rPr>
        <w:t>5.12.7施工单位内部和各施工单位存在工序交接时，应组织办理书面的成品保护交接手续。</w:t>
      </w:r>
    </w:p>
    <w:p w14:paraId="1BF88D03">
      <w:pPr>
        <w:pStyle w:val="58"/>
        <w:numPr>
          <w:ilvl w:val="0"/>
          <w:numId w:val="10"/>
        </w:numPr>
        <w:ind w:firstLineChars="0"/>
        <w:rPr>
          <w:b/>
          <w:szCs w:val="21"/>
        </w:rPr>
      </w:pPr>
      <w:bookmarkStart w:id="533" w:name="_Toc122791553"/>
      <w:r>
        <w:rPr>
          <w:rFonts w:hint="eastAsia"/>
          <w:b/>
          <w:szCs w:val="21"/>
        </w:rPr>
        <w:t>质量问题（事故）处理程序</w:t>
      </w:r>
      <w:bookmarkEnd w:id="533"/>
    </w:p>
    <w:p w14:paraId="062611C9">
      <w:pPr>
        <w:pStyle w:val="58"/>
        <w:numPr>
          <w:ilvl w:val="1"/>
          <w:numId w:val="10"/>
        </w:numPr>
        <w:ind w:firstLineChars="0"/>
        <w:rPr>
          <w:szCs w:val="21"/>
        </w:rPr>
      </w:pPr>
      <w:r>
        <w:rPr>
          <w:rFonts w:hint="eastAsia"/>
          <w:szCs w:val="21"/>
        </w:rPr>
        <w:t>施工单位在施工过程，如模板拆除等工作中，如果发现质量缺陷（包括甲供材料、构配件、设备等等），必须立刻报建设或监理方，不许私自隐蔽。</w:t>
      </w:r>
    </w:p>
    <w:p w14:paraId="111CD995">
      <w:pPr>
        <w:pStyle w:val="58"/>
        <w:numPr>
          <w:ilvl w:val="1"/>
          <w:numId w:val="10"/>
        </w:numPr>
        <w:ind w:firstLineChars="0"/>
        <w:rPr>
          <w:szCs w:val="21"/>
        </w:rPr>
      </w:pPr>
      <w:r>
        <w:rPr>
          <w:rFonts w:hint="eastAsia"/>
          <w:szCs w:val="21"/>
        </w:rPr>
        <w:t>质量缺陷、质量问题、质量事故发生后，施工单位应停止与其有关部位的施工，并通知建设或监理单位。施工承包商立即进行质量事故的调查，写出调查分析报告并制定出处理方案。</w:t>
      </w:r>
    </w:p>
    <w:p w14:paraId="107DFF0E">
      <w:pPr>
        <w:pStyle w:val="58"/>
        <w:numPr>
          <w:ilvl w:val="1"/>
          <w:numId w:val="10"/>
        </w:numPr>
        <w:ind w:firstLineChars="0"/>
        <w:rPr>
          <w:szCs w:val="21"/>
        </w:rPr>
      </w:pPr>
      <w:r>
        <w:rPr>
          <w:rFonts w:hint="eastAsia"/>
          <w:szCs w:val="21"/>
        </w:rPr>
        <w:t>质量缺陷处理完毕后，施工单位应组织监理和建设单位人员对处理的结果进行严格的鉴定和验收，写出事故处理报告，提交建设单位。</w:t>
      </w:r>
    </w:p>
    <w:p w14:paraId="258D0781">
      <w:pPr>
        <w:pStyle w:val="58"/>
        <w:numPr>
          <w:ilvl w:val="0"/>
          <w:numId w:val="10"/>
        </w:numPr>
        <w:ind w:firstLineChars="0"/>
        <w:rPr>
          <w:b/>
          <w:szCs w:val="21"/>
        </w:rPr>
      </w:pPr>
      <w:r>
        <w:rPr>
          <w:rFonts w:hint="eastAsia"/>
          <w:b/>
          <w:szCs w:val="21"/>
        </w:rPr>
        <w:t>考核的实施</w:t>
      </w:r>
    </w:p>
    <w:p w14:paraId="06B73F58">
      <w:pPr>
        <w:ind w:firstLine="420" w:firstLineChars="200"/>
        <w:rPr>
          <w:szCs w:val="21"/>
        </w:rPr>
      </w:pPr>
      <w:r>
        <w:rPr>
          <w:rFonts w:hint="eastAsia"/>
          <w:szCs w:val="21"/>
        </w:rPr>
        <w:t>承包商违反相应的质量管理程序和规范要求，建设单位根据本规定作出考核的，由建设单位指定人员将违约通知单以书面的形式（纸质或电子邮件均可）通知到承包商，承包商在收到违约单起五个工作日内如有异议可书面回复，建设单位根据回复判定是否撤销原违约单。承包商有异议的根据合同争议条款进行处理。</w:t>
      </w:r>
    </w:p>
    <w:p w14:paraId="05E924D1">
      <w:pPr>
        <w:ind w:firstLine="420" w:firstLineChars="200"/>
        <w:rPr>
          <w:szCs w:val="21"/>
        </w:rPr>
      </w:pPr>
      <w:r>
        <w:rPr>
          <w:rFonts w:hint="eastAsia"/>
          <w:szCs w:val="21"/>
        </w:rPr>
        <w:t xml:space="preserve">生效的工程质量考核单由施工单位签字盖章后由工程造价管理人员在当期工程进度款中扣除， </w:t>
      </w:r>
    </w:p>
    <w:p w14:paraId="1DACFB1B">
      <w:pPr>
        <w:pStyle w:val="58"/>
        <w:numPr>
          <w:ilvl w:val="0"/>
          <w:numId w:val="10"/>
        </w:numPr>
        <w:ind w:firstLineChars="0"/>
        <w:rPr>
          <w:b/>
          <w:szCs w:val="21"/>
        </w:rPr>
      </w:pPr>
      <w:r>
        <w:rPr>
          <w:rFonts w:hint="eastAsia"/>
          <w:b/>
          <w:szCs w:val="21"/>
        </w:rPr>
        <w:t>工程质量考核标准见附表1</w:t>
      </w:r>
    </w:p>
    <w:tbl>
      <w:tblPr>
        <w:tblStyle w:val="20"/>
        <w:tblW w:w="8364" w:type="dxa"/>
        <w:tblInd w:w="108" w:type="dxa"/>
        <w:tblLayout w:type="fixed"/>
        <w:tblCellMar>
          <w:top w:w="0" w:type="dxa"/>
          <w:left w:w="108" w:type="dxa"/>
          <w:bottom w:w="0" w:type="dxa"/>
          <w:right w:w="108" w:type="dxa"/>
        </w:tblCellMar>
      </w:tblPr>
      <w:tblGrid>
        <w:gridCol w:w="851"/>
        <w:gridCol w:w="1069"/>
        <w:gridCol w:w="4459"/>
        <w:gridCol w:w="1985"/>
      </w:tblGrid>
      <w:tr w14:paraId="68DF4D0A">
        <w:tblPrEx>
          <w:tblCellMar>
            <w:top w:w="0" w:type="dxa"/>
            <w:left w:w="108" w:type="dxa"/>
            <w:bottom w:w="0" w:type="dxa"/>
            <w:right w:w="108" w:type="dxa"/>
          </w:tblCellMar>
        </w:tblPrEx>
        <w:trPr>
          <w:trHeight w:val="996" w:hRule="atLeast"/>
        </w:trPr>
        <w:tc>
          <w:tcPr>
            <w:tcW w:w="8364" w:type="dxa"/>
            <w:gridSpan w:val="4"/>
            <w:tcBorders>
              <w:top w:val="nil"/>
              <w:left w:val="nil"/>
              <w:bottom w:val="nil"/>
              <w:right w:val="nil"/>
            </w:tcBorders>
            <w:vAlign w:val="bottom"/>
          </w:tcPr>
          <w:p w14:paraId="77FB16E7">
            <w:pPr>
              <w:pStyle w:val="58"/>
              <w:numPr>
                <w:ilvl w:val="0"/>
                <w:numId w:val="10"/>
              </w:numPr>
              <w:ind w:firstLineChars="0"/>
              <w:rPr>
                <w:b/>
                <w:szCs w:val="21"/>
              </w:rPr>
            </w:pPr>
            <w:r>
              <w:rPr>
                <w:rFonts w:hint="eastAsia"/>
                <w:b/>
                <w:szCs w:val="21"/>
              </w:rPr>
              <w:t>违约单见附表2</w:t>
            </w:r>
          </w:p>
          <w:p w14:paraId="34A3089B">
            <w:pPr>
              <w:widowControl/>
              <w:jc w:val="left"/>
              <w:rPr>
                <w:rFonts w:ascii="等线" w:hAnsi="等线" w:eastAsia="等线" w:cs="宋体"/>
                <w:color w:val="000000"/>
                <w:kern w:val="0"/>
                <w:sz w:val="22"/>
              </w:rPr>
            </w:pPr>
          </w:p>
          <w:p w14:paraId="6DB4EDC3">
            <w:pPr>
              <w:widowControl/>
              <w:jc w:val="left"/>
              <w:rPr>
                <w:rFonts w:ascii="等线" w:hAnsi="等线" w:eastAsia="等线" w:cs="宋体"/>
                <w:color w:val="000000"/>
                <w:kern w:val="0"/>
                <w:sz w:val="22"/>
              </w:rPr>
            </w:pPr>
          </w:p>
          <w:p w14:paraId="1CC3A64C">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附表1</w:t>
            </w:r>
          </w:p>
          <w:p w14:paraId="3C2B70F4">
            <w:pPr>
              <w:widowControl/>
              <w:ind w:firstLine="560" w:firstLineChars="200"/>
              <w:jc w:val="center"/>
              <w:rPr>
                <w:rFonts w:ascii="等线" w:hAnsi="等线" w:eastAsia="等线" w:cs="宋体"/>
                <w:color w:val="000000"/>
                <w:kern w:val="0"/>
                <w:sz w:val="28"/>
                <w:szCs w:val="28"/>
              </w:rPr>
            </w:pPr>
            <w:r>
              <w:rPr>
                <w:rFonts w:hint="eastAsia"/>
                <w:sz w:val="28"/>
                <w:szCs w:val="28"/>
              </w:rPr>
              <w:t>工程质量考核标准</w:t>
            </w:r>
          </w:p>
          <w:p w14:paraId="7EED960A">
            <w:pPr>
              <w:widowControl/>
              <w:ind w:firstLine="440" w:firstLineChars="200"/>
              <w:jc w:val="left"/>
              <w:rPr>
                <w:rFonts w:ascii="等线" w:hAnsi="等线" w:eastAsia="等线" w:cs="宋体"/>
                <w:color w:val="000000"/>
                <w:kern w:val="0"/>
                <w:sz w:val="22"/>
              </w:rPr>
            </w:pPr>
            <w:r>
              <w:rPr>
                <w:rFonts w:hint="eastAsia" w:ascii="等线" w:hAnsi="等线" w:eastAsia="等线" w:cs="宋体"/>
                <w:color w:val="000000"/>
                <w:kern w:val="0"/>
                <w:sz w:val="22"/>
              </w:rPr>
              <w:t xml:space="preserve"> 说明：考核标准为每次或每项扣罚标准，单位为人民币。扣罚不能免除施工单位修复、施工至合格以及由此造成的直接损失和工期延误而带来的间接损失。</w:t>
            </w:r>
          </w:p>
        </w:tc>
      </w:tr>
      <w:tr w14:paraId="1E00F6C1">
        <w:tblPrEx>
          <w:tblCellMar>
            <w:top w:w="0" w:type="dxa"/>
            <w:left w:w="108" w:type="dxa"/>
            <w:bottom w:w="0" w:type="dxa"/>
            <w:right w:w="108" w:type="dxa"/>
          </w:tblCellMar>
        </w:tblPrEx>
        <w:trPr>
          <w:trHeight w:val="276" w:hRule="atLeast"/>
        </w:trPr>
        <w:tc>
          <w:tcPr>
            <w:tcW w:w="851" w:type="dxa"/>
            <w:tcBorders>
              <w:top w:val="single" w:color="auto" w:sz="4" w:space="0"/>
              <w:left w:val="single" w:color="auto" w:sz="4" w:space="0"/>
              <w:bottom w:val="single" w:color="auto" w:sz="4" w:space="0"/>
              <w:right w:val="single" w:color="auto" w:sz="4" w:space="0"/>
            </w:tcBorders>
            <w:vAlign w:val="center"/>
          </w:tcPr>
          <w:p w14:paraId="629389A9">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1069" w:type="dxa"/>
            <w:tcBorders>
              <w:top w:val="single" w:color="auto" w:sz="4" w:space="0"/>
              <w:left w:val="nil"/>
              <w:bottom w:val="single" w:color="auto" w:sz="4" w:space="0"/>
              <w:right w:val="single" w:color="auto" w:sz="4" w:space="0"/>
            </w:tcBorders>
            <w:vAlign w:val="center"/>
          </w:tcPr>
          <w:p w14:paraId="20D0236F">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类别</w:t>
            </w:r>
          </w:p>
        </w:tc>
        <w:tc>
          <w:tcPr>
            <w:tcW w:w="4459" w:type="dxa"/>
            <w:tcBorders>
              <w:top w:val="single" w:color="auto" w:sz="4" w:space="0"/>
              <w:left w:val="nil"/>
              <w:bottom w:val="single" w:color="auto" w:sz="4" w:space="0"/>
              <w:right w:val="single" w:color="auto" w:sz="4" w:space="0"/>
            </w:tcBorders>
            <w:vAlign w:val="center"/>
          </w:tcPr>
          <w:p w14:paraId="692DF2C9">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考核指标</w:t>
            </w:r>
          </w:p>
        </w:tc>
        <w:tc>
          <w:tcPr>
            <w:tcW w:w="1985" w:type="dxa"/>
            <w:tcBorders>
              <w:top w:val="single" w:color="auto" w:sz="4" w:space="0"/>
              <w:left w:val="nil"/>
              <w:bottom w:val="single" w:color="auto" w:sz="4" w:space="0"/>
              <w:right w:val="single" w:color="auto" w:sz="4" w:space="0"/>
            </w:tcBorders>
            <w:vAlign w:val="center"/>
          </w:tcPr>
          <w:p w14:paraId="743771DF">
            <w:pPr>
              <w:widowControl/>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违约金</w:t>
            </w:r>
          </w:p>
        </w:tc>
      </w:tr>
      <w:tr w14:paraId="0382369C">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42BD53A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069" w:type="dxa"/>
            <w:vMerge w:val="restart"/>
            <w:tcBorders>
              <w:top w:val="nil"/>
              <w:left w:val="single" w:color="auto" w:sz="4" w:space="0"/>
              <w:bottom w:val="single" w:color="auto" w:sz="4" w:space="0"/>
              <w:right w:val="single" w:color="auto" w:sz="4" w:space="0"/>
            </w:tcBorders>
            <w:vAlign w:val="center"/>
          </w:tcPr>
          <w:p w14:paraId="43386971">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质量保证措施</w:t>
            </w:r>
          </w:p>
        </w:tc>
        <w:tc>
          <w:tcPr>
            <w:tcW w:w="4459" w:type="dxa"/>
            <w:tcBorders>
              <w:top w:val="nil"/>
              <w:left w:val="nil"/>
              <w:bottom w:val="single" w:color="auto" w:sz="4" w:space="0"/>
              <w:right w:val="single" w:color="auto" w:sz="4" w:space="0"/>
            </w:tcBorders>
            <w:vAlign w:val="bottom"/>
          </w:tcPr>
          <w:p w14:paraId="04A57746">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无质量责任体系或体系不健全</w:t>
            </w:r>
          </w:p>
        </w:tc>
        <w:tc>
          <w:tcPr>
            <w:tcW w:w="1985" w:type="dxa"/>
            <w:tcBorders>
              <w:top w:val="nil"/>
              <w:left w:val="nil"/>
              <w:bottom w:val="single" w:color="auto" w:sz="4" w:space="0"/>
              <w:right w:val="single" w:color="auto" w:sz="4" w:space="0"/>
            </w:tcBorders>
            <w:noWrap/>
            <w:vAlign w:val="bottom"/>
          </w:tcPr>
          <w:p w14:paraId="036E729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21156C6">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5C19FBA">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w:t>
            </w:r>
          </w:p>
        </w:tc>
        <w:tc>
          <w:tcPr>
            <w:tcW w:w="1069" w:type="dxa"/>
            <w:vMerge w:val="continue"/>
            <w:tcBorders>
              <w:top w:val="nil"/>
              <w:left w:val="single" w:color="auto" w:sz="4" w:space="0"/>
              <w:bottom w:val="single" w:color="auto" w:sz="4" w:space="0"/>
              <w:right w:val="single" w:color="auto" w:sz="4" w:space="0"/>
            </w:tcBorders>
            <w:vAlign w:val="center"/>
          </w:tcPr>
          <w:p w14:paraId="2EDBC1A4">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03088B0E">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质量保证制度不健全</w:t>
            </w:r>
          </w:p>
        </w:tc>
        <w:tc>
          <w:tcPr>
            <w:tcW w:w="1985" w:type="dxa"/>
            <w:tcBorders>
              <w:top w:val="nil"/>
              <w:left w:val="nil"/>
              <w:bottom w:val="single" w:color="auto" w:sz="4" w:space="0"/>
              <w:right w:val="single" w:color="auto" w:sz="4" w:space="0"/>
            </w:tcBorders>
            <w:noWrap/>
            <w:vAlign w:val="bottom"/>
          </w:tcPr>
          <w:p w14:paraId="5A6C268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9A4ACD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059AE7E2">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w:t>
            </w:r>
          </w:p>
        </w:tc>
        <w:tc>
          <w:tcPr>
            <w:tcW w:w="1069" w:type="dxa"/>
            <w:vMerge w:val="continue"/>
            <w:tcBorders>
              <w:top w:val="nil"/>
              <w:left w:val="single" w:color="auto" w:sz="4" w:space="0"/>
              <w:bottom w:val="single" w:color="auto" w:sz="4" w:space="0"/>
              <w:right w:val="single" w:color="auto" w:sz="4" w:space="0"/>
            </w:tcBorders>
            <w:vAlign w:val="center"/>
          </w:tcPr>
          <w:p w14:paraId="1F72D526">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2A8B6903">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重要工序缺少作业指导书</w:t>
            </w:r>
          </w:p>
        </w:tc>
        <w:tc>
          <w:tcPr>
            <w:tcW w:w="1985" w:type="dxa"/>
            <w:tcBorders>
              <w:top w:val="nil"/>
              <w:left w:val="nil"/>
              <w:bottom w:val="single" w:color="auto" w:sz="4" w:space="0"/>
              <w:right w:val="single" w:color="auto" w:sz="4" w:space="0"/>
            </w:tcBorders>
            <w:noWrap/>
            <w:vAlign w:val="bottom"/>
          </w:tcPr>
          <w:p w14:paraId="68F031F3">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095FEF06">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D85CF41">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4</w:t>
            </w:r>
          </w:p>
        </w:tc>
        <w:tc>
          <w:tcPr>
            <w:tcW w:w="1069" w:type="dxa"/>
            <w:vMerge w:val="continue"/>
            <w:tcBorders>
              <w:top w:val="nil"/>
              <w:left w:val="single" w:color="auto" w:sz="4" w:space="0"/>
              <w:bottom w:val="single" w:color="auto" w:sz="4" w:space="0"/>
              <w:right w:val="single" w:color="auto" w:sz="4" w:space="0"/>
            </w:tcBorders>
            <w:vAlign w:val="center"/>
          </w:tcPr>
          <w:p w14:paraId="12C65EB5">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5993DAD1">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未经建设单位审查同意使用专业劳务队或分包队</w:t>
            </w:r>
          </w:p>
        </w:tc>
        <w:tc>
          <w:tcPr>
            <w:tcW w:w="1985" w:type="dxa"/>
            <w:tcBorders>
              <w:top w:val="nil"/>
              <w:left w:val="nil"/>
              <w:bottom w:val="single" w:color="auto" w:sz="4" w:space="0"/>
              <w:right w:val="single" w:color="auto" w:sz="4" w:space="0"/>
            </w:tcBorders>
            <w:noWrap/>
            <w:vAlign w:val="bottom"/>
          </w:tcPr>
          <w:p w14:paraId="6BB7CA13">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3000~5000元</w:t>
            </w:r>
          </w:p>
        </w:tc>
      </w:tr>
      <w:tr w14:paraId="01C1889C">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51741945">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5</w:t>
            </w:r>
          </w:p>
        </w:tc>
        <w:tc>
          <w:tcPr>
            <w:tcW w:w="1069" w:type="dxa"/>
            <w:vMerge w:val="continue"/>
            <w:tcBorders>
              <w:top w:val="nil"/>
              <w:left w:val="single" w:color="auto" w:sz="4" w:space="0"/>
              <w:bottom w:val="single" w:color="auto" w:sz="4" w:space="0"/>
              <w:right w:val="single" w:color="auto" w:sz="4" w:space="0"/>
            </w:tcBorders>
            <w:vAlign w:val="center"/>
          </w:tcPr>
          <w:p w14:paraId="47271751">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2F06ABB0">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检验员、质检员、特殊工种无证上岗</w:t>
            </w:r>
          </w:p>
        </w:tc>
        <w:tc>
          <w:tcPr>
            <w:tcW w:w="1985" w:type="dxa"/>
            <w:tcBorders>
              <w:top w:val="nil"/>
              <w:left w:val="nil"/>
              <w:bottom w:val="single" w:color="auto" w:sz="4" w:space="0"/>
              <w:right w:val="single" w:color="auto" w:sz="4" w:space="0"/>
            </w:tcBorders>
            <w:noWrap/>
            <w:vAlign w:val="bottom"/>
          </w:tcPr>
          <w:p w14:paraId="206203F6">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55C5C73">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54268D67">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6</w:t>
            </w:r>
          </w:p>
        </w:tc>
        <w:tc>
          <w:tcPr>
            <w:tcW w:w="1069" w:type="dxa"/>
            <w:vMerge w:val="continue"/>
            <w:tcBorders>
              <w:top w:val="nil"/>
              <w:left w:val="single" w:color="auto" w:sz="4" w:space="0"/>
              <w:bottom w:val="single" w:color="auto" w:sz="4" w:space="0"/>
              <w:right w:val="single" w:color="auto" w:sz="4" w:space="0"/>
            </w:tcBorders>
            <w:vAlign w:val="center"/>
          </w:tcPr>
          <w:p w14:paraId="50CF39A9">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4C94A03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施工作业人员未经上岗培训，考核合格的，施工作业人员水平不能满足施工需要</w:t>
            </w:r>
          </w:p>
        </w:tc>
        <w:tc>
          <w:tcPr>
            <w:tcW w:w="1985" w:type="dxa"/>
            <w:tcBorders>
              <w:top w:val="nil"/>
              <w:left w:val="nil"/>
              <w:bottom w:val="single" w:color="auto" w:sz="4" w:space="0"/>
              <w:right w:val="single" w:color="auto" w:sz="4" w:space="0"/>
            </w:tcBorders>
            <w:noWrap/>
            <w:vAlign w:val="bottom"/>
          </w:tcPr>
          <w:p w14:paraId="7FDE4E8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CCBDC30">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0B12D589">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7</w:t>
            </w:r>
          </w:p>
        </w:tc>
        <w:tc>
          <w:tcPr>
            <w:tcW w:w="1069" w:type="dxa"/>
            <w:vMerge w:val="continue"/>
            <w:tcBorders>
              <w:top w:val="nil"/>
              <w:left w:val="single" w:color="auto" w:sz="4" w:space="0"/>
              <w:bottom w:val="single" w:color="auto" w:sz="4" w:space="0"/>
              <w:right w:val="single" w:color="auto" w:sz="4" w:space="0"/>
            </w:tcBorders>
            <w:vAlign w:val="center"/>
          </w:tcPr>
          <w:p w14:paraId="1AC22ED6">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480164FE">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入场设备有缺陷，或选用不当不能保证工程质量</w:t>
            </w:r>
          </w:p>
        </w:tc>
        <w:tc>
          <w:tcPr>
            <w:tcW w:w="1985" w:type="dxa"/>
            <w:tcBorders>
              <w:top w:val="nil"/>
              <w:left w:val="nil"/>
              <w:bottom w:val="single" w:color="auto" w:sz="4" w:space="0"/>
              <w:right w:val="single" w:color="auto" w:sz="4" w:space="0"/>
            </w:tcBorders>
            <w:noWrap/>
            <w:vAlign w:val="bottom"/>
          </w:tcPr>
          <w:p w14:paraId="5C32298A">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152A4F6">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53827C92">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8</w:t>
            </w:r>
          </w:p>
        </w:tc>
        <w:tc>
          <w:tcPr>
            <w:tcW w:w="1069" w:type="dxa"/>
            <w:vMerge w:val="continue"/>
            <w:tcBorders>
              <w:top w:val="nil"/>
              <w:left w:val="single" w:color="auto" w:sz="4" w:space="0"/>
              <w:bottom w:val="single" w:color="auto" w:sz="4" w:space="0"/>
              <w:right w:val="single" w:color="auto" w:sz="4" w:space="0"/>
            </w:tcBorders>
            <w:vAlign w:val="center"/>
          </w:tcPr>
          <w:p w14:paraId="1D5A30B8">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0D7F6CFA">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乙供材料品牌、型号未报请建设单位同意就开始使用</w:t>
            </w:r>
          </w:p>
        </w:tc>
        <w:tc>
          <w:tcPr>
            <w:tcW w:w="1985" w:type="dxa"/>
            <w:tcBorders>
              <w:top w:val="nil"/>
              <w:left w:val="nil"/>
              <w:bottom w:val="single" w:color="auto" w:sz="4" w:space="0"/>
              <w:right w:val="single" w:color="auto" w:sz="4" w:space="0"/>
            </w:tcBorders>
            <w:noWrap/>
            <w:vAlign w:val="bottom"/>
          </w:tcPr>
          <w:p w14:paraId="18308CB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3000~5000元</w:t>
            </w:r>
          </w:p>
        </w:tc>
      </w:tr>
      <w:tr w14:paraId="7B7C4EDB">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2DDED6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9</w:t>
            </w:r>
          </w:p>
        </w:tc>
        <w:tc>
          <w:tcPr>
            <w:tcW w:w="1069" w:type="dxa"/>
            <w:vMerge w:val="restart"/>
            <w:tcBorders>
              <w:top w:val="nil"/>
              <w:left w:val="single" w:color="auto" w:sz="4" w:space="0"/>
              <w:bottom w:val="single" w:color="auto" w:sz="4" w:space="0"/>
              <w:right w:val="single" w:color="auto" w:sz="4" w:space="0"/>
            </w:tcBorders>
            <w:vAlign w:val="center"/>
          </w:tcPr>
          <w:p w14:paraId="4D1957D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质量控制程序</w:t>
            </w:r>
          </w:p>
        </w:tc>
        <w:tc>
          <w:tcPr>
            <w:tcW w:w="4459" w:type="dxa"/>
            <w:tcBorders>
              <w:top w:val="nil"/>
              <w:left w:val="nil"/>
              <w:bottom w:val="single" w:color="auto" w:sz="4" w:space="0"/>
              <w:right w:val="single" w:color="auto" w:sz="4" w:space="0"/>
            </w:tcBorders>
            <w:vAlign w:val="center"/>
          </w:tcPr>
          <w:p w14:paraId="051055D9">
            <w:pPr>
              <w:widowControl/>
              <w:rPr>
                <w:rFonts w:ascii="等线" w:hAnsi="等线" w:eastAsia="等线" w:cs="宋体"/>
                <w:color w:val="000000"/>
                <w:kern w:val="0"/>
                <w:szCs w:val="21"/>
              </w:rPr>
            </w:pPr>
            <w:r>
              <w:rPr>
                <w:rFonts w:hint="eastAsia" w:ascii="等线" w:hAnsi="等线" w:eastAsia="等线" w:cs="宋体"/>
                <w:color w:val="000000"/>
                <w:kern w:val="0"/>
                <w:szCs w:val="21"/>
              </w:rPr>
              <w:t>工程开工报告未经批准擅自开工</w:t>
            </w:r>
          </w:p>
        </w:tc>
        <w:tc>
          <w:tcPr>
            <w:tcW w:w="1985" w:type="dxa"/>
            <w:tcBorders>
              <w:top w:val="nil"/>
              <w:left w:val="nil"/>
              <w:bottom w:val="single" w:color="auto" w:sz="4" w:space="0"/>
              <w:right w:val="single" w:color="auto" w:sz="4" w:space="0"/>
            </w:tcBorders>
            <w:noWrap/>
            <w:vAlign w:val="bottom"/>
          </w:tcPr>
          <w:p w14:paraId="51D17B5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D756C7F">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F858CDC">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10</w:t>
            </w:r>
          </w:p>
        </w:tc>
        <w:tc>
          <w:tcPr>
            <w:tcW w:w="1069" w:type="dxa"/>
            <w:vMerge w:val="continue"/>
            <w:tcBorders>
              <w:top w:val="nil"/>
              <w:left w:val="single" w:color="auto" w:sz="4" w:space="0"/>
              <w:bottom w:val="single" w:color="auto" w:sz="4" w:space="0"/>
              <w:right w:val="single" w:color="auto" w:sz="4" w:space="0"/>
            </w:tcBorders>
            <w:vAlign w:val="center"/>
          </w:tcPr>
          <w:p w14:paraId="6C9045D8">
            <w:pPr>
              <w:widowControl/>
              <w:jc w:val="left"/>
              <w:rPr>
                <w:rFonts w:ascii="等线" w:hAnsi="等线" w:eastAsia="等线" w:cs="宋体"/>
                <w:color w:val="000000"/>
                <w:kern w:val="0"/>
                <w:szCs w:val="21"/>
              </w:rPr>
            </w:pPr>
          </w:p>
        </w:tc>
        <w:tc>
          <w:tcPr>
            <w:tcW w:w="4459" w:type="dxa"/>
            <w:tcBorders>
              <w:top w:val="nil"/>
              <w:left w:val="nil"/>
              <w:bottom w:val="nil"/>
              <w:right w:val="nil"/>
            </w:tcBorders>
            <w:vAlign w:val="bottom"/>
          </w:tcPr>
          <w:p w14:paraId="4EC56E59">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交接桩、施工复测及测量控制网资料不齐全</w:t>
            </w:r>
          </w:p>
        </w:tc>
        <w:tc>
          <w:tcPr>
            <w:tcW w:w="1985" w:type="dxa"/>
            <w:tcBorders>
              <w:top w:val="nil"/>
              <w:left w:val="single" w:color="auto" w:sz="4" w:space="0"/>
              <w:bottom w:val="single" w:color="auto" w:sz="4" w:space="0"/>
              <w:right w:val="single" w:color="auto" w:sz="4" w:space="0"/>
            </w:tcBorders>
            <w:noWrap/>
            <w:vAlign w:val="bottom"/>
          </w:tcPr>
          <w:p w14:paraId="7A63BA8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0113CF8">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2BC4EF30">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11</w:t>
            </w:r>
          </w:p>
        </w:tc>
        <w:tc>
          <w:tcPr>
            <w:tcW w:w="1069" w:type="dxa"/>
            <w:vMerge w:val="continue"/>
            <w:tcBorders>
              <w:top w:val="nil"/>
              <w:left w:val="single" w:color="auto" w:sz="4" w:space="0"/>
              <w:bottom w:val="single" w:color="auto" w:sz="4" w:space="0"/>
              <w:right w:val="single" w:color="auto" w:sz="4" w:space="0"/>
            </w:tcBorders>
            <w:vAlign w:val="center"/>
          </w:tcPr>
          <w:p w14:paraId="6C698D7D">
            <w:pPr>
              <w:widowControl/>
              <w:jc w:val="left"/>
              <w:rPr>
                <w:rFonts w:ascii="等线" w:hAnsi="等线" w:eastAsia="等线" w:cs="宋体"/>
                <w:color w:val="000000"/>
                <w:kern w:val="0"/>
                <w:szCs w:val="21"/>
              </w:rPr>
            </w:pPr>
          </w:p>
        </w:tc>
        <w:tc>
          <w:tcPr>
            <w:tcW w:w="4459" w:type="dxa"/>
            <w:tcBorders>
              <w:top w:val="single" w:color="auto" w:sz="4" w:space="0"/>
              <w:left w:val="nil"/>
              <w:bottom w:val="single" w:color="auto" w:sz="4" w:space="0"/>
              <w:right w:val="single" w:color="auto" w:sz="4" w:space="0"/>
            </w:tcBorders>
            <w:vAlign w:val="center"/>
          </w:tcPr>
          <w:p w14:paraId="25CBEFEF">
            <w:pPr>
              <w:widowControl/>
              <w:rPr>
                <w:rFonts w:ascii="等线" w:hAnsi="等线" w:eastAsia="等线" w:cs="宋体"/>
                <w:color w:val="000000"/>
                <w:kern w:val="0"/>
                <w:szCs w:val="21"/>
              </w:rPr>
            </w:pPr>
            <w:r>
              <w:rPr>
                <w:rFonts w:hint="eastAsia" w:ascii="等线" w:hAnsi="等线" w:eastAsia="等线" w:cs="宋体"/>
                <w:color w:val="000000"/>
                <w:kern w:val="0"/>
                <w:szCs w:val="21"/>
              </w:rPr>
              <w:t>图纸未经设计方或业主方认可，未经会审、会签，擅自施工</w:t>
            </w:r>
          </w:p>
        </w:tc>
        <w:tc>
          <w:tcPr>
            <w:tcW w:w="1985" w:type="dxa"/>
            <w:tcBorders>
              <w:top w:val="nil"/>
              <w:left w:val="nil"/>
              <w:bottom w:val="single" w:color="auto" w:sz="4" w:space="0"/>
              <w:right w:val="single" w:color="auto" w:sz="4" w:space="0"/>
            </w:tcBorders>
            <w:noWrap/>
            <w:vAlign w:val="bottom"/>
          </w:tcPr>
          <w:p w14:paraId="09B2381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2D9DD1A">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1B03CCA9">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12</w:t>
            </w:r>
          </w:p>
        </w:tc>
        <w:tc>
          <w:tcPr>
            <w:tcW w:w="1069" w:type="dxa"/>
            <w:vMerge w:val="continue"/>
            <w:tcBorders>
              <w:top w:val="nil"/>
              <w:left w:val="single" w:color="auto" w:sz="4" w:space="0"/>
              <w:bottom w:val="single" w:color="auto" w:sz="4" w:space="0"/>
              <w:right w:val="single" w:color="auto" w:sz="4" w:space="0"/>
            </w:tcBorders>
            <w:vAlign w:val="center"/>
          </w:tcPr>
          <w:p w14:paraId="4B0E418D">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524A6105">
            <w:pPr>
              <w:widowControl/>
              <w:rPr>
                <w:rFonts w:ascii="等线" w:hAnsi="等线" w:eastAsia="等线" w:cs="宋体"/>
                <w:color w:val="000000"/>
                <w:kern w:val="0"/>
                <w:szCs w:val="21"/>
              </w:rPr>
            </w:pPr>
            <w:r>
              <w:rPr>
                <w:rFonts w:hint="eastAsia" w:ascii="等线" w:hAnsi="等线" w:eastAsia="等线" w:cs="宋体"/>
                <w:color w:val="000000"/>
                <w:kern w:val="0"/>
                <w:szCs w:val="21"/>
              </w:rPr>
              <w:t>未按照设计图纸进行施工，擅自变更设计或图纸进行施工，设计变更（变更设计）未会签完，擅自施工</w:t>
            </w:r>
          </w:p>
        </w:tc>
        <w:tc>
          <w:tcPr>
            <w:tcW w:w="1985" w:type="dxa"/>
            <w:tcBorders>
              <w:top w:val="nil"/>
              <w:left w:val="nil"/>
              <w:bottom w:val="single" w:color="auto" w:sz="4" w:space="0"/>
              <w:right w:val="single" w:color="auto" w:sz="4" w:space="0"/>
            </w:tcBorders>
            <w:noWrap/>
            <w:vAlign w:val="bottom"/>
          </w:tcPr>
          <w:p w14:paraId="738E4629">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0576248D">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E5897BA">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13</w:t>
            </w:r>
          </w:p>
        </w:tc>
        <w:tc>
          <w:tcPr>
            <w:tcW w:w="1069" w:type="dxa"/>
            <w:vMerge w:val="continue"/>
            <w:tcBorders>
              <w:top w:val="nil"/>
              <w:left w:val="single" w:color="auto" w:sz="4" w:space="0"/>
              <w:bottom w:val="single" w:color="auto" w:sz="4" w:space="0"/>
              <w:right w:val="single" w:color="auto" w:sz="4" w:space="0"/>
            </w:tcBorders>
            <w:vAlign w:val="center"/>
          </w:tcPr>
          <w:p w14:paraId="008F33FF">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690C709D">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有设计变更而未按照变更施工的</w:t>
            </w:r>
          </w:p>
        </w:tc>
        <w:tc>
          <w:tcPr>
            <w:tcW w:w="1985" w:type="dxa"/>
            <w:tcBorders>
              <w:top w:val="nil"/>
              <w:left w:val="nil"/>
              <w:bottom w:val="single" w:color="auto" w:sz="4" w:space="0"/>
              <w:right w:val="single" w:color="auto" w:sz="4" w:space="0"/>
            </w:tcBorders>
            <w:noWrap/>
            <w:vAlign w:val="bottom"/>
          </w:tcPr>
          <w:p w14:paraId="04FAD01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718CCD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47B74ACA">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14</w:t>
            </w:r>
          </w:p>
        </w:tc>
        <w:tc>
          <w:tcPr>
            <w:tcW w:w="1069" w:type="dxa"/>
            <w:vMerge w:val="continue"/>
            <w:tcBorders>
              <w:top w:val="nil"/>
              <w:left w:val="single" w:color="auto" w:sz="4" w:space="0"/>
              <w:bottom w:val="single" w:color="auto" w:sz="4" w:space="0"/>
              <w:right w:val="single" w:color="auto" w:sz="4" w:space="0"/>
            </w:tcBorders>
            <w:vAlign w:val="center"/>
          </w:tcPr>
          <w:p w14:paraId="31209EB0">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75408A3E">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材料入场检验记录不全或记录作假</w:t>
            </w:r>
          </w:p>
        </w:tc>
        <w:tc>
          <w:tcPr>
            <w:tcW w:w="1985" w:type="dxa"/>
            <w:tcBorders>
              <w:top w:val="nil"/>
              <w:left w:val="nil"/>
              <w:bottom w:val="single" w:color="auto" w:sz="4" w:space="0"/>
              <w:right w:val="single" w:color="auto" w:sz="4" w:space="0"/>
            </w:tcBorders>
            <w:noWrap/>
            <w:vAlign w:val="bottom"/>
          </w:tcPr>
          <w:p w14:paraId="090FD769">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A86CD8F">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1986115D">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15</w:t>
            </w:r>
          </w:p>
        </w:tc>
        <w:tc>
          <w:tcPr>
            <w:tcW w:w="1069" w:type="dxa"/>
            <w:vMerge w:val="continue"/>
            <w:tcBorders>
              <w:top w:val="nil"/>
              <w:left w:val="single" w:color="auto" w:sz="4" w:space="0"/>
              <w:bottom w:val="single" w:color="auto" w:sz="4" w:space="0"/>
              <w:right w:val="single" w:color="auto" w:sz="4" w:space="0"/>
            </w:tcBorders>
            <w:vAlign w:val="center"/>
          </w:tcPr>
          <w:p w14:paraId="77EE20BC">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36DF5A9A">
            <w:pPr>
              <w:widowControl/>
              <w:rPr>
                <w:rFonts w:ascii="等线" w:hAnsi="等线" w:eastAsia="等线" w:cs="宋体"/>
                <w:color w:val="000000"/>
                <w:kern w:val="0"/>
                <w:szCs w:val="21"/>
              </w:rPr>
            </w:pPr>
            <w:r>
              <w:rPr>
                <w:rFonts w:hint="eastAsia" w:ascii="等线" w:hAnsi="等线" w:eastAsia="等线" w:cs="宋体"/>
                <w:color w:val="000000"/>
                <w:kern w:val="0"/>
                <w:szCs w:val="21"/>
              </w:rPr>
              <w:t>使用的原材料、成品、半成品、预制构件及外构件，无出厂合格证件、或按规定应复试而未复试，未经报验而擅自使用</w:t>
            </w:r>
          </w:p>
        </w:tc>
        <w:tc>
          <w:tcPr>
            <w:tcW w:w="1985" w:type="dxa"/>
            <w:tcBorders>
              <w:top w:val="nil"/>
              <w:left w:val="nil"/>
              <w:bottom w:val="single" w:color="auto" w:sz="4" w:space="0"/>
              <w:right w:val="single" w:color="auto" w:sz="4" w:space="0"/>
            </w:tcBorders>
            <w:noWrap/>
            <w:vAlign w:val="bottom"/>
          </w:tcPr>
          <w:p w14:paraId="3A75E627">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EE0CADD">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1180EE4">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16</w:t>
            </w:r>
          </w:p>
        </w:tc>
        <w:tc>
          <w:tcPr>
            <w:tcW w:w="1069" w:type="dxa"/>
            <w:vMerge w:val="continue"/>
            <w:tcBorders>
              <w:top w:val="nil"/>
              <w:left w:val="single" w:color="auto" w:sz="4" w:space="0"/>
              <w:bottom w:val="single" w:color="auto" w:sz="4" w:space="0"/>
              <w:right w:val="single" w:color="auto" w:sz="4" w:space="0"/>
            </w:tcBorders>
            <w:vAlign w:val="center"/>
          </w:tcPr>
          <w:p w14:paraId="25BB3BDD">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51E64D18">
            <w:pPr>
              <w:widowControl/>
              <w:rPr>
                <w:rFonts w:ascii="等线" w:hAnsi="等线" w:eastAsia="等线" w:cs="宋体"/>
                <w:color w:val="000000"/>
                <w:kern w:val="0"/>
                <w:szCs w:val="21"/>
              </w:rPr>
            </w:pPr>
            <w:r>
              <w:rPr>
                <w:rFonts w:hint="eastAsia" w:ascii="等线" w:hAnsi="等线" w:eastAsia="等线" w:cs="宋体"/>
                <w:color w:val="000000"/>
                <w:kern w:val="0"/>
                <w:szCs w:val="21"/>
              </w:rPr>
              <w:t>凡属监理单位规定应见证取样的项目，未通知擅自取样者</w:t>
            </w:r>
          </w:p>
        </w:tc>
        <w:tc>
          <w:tcPr>
            <w:tcW w:w="1985" w:type="dxa"/>
            <w:tcBorders>
              <w:top w:val="nil"/>
              <w:left w:val="nil"/>
              <w:bottom w:val="single" w:color="auto" w:sz="4" w:space="0"/>
              <w:right w:val="single" w:color="auto" w:sz="4" w:space="0"/>
            </w:tcBorders>
            <w:noWrap/>
            <w:vAlign w:val="bottom"/>
          </w:tcPr>
          <w:p w14:paraId="0CAD8CD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BAE23B5">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5E8C082">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17</w:t>
            </w:r>
          </w:p>
        </w:tc>
        <w:tc>
          <w:tcPr>
            <w:tcW w:w="1069" w:type="dxa"/>
            <w:vMerge w:val="continue"/>
            <w:tcBorders>
              <w:top w:val="nil"/>
              <w:left w:val="single" w:color="auto" w:sz="4" w:space="0"/>
              <w:bottom w:val="single" w:color="auto" w:sz="4" w:space="0"/>
              <w:right w:val="single" w:color="auto" w:sz="4" w:space="0"/>
            </w:tcBorders>
            <w:vAlign w:val="center"/>
          </w:tcPr>
          <w:p w14:paraId="5913AEA1">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37793F5F">
            <w:pPr>
              <w:widowControl/>
              <w:rPr>
                <w:rFonts w:ascii="等线" w:hAnsi="等线" w:eastAsia="等线" w:cs="宋体"/>
                <w:color w:val="000000"/>
                <w:kern w:val="0"/>
                <w:szCs w:val="21"/>
              </w:rPr>
            </w:pPr>
            <w:r>
              <w:rPr>
                <w:rFonts w:hint="eastAsia" w:ascii="等线" w:hAnsi="等线" w:eastAsia="等线" w:cs="宋体"/>
                <w:color w:val="000000"/>
                <w:kern w:val="0"/>
                <w:szCs w:val="21"/>
              </w:rPr>
              <w:t>工序完成后应进行检验未经检验，擅自进行下步工序施工的</w:t>
            </w:r>
          </w:p>
        </w:tc>
        <w:tc>
          <w:tcPr>
            <w:tcW w:w="1985" w:type="dxa"/>
            <w:tcBorders>
              <w:top w:val="nil"/>
              <w:left w:val="nil"/>
              <w:bottom w:val="single" w:color="auto" w:sz="4" w:space="0"/>
              <w:right w:val="single" w:color="auto" w:sz="4" w:space="0"/>
            </w:tcBorders>
            <w:noWrap/>
            <w:vAlign w:val="bottom"/>
          </w:tcPr>
          <w:p w14:paraId="47F8F5D3">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CD36F09">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0E6D5B8A">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18</w:t>
            </w:r>
          </w:p>
        </w:tc>
        <w:tc>
          <w:tcPr>
            <w:tcW w:w="1069" w:type="dxa"/>
            <w:vMerge w:val="continue"/>
            <w:tcBorders>
              <w:top w:val="nil"/>
              <w:left w:val="single" w:color="auto" w:sz="4" w:space="0"/>
              <w:bottom w:val="single" w:color="auto" w:sz="4" w:space="0"/>
              <w:right w:val="single" w:color="auto" w:sz="4" w:space="0"/>
            </w:tcBorders>
            <w:vAlign w:val="center"/>
          </w:tcPr>
          <w:p w14:paraId="40C37DC0">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72DE3BE3">
            <w:pPr>
              <w:widowControl/>
              <w:rPr>
                <w:rFonts w:ascii="等线" w:hAnsi="等线" w:eastAsia="等线" w:cs="宋体"/>
                <w:color w:val="000000"/>
                <w:kern w:val="0"/>
                <w:szCs w:val="21"/>
              </w:rPr>
            </w:pPr>
            <w:r>
              <w:rPr>
                <w:rFonts w:hint="eastAsia" w:ascii="等线" w:hAnsi="等线" w:eastAsia="等线" w:cs="宋体"/>
                <w:color w:val="000000"/>
                <w:kern w:val="0"/>
                <w:szCs w:val="21"/>
              </w:rPr>
              <w:t>施工组织设计、施工技术方案、环境保护方案及施工进程控制文件无审批</w:t>
            </w:r>
          </w:p>
        </w:tc>
        <w:tc>
          <w:tcPr>
            <w:tcW w:w="1985" w:type="dxa"/>
            <w:tcBorders>
              <w:top w:val="nil"/>
              <w:left w:val="nil"/>
              <w:bottom w:val="single" w:color="auto" w:sz="4" w:space="0"/>
              <w:right w:val="single" w:color="auto" w:sz="4" w:space="0"/>
            </w:tcBorders>
            <w:noWrap/>
            <w:vAlign w:val="bottom"/>
          </w:tcPr>
          <w:p w14:paraId="01863AC6">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0CE77FA">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68EA5BC3">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19</w:t>
            </w:r>
          </w:p>
        </w:tc>
        <w:tc>
          <w:tcPr>
            <w:tcW w:w="1069" w:type="dxa"/>
            <w:vMerge w:val="continue"/>
            <w:tcBorders>
              <w:top w:val="nil"/>
              <w:left w:val="single" w:color="auto" w:sz="4" w:space="0"/>
              <w:bottom w:val="single" w:color="auto" w:sz="4" w:space="0"/>
              <w:right w:val="single" w:color="auto" w:sz="4" w:space="0"/>
            </w:tcBorders>
            <w:vAlign w:val="center"/>
          </w:tcPr>
          <w:p w14:paraId="7BE06387">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288305EF">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各作业项目施工前未按要求编制作业指导书（包括现场质量计划措施）或没有进行技术交底的项目</w:t>
            </w:r>
          </w:p>
        </w:tc>
        <w:tc>
          <w:tcPr>
            <w:tcW w:w="1985" w:type="dxa"/>
            <w:tcBorders>
              <w:top w:val="nil"/>
              <w:left w:val="nil"/>
              <w:bottom w:val="single" w:color="auto" w:sz="4" w:space="0"/>
              <w:right w:val="single" w:color="auto" w:sz="4" w:space="0"/>
            </w:tcBorders>
            <w:noWrap/>
            <w:vAlign w:val="bottom"/>
          </w:tcPr>
          <w:p w14:paraId="4E81FD5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845F329">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0A61EEF5">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20</w:t>
            </w:r>
          </w:p>
        </w:tc>
        <w:tc>
          <w:tcPr>
            <w:tcW w:w="1069" w:type="dxa"/>
            <w:vMerge w:val="continue"/>
            <w:tcBorders>
              <w:top w:val="nil"/>
              <w:left w:val="single" w:color="auto" w:sz="4" w:space="0"/>
              <w:bottom w:val="single" w:color="auto" w:sz="4" w:space="0"/>
              <w:right w:val="single" w:color="auto" w:sz="4" w:space="0"/>
            </w:tcBorders>
            <w:vAlign w:val="center"/>
          </w:tcPr>
          <w:p w14:paraId="00758F4B">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0D1F5F92">
            <w:pPr>
              <w:widowControl/>
              <w:rPr>
                <w:rFonts w:ascii="等线" w:hAnsi="等线" w:eastAsia="等线" w:cs="宋体"/>
                <w:color w:val="000000"/>
                <w:kern w:val="0"/>
                <w:szCs w:val="21"/>
              </w:rPr>
            </w:pPr>
            <w:r>
              <w:rPr>
                <w:rFonts w:hint="eastAsia" w:ascii="等线" w:hAnsi="等线" w:eastAsia="等线" w:cs="宋体"/>
                <w:color w:val="000000"/>
                <w:kern w:val="0"/>
                <w:szCs w:val="21"/>
              </w:rPr>
              <w:t>已开工项目未经交底或无书面交底手续者</w:t>
            </w:r>
          </w:p>
        </w:tc>
        <w:tc>
          <w:tcPr>
            <w:tcW w:w="1985" w:type="dxa"/>
            <w:tcBorders>
              <w:top w:val="nil"/>
              <w:left w:val="nil"/>
              <w:bottom w:val="single" w:color="auto" w:sz="4" w:space="0"/>
              <w:right w:val="single" w:color="auto" w:sz="4" w:space="0"/>
            </w:tcBorders>
            <w:noWrap/>
            <w:vAlign w:val="bottom"/>
          </w:tcPr>
          <w:p w14:paraId="4F81CE01">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8F25A11">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2646A99B">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21</w:t>
            </w:r>
          </w:p>
        </w:tc>
        <w:tc>
          <w:tcPr>
            <w:tcW w:w="1069" w:type="dxa"/>
            <w:vMerge w:val="continue"/>
            <w:tcBorders>
              <w:top w:val="nil"/>
              <w:left w:val="single" w:color="auto" w:sz="4" w:space="0"/>
              <w:bottom w:val="single" w:color="auto" w:sz="4" w:space="0"/>
              <w:right w:val="single" w:color="auto" w:sz="4" w:space="0"/>
            </w:tcBorders>
            <w:vAlign w:val="center"/>
          </w:tcPr>
          <w:p w14:paraId="0DB93A0E">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3F12489E">
            <w:pPr>
              <w:widowControl/>
              <w:rPr>
                <w:rFonts w:ascii="等线" w:hAnsi="等线" w:eastAsia="等线" w:cs="宋体"/>
                <w:color w:val="000000"/>
                <w:kern w:val="0"/>
                <w:szCs w:val="21"/>
              </w:rPr>
            </w:pPr>
            <w:r>
              <w:rPr>
                <w:rFonts w:hint="eastAsia" w:ascii="等线" w:hAnsi="等线" w:eastAsia="等线" w:cs="宋体"/>
                <w:color w:val="000000"/>
                <w:kern w:val="0"/>
                <w:szCs w:val="21"/>
              </w:rPr>
              <w:t>未按施工技术措施（或技术交底）执行或执行不力的</w:t>
            </w:r>
          </w:p>
        </w:tc>
        <w:tc>
          <w:tcPr>
            <w:tcW w:w="1985" w:type="dxa"/>
            <w:tcBorders>
              <w:top w:val="nil"/>
              <w:left w:val="nil"/>
              <w:bottom w:val="single" w:color="auto" w:sz="4" w:space="0"/>
              <w:right w:val="single" w:color="auto" w:sz="4" w:space="0"/>
            </w:tcBorders>
            <w:noWrap/>
            <w:vAlign w:val="bottom"/>
          </w:tcPr>
          <w:p w14:paraId="7CE3A88D">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021982D">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E33CD25">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22</w:t>
            </w:r>
          </w:p>
        </w:tc>
        <w:tc>
          <w:tcPr>
            <w:tcW w:w="1069" w:type="dxa"/>
            <w:vMerge w:val="continue"/>
            <w:tcBorders>
              <w:top w:val="nil"/>
              <w:left w:val="single" w:color="auto" w:sz="4" w:space="0"/>
              <w:bottom w:val="single" w:color="auto" w:sz="4" w:space="0"/>
              <w:right w:val="single" w:color="auto" w:sz="4" w:space="0"/>
            </w:tcBorders>
            <w:vAlign w:val="center"/>
          </w:tcPr>
          <w:p w14:paraId="69D07B8C">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01CCBCA3">
            <w:pPr>
              <w:widowControl/>
              <w:rPr>
                <w:rFonts w:ascii="等线" w:hAnsi="等线" w:eastAsia="等线" w:cs="宋体"/>
                <w:color w:val="000000"/>
                <w:kern w:val="0"/>
                <w:szCs w:val="21"/>
              </w:rPr>
            </w:pPr>
            <w:r>
              <w:rPr>
                <w:rFonts w:hint="eastAsia" w:ascii="等线" w:hAnsi="等线" w:eastAsia="等线" w:cs="宋体"/>
                <w:color w:val="000000"/>
                <w:kern w:val="0"/>
                <w:szCs w:val="21"/>
              </w:rPr>
              <w:t>隐蔽工程未经验收擅自或强行隐蔽</w:t>
            </w:r>
          </w:p>
        </w:tc>
        <w:tc>
          <w:tcPr>
            <w:tcW w:w="1985" w:type="dxa"/>
            <w:tcBorders>
              <w:top w:val="nil"/>
              <w:left w:val="nil"/>
              <w:bottom w:val="single" w:color="auto" w:sz="4" w:space="0"/>
              <w:right w:val="single" w:color="auto" w:sz="4" w:space="0"/>
            </w:tcBorders>
            <w:noWrap/>
            <w:vAlign w:val="bottom"/>
          </w:tcPr>
          <w:p w14:paraId="5D6BA0D3">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3000~5000元</w:t>
            </w:r>
          </w:p>
        </w:tc>
      </w:tr>
      <w:tr w14:paraId="139A2867">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40AE35D7">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23</w:t>
            </w:r>
          </w:p>
        </w:tc>
        <w:tc>
          <w:tcPr>
            <w:tcW w:w="1069" w:type="dxa"/>
            <w:vMerge w:val="continue"/>
            <w:tcBorders>
              <w:top w:val="nil"/>
              <w:left w:val="single" w:color="auto" w:sz="4" w:space="0"/>
              <w:bottom w:val="single" w:color="auto" w:sz="4" w:space="0"/>
              <w:right w:val="single" w:color="auto" w:sz="4" w:space="0"/>
            </w:tcBorders>
            <w:vAlign w:val="center"/>
          </w:tcPr>
          <w:p w14:paraId="7CB69E0F">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center"/>
          </w:tcPr>
          <w:p w14:paraId="21F41ACC">
            <w:pPr>
              <w:widowControl/>
              <w:rPr>
                <w:rFonts w:ascii="等线" w:hAnsi="等线" w:eastAsia="等线" w:cs="宋体"/>
                <w:color w:val="000000"/>
                <w:kern w:val="0"/>
                <w:szCs w:val="21"/>
              </w:rPr>
            </w:pPr>
            <w:r>
              <w:rPr>
                <w:rFonts w:hint="eastAsia" w:ascii="等线" w:hAnsi="等线" w:eastAsia="等线" w:cs="宋体"/>
                <w:color w:val="000000"/>
                <w:kern w:val="0"/>
                <w:szCs w:val="21"/>
              </w:rPr>
              <w:t>质量过程日志、记录、签证不齐全、造假记录或靠事后补记录者</w:t>
            </w:r>
          </w:p>
        </w:tc>
        <w:tc>
          <w:tcPr>
            <w:tcW w:w="1985" w:type="dxa"/>
            <w:tcBorders>
              <w:top w:val="nil"/>
              <w:left w:val="nil"/>
              <w:bottom w:val="single" w:color="auto" w:sz="4" w:space="0"/>
              <w:right w:val="single" w:color="auto" w:sz="4" w:space="0"/>
            </w:tcBorders>
            <w:noWrap/>
            <w:vAlign w:val="bottom"/>
          </w:tcPr>
          <w:p w14:paraId="6E514AA0">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FE82434">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6E8A509C">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24</w:t>
            </w:r>
          </w:p>
        </w:tc>
        <w:tc>
          <w:tcPr>
            <w:tcW w:w="1069" w:type="dxa"/>
            <w:vMerge w:val="restart"/>
            <w:tcBorders>
              <w:top w:val="nil"/>
              <w:left w:val="single" w:color="auto" w:sz="4" w:space="0"/>
              <w:bottom w:val="single" w:color="auto" w:sz="4" w:space="0"/>
              <w:right w:val="single" w:color="auto" w:sz="4" w:space="0"/>
            </w:tcBorders>
            <w:vAlign w:val="center"/>
          </w:tcPr>
          <w:p w14:paraId="4EFF9158">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现场质量管理</w:t>
            </w:r>
          </w:p>
        </w:tc>
        <w:tc>
          <w:tcPr>
            <w:tcW w:w="4459" w:type="dxa"/>
            <w:tcBorders>
              <w:top w:val="nil"/>
              <w:left w:val="nil"/>
              <w:bottom w:val="single" w:color="auto" w:sz="4" w:space="0"/>
              <w:right w:val="single" w:color="auto" w:sz="4" w:space="0"/>
            </w:tcBorders>
            <w:vAlign w:val="bottom"/>
          </w:tcPr>
          <w:p w14:paraId="0DA19BE9">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监理单位组织的质量管理体系及现场实物质量检查提出问题，责任单位在规定期限内未完成</w:t>
            </w:r>
          </w:p>
        </w:tc>
        <w:tc>
          <w:tcPr>
            <w:tcW w:w="1985" w:type="dxa"/>
            <w:tcBorders>
              <w:top w:val="nil"/>
              <w:left w:val="nil"/>
              <w:bottom w:val="single" w:color="auto" w:sz="4" w:space="0"/>
              <w:right w:val="single" w:color="auto" w:sz="4" w:space="0"/>
            </w:tcBorders>
            <w:noWrap/>
            <w:vAlign w:val="bottom"/>
          </w:tcPr>
          <w:p w14:paraId="2C7DF4D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01979A0B">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434C5336">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25</w:t>
            </w:r>
          </w:p>
        </w:tc>
        <w:tc>
          <w:tcPr>
            <w:tcW w:w="1069" w:type="dxa"/>
            <w:vMerge w:val="continue"/>
            <w:tcBorders>
              <w:top w:val="nil"/>
              <w:left w:val="single" w:color="auto" w:sz="4" w:space="0"/>
              <w:bottom w:val="single" w:color="auto" w:sz="4" w:space="0"/>
              <w:right w:val="single" w:color="auto" w:sz="4" w:space="0"/>
            </w:tcBorders>
            <w:vAlign w:val="center"/>
          </w:tcPr>
          <w:p w14:paraId="56B19A2E">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49C62C6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不按照规程、标准及作业指导书进行施工，造成质量缺陷的</w:t>
            </w:r>
          </w:p>
        </w:tc>
        <w:tc>
          <w:tcPr>
            <w:tcW w:w="1985" w:type="dxa"/>
            <w:tcBorders>
              <w:top w:val="nil"/>
              <w:left w:val="nil"/>
              <w:bottom w:val="single" w:color="auto" w:sz="4" w:space="0"/>
              <w:right w:val="single" w:color="auto" w:sz="4" w:space="0"/>
            </w:tcBorders>
            <w:noWrap/>
            <w:vAlign w:val="bottom"/>
          </w:tcPr>
          <w:p w14:paraId="787D01EE">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D90D94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62A2813">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26</w:t>
            </w:r>
          </w:p>
        </w:tc>
        <w:tc>
          <w:tcPr>
            <w:tcW w:w="1069" w:type="dxa"/>
            <w:vMerge w:val="continue"/>
            <w:tcBorders>
              <w:top w:val="nil"/>
              <w:left w:val="single" w:color="auto" w:sz="4" w:space="0"/>
              <w:bottom w:val="single" w:color="auto" w:sz="4" w:space="0"/>
              <w:right w:val="single" w:color="auto" w:sz="4" w:space="0"/>
            </w:tcBorders>
            <w:vAlign w:val="center"/>
          </w:tcPr>
          <w:p w14:paraId="7C79E0FB">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205CBE5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野蛮施工造成后果的</w:t>
            </w:r>
          </w:p>
        </w:tc>
        <w:tc>
          <w:tcPr>
            <w:tcW w:w="1985" w:type="dxa"/>
            <w:tcBorders>
              <w:top w:val="nil"/>
              <w:left w:val="nil"/>
              <w:bottom w:val="single" w:color="auto" w:sz="4" w:space="0"/>
              <w:right w:val="single" w:color="auto" w:sz="4" w:space="0"/>
            </w:tcBorders>
            <w:noWrap/>
            <w:vAlign w:val="bottom"/>
          </w:tcPr>
          <w:p w14:paraId="71912968">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08C00993">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5C6952B">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27</w:t>
            </w:r>
          </w:p>
        </w:tc>
        <w:tc>
          <w:tcPr>
            <w:tcW w:w="1069" w:type="dxa"/>
            <w:vMerge w:val="continue"/>
            <w:tcBorders>
              <w:top w:val="nil"/>
              <w:left w:val="single" w:color="auto" w:sz="4" w:space="0"/>
              <w:bottom w:val="single" w:color="auto" w:sz="4" w:space="0"/>
              <w:right w:val="single" w:color="auto" w:sz="4" w:space="0"/>
            </w:tcBorders>
            <w:vAlign w:val="center"/>
          </w:tcPr>
          <w:p w14:paraId="735103FF">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258BBFFB">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发生质量问题，隐瞒不报或未经监理单位许可，擅自掩盖或处理</w:t>
            </w:r>
          </w:p>
        </w:tc>
        <w:tc>
          <w:tcPr>
            <w:tcW w:w="1985" w:type="dxa"/>
            <w:tcBorders>
              <w:top w:val="nil"/>
              <w:left w:val="nil"/>
              <w:bottom w:val="single" w:color="auto" w:sz="4" w:space="0"/>
              <w:right w:val="single" w:color="auto" w:sz="4" w:space="0"/>
            </w:tcBorders>
            <w:noWrap/>
            <w:vAlign w:val="bottom"/>
          </w:tcPr>
          <w:p w14:paraId="3477EE0A">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FE4F17B">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4006AD2C">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28</w:t>
            </w:r>
          </w:p>
        </w:tc>
        <w:tc>
          <w:tcPr>
            <w:tcW w:w="1069" w:type="dxa"/>
            <w:vMerge w:val="continue"/>
            <w:tcBorders>
              <w:top w:val="nil"/>
              <w:left w:val="single" w:color="auto" w:sz="4" w:space="0"/>
              <w:bottom w:val="single" w:color="auto" w:sz="4" w:space="0"/>
              <w:right w:val="single" w:color="auto" w:sz="4" w:space="0"/>
            </w:tcBorders>
            <w:vAlign w:val="center"/>
          </w:tcPr>
          <w:p w14:paraId="716D179E">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228F29E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对重复出现类似质量问题，没有得到有效改进</w:t>
            </w:r>
          </w:p>
        </w:tc>
        <w:tc>
          <w:tcPr>
            <w:tcW w:w="1985" w:type="dxa"/>
            <w:tcBorders>
              <w:top w:val="nil"/>
              <w:left w:val="nil"/>
              <w:bottom w:val="single" w:color="auto" w:sz="4" w:space="0"/>
              <w:right w:val="single" w:color="auto" w:sz="4" w:space="0"/>
            </w:tcBorders>
            <w:noWrap/>
            <w:vAlign w:val="bottom"/>
          </w:tcPr>
          <w:p w14:paraId="7528C816">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3000~5000元</w:t>
            </w:r>
          </w:p>
        </w:tc>
      </w:tr>
      <w:tr w14:paraId="04D7D83F">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67C9C00C">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29</w:t>
            </w:r>
          </w:p>
        </w:tc>
        <w:tc>
          <w:tcPr>
            <w:tcW w:w="1069" w:type="dxa"/>
            <w:vMerge w:val="continue"/>
            <w:tcBorders>
              <w:top w:val="nil"/>
              <w:left w:val="single" w:color="auto" w:sz="4" w:space="0"/>
              <w:bottom w:val="single" w:color="auto" w:sz="4" w:space="0"/>
              <w:right w:val="single" w:color="auto" w:sz="4" w:space="0"/>
            </w:tcBorders>
            <w:vAlign w:val="center"/>
          </w:tcPr>
          <w:p w14:paraId="5A34795E">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22B6FD42">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在施工过程中不服从工程部业主代表、监理工程师的正确指导，态度恶劣的</w:t>
            </w:r>
          </w:p>
        </w:tc>
        <w:tc>
          <w:tcPr>
            <w:tcW w:w="1985" w:type="dxa"/>
            <w:tcBorders>
              <w:top w:val="nil"/>
              <w:left w:val="nil"/>
              <w:bottom w:val="single" w:color="auto" w:sz="4" w:space="0"/>
              <w:right w:val="single" w:color="auto" w:sz="4" w:space="0"/>
            </w:tcBorders>
            <w:noWrap/>
            <w:vAlign w:val="bottom"/>
          </w:tcPr>
          <w:p w14:paraId="33AC9815">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E9481E0">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7A0FC583">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30</w:t>
            </w:r>
          </w:p>
        </w:tc>
        <w:tc>
          <w:tcPr>
            <w:tcW w:w="1069" w:type="dxa"/>
            <w:vMerge w:val="restart"/>
            <w:tcBorders>
              <w:top w:val="nil"/>
              <w:left w:val="single" w:color="auto" w:sz="4" w:space="0"/>
              <w:bottom w:val="single" w:color="000000" w:sz="4" w:space="0"/>
              <w:right w:val="single" w:color="auto" w:sz="4" w:space="0"/>
            </w:tcBorders>
            <w:vAlign w:val="center"/>
          </w:tcPr>
          <w:p w14:paraId="7F232819">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成品保护</w:t>
            </w:r>
          </w:p>
        </w:tc>
        <w:tc>
          <w:tcPr>
            <w:tcW w:w="4459" w:type="dxa"/>
            <w:tcBorders>
              <w:top w:val="nil"/>
              <w:left w:val="nil"/>
              <w:bottom w:val="single" w:color="auto" w:sz="4" w:space="0"/>
              <w:right w:val="single" w:color="auto" w:sz="4" w:space="0"/>
            </w:tcBorders>
            <w:vAlign w:val="bottom"/>
          </w:tcPr>
          <w:p w14:paraId="4DAA8F92">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对野蛮施工，造成破坏的</w:t>
            </w:r>
          </w:p>
        </w:tc>
        <w:tc>
          <w:tcPr>
            <w:tcW w:w="1985" w:type="dxa"/>
            <w:tcBorders>
              <w:top w:val="nil"/>
              <w:left w:val="nil"/>
              <w:bottom w:val="single" w:color="auto" w:sz="4" w:space="0"/>
              <w:right w:val="single" w:color="auto" w:sz="4" w:space="0"/>
            </w:tcBorders>
            <w:noWrap/>
            <w:vAlign w:val="bottom"/>
          </w:tcPr>
          <w:p w14:paraId="25D54E4A">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3000~10000元</w:t>
            </w:r>
          </w:p>
        </w:tc>
      </w:tr>
      <w:tr w14:paraId="0DDEFC81">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6DCDD5B">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31</w:t>
            </w:r>
          </w:p>
        </w:tc>
        <w:tc>
          <w:tcPr>
            <w:tcW w:w="1069" w:type="dxa"/>
            <w:vMerge w:val="continue"/>
            <w:tcBorders>
              <w:top w:val="nil"/>
              <w:left w:val="single" w:color="auto" w:sz="4" w:space="0"/>
              <w:bottom w:val="single" w:color="000000" w:sz="4" w:space="0"/>
              <w:right w:val="single" w:color="auto" w:sz="4" w:space="0"/>
            </w:tcBorders>
            <w:vAlign w:val="center"/>
          </w:tcPr>
          <w:p w14:paraId="3412C1E2">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7BD3180E">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未落实成品保护交底、交接手续、设置警告、警示标识、围挡的</w:t>
            </w:r>
          </w:p>
        </w:tc>
        <w:tc>
          <w:tcPr>
            <w:tcW w:w="1985" w:type="dxa"/>
            <w:tcBorders>
              <w:top w:val="nil"/>
              <w:left w:val="nil"/>
              <w:bottom w:val="single" w:color="auto" w:sz="4" w:space="0"/>
              <w:right w:val="single" w:color="auto" w:sz="4" w:space="0"/>
            </w:tcBorders>
            <w:noWrap/>
            <w:vAlign w:val="bottom"/>
          </w:tcPr>
          <w:p w14:paraId="1F5846FE">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BA9674D">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9431B06">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32</w:t>
            </w:r>
          </w:p>
        </w:tc>
        <w:tc>
          <w:tcPr>
            <w:tcW w:w="1069" w:type="dxa"/>
            <w:vMerge w:val="continue"/>
            <w:tcBorders>
              <w:top w:val="nil"/>
              <w:left w:val="single" w:color="auto" w:sz="4" w:space="0"/>
              <w:bottom w:val="single" w:color="000000" w:sz="4" w:space="0"/>
              <w:right w:val="single" w:color="auto" w:sz="4" w:space="0"/>
            </w:tcBorders>
            <w:vAlign w:val="center"/>
          </w:tcPr>
          <w:p w14:paraId="3F7C5ABE">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4D189D8A">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成品保护措施不力，造成成品损毁、破坏的，应赔偿损失并处责任单位违约金3000~10000元；</w:t>
            </w:r>
          </w:p>
        </w:tc>
        <w:tc>
          <w:tcPr>
            <w:tcW w:w="1985" w:type="dxa"/>
            <w:tcBorders>
              <w:top w:val="nil"/>
              <w:left w:val="nil"/>
              <w:bottom w:val="single" w:color="auto" w:sz="4" w:space="0"/>
              <w:right w:val="single" w:color="auto" w:sz="4" w:space="0"/>
            </w:tcBorders>
            <w:noWrap/>
            <w:vAlign w:val="bottom"/>
          </w:tcPr>
          <w:p w14:paraId="3311F6DA">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3000~10000元</w:t>
            </w:r>
          </w:p>
        </w:tc>
      </w:tr>
      <w:tr w14:paraId="7025C31D">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0E10FB88">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33</w:t>
            </w:r>
          </w:p>
        </w:tc>
        <w:tc>
          <w:tcPr>
            <w:tcW w:w="1069" w:type="dxa"/>
            <w:vMerge w:val="continue"/>
            <w:tcBorders>
              <w:top w:val="nil"/>
              <w:left w:val="single" w:color="auto" w:sz="4" w:space="0"/>
              <w:bottom w:val="single" w:color="000000" w:sz="4" w:space="0"/>
              <w:right w:val="single" w:color="auto" w:sz="4" w:space="0"/>
            </w:tcBorders>
            <w:vAlign w:val="center"/>
          </w:tcPr>
          <w:p w14:paraId="670F3C44">
            <w:pPr>
              <w:widowControl/>
              <w:jc w:val="left"/>
              <w:rPr>
                <w:rFonts w:ascii="等线" w:hAnsi="等线" w:eastAsia="等线" w:cs="宋体"/>
                <w:color w:val="000000"/>
                <w:kern w:val="0"/>
                <w:szCs w:val="21"/>
              </w:rPr>
            </w:pPr>
          </w:p>
        </w:tc>
        <w:tc>
          <w:tcPr>
            <w:tcW w:w="4459" w:type="dxa"/>
            <w:tcBorders>
              <w:top w:val="nil"/>
              <w:left w:val="nil"/>
              <w:bottom w:val="single" w:color="auto" w:sz="4" w:space="0"/>
              <w:right w:val="single" w:color="auto" w:sz="4" w:space="0"/>
            </w:tcBorders>
            <w:vAlign w:val="bottom"/>
          </w:tcPr>
          <w:p w14:paraId="7D698ADC">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完工交接前，未尽到检查责任，发生成品损毁、破坏的，由原施工单位负责修复，处责任单位违约金3000~10000元。</w:t>
            </w:r>
          </w:p>
        </w:tc>
        <w:tc>
          <w:tcPr>
            <w:tcW w:w="1985" w:type="dxa"/>
            <w:tcBorders>
              <w:top w:val="nil"/>
              <w:left w:val="nil"/>
              <w:bottom w:val="single" w:color="auto" w:sz="4" w:space="0"/>
              <w:right w:val="single" w:color="auto" w:sz="4" w:space="0"/>
            </w:tcBorders>
            <w:noWrap/>
            <w:vAlign w:val="bottom"/>
          </w:tcPr>
          <w:p w14:paraId="4600FE76">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3000~10000元</w:t>
            </w:r>
          </w:p>
        </w:tc>
      </w:tr>
    </w:tbl>
    <w:p w14:paraId="78188C0F"/>
    <w:p w14:paraId="6772D89E"/>
    <w:p w14:paraId="7E964025"/>
    <w:p w14:paraId="625FD4A1"/>
    <w:p w14:paraId="10797D7C"/>
    <w:p w14:paraId="3F22EFAC"/>
    <w:p w14:paraId="04DDA0F6"/>
    <w:p w14:paraId="657C0727"/>
    <w:p w14:paraId="77755942"/>
    <w:p w14:paraId="09290D88"/>
    <w:p w14:paraId="24D9BD49"/>
    <w:p w14:paraId="556B86CC"/>
    <w:p w14:paraId="44F76522"/>
    <w:p w14:paraId="6579B64B"/>
    <w:p w14:paraId="0C528893"/>
    <w:p w14:paraId="3CC31135"/>
    <w:p w14:paraId="2506B785"/>
    <w:p w14:paraId="0DDBB427"/>
    <w:p w14:paraId="66FABF92"/>
    <w:p w14:paraId="6FDE624B"/>
    <w:p w14:paraId="249D8DBE">
      <w:pPr>
        <w:jc w:val="left"/>
        <w:rPr>
          <w:sz w:val="28"/>
          <w:szCs w:val="28"/>
        </w:rPr>
      </w:pPr>
      <w:r>
        <w:br w:type="page"/>
      </w:r>
      <w:r>
        <w:rPr>
          <w:rFonts w:hint="eastAsia"/>
        </w:rPr>
        <w:t>附表2</w:t>
      </w:r>
    </w:p>
    <w:p w14:paraId="5D4B852E">
      <w:pPr>
        <w:jc w:val="center"/>
        <w:rPr>
          <w:rFonts w:ascii="黑体" w:hAnsi="黑体" w:eastAsia="黑体"/>
          <w:sz w:val="32"/>
          <w:szCs w:val="32"/>
        </w:rPr>
      </w:pPr>
      <w:r>
        <w:rPr>
          <w:rFonts w:hint="eastAsia" w:ascii="黑体" w:hAnsi="黑体" w:eastAsia="黑体"/>
          <w:sz w:val="32"/>
          <w:szCs w:val="32"/>
        </w:rPr>
        <w:t>质量违约函</w:t>
      </w:r>
    </w:p>
    <w:p w14:paraId="12BFCD97">
      <w:pPr>
        <w:jc w:val="left"/>
        <w:rPr>
          <w:sz w:val="28"/>
          <w:szCs w:val="28"/>
        </w:rPr>
      </w:pPr>
      <w:r>
        <w:rPr>
          <w:rFonts w:hint="eastAsia"/>
          <w:sz w:val="28"/>
          <w:szCs w:val="28"/>
          <w:u w:val="single"/>
        </w:rPr>
        <w:t>XXXX公司</w:t>
      </w:r>
      <w:r>
        <w:rPr>
          <w:rFonts w:hint="eastAsia"/>
          <w:sz w:val="28"/>
          <w:szCs w:val="28"/>
        </w:rPr>
        <w:t>：</w:t>
      </w:r>
    </w:p>
    <w:p w14:paraId="798738EE">
      <w:pPr>
        <w:ind w:firstLine="560" w:firstLineChars="200"/>
        <w:jc w:val="left"/>
        <w:rPr>
          <w:sz w:val="28"/>
          <w:szCs w:val="28"/>
        </w:rPr>
      </w:pPr>
      <w:r>
        <w:rPr>
          <w:rFonts w:hint="eastAsia"/>
          <w:sz w:val="28"/>
          <w:szCs w:val="28"/>
        </w:rPr>
        <w:t>你单位人员在我公司XX年X月施工中存在如下违反质量管理规定的行为，按照双方施工承包合同和协议，相关处理如下：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402"/>
        <w:gridCol w:w="2205"/>
      </w:tblGrid>
      <w:tr w14:paraId="3DB3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450BEDF3">
            <w:pPr>
              <w:widowControl/>
              <w:jc w:val="center"/>
              <w:rPr>
                <w:rFonts w:ascii="等线" w:hAnsi="等线" w:eastAsia="等线"/>
                <w:color w:val="000000"/>
                <w:sz w:val="28"/>
                <w:szCs w:val="28"/>
              </w:rPr>
            </w:pPr>
            <w:r>
              <w:rPr>
                <w:rFonts w:hint="eastAsia" w:ascii="等线" w:hAnsi="等线" w:eastAsia="等线"/>
                <w:color w:val="000000"/>
                <w:sz w:val="28"/>
                <w:szCs w:val="28"/>
              </w:rPr>
              <w:t>事件经过</w:t>
            </w:r>
          </w:p>
        </w:tc>
        <w:tc>
          <w:tcPr>
            <w:tcW w:w="3402" w:type="dxa"/>
            <w:vAlign w:val="center"/>
          </w:tcPr>
          <w:p w14:paraId="77756D8F">
            <w:pPr>
              <w:jc w:val="center"/>
              <w:rPr>
                <w:rFonts w:ascii="等线" w:hAnsi="等线" w:eastAsia="等线"/>
                <w:color w:val="000000"/>
                <w:sz w:val="28"/>
                <w:szCs w:val="28"/>
              </w:rPr>
            </w:pPr>
            <w:r>
              <w:rPr>
                <w:rFonts w:hint="eastAsia" w:ascii="等线" w:hAnsi="等线" w:eastAsia="等线"/>
                <w:color w:val="000000"/>
                <w:sz w:val="28"/>
                <w:szCs w:val="28"/>
              </w:rPr>
              <w:t>照 片</w:t>
            </w:r>
          </w:p>
        </w:tc>
        <w:tc>
          <w:tcPr>
            <w:tcW w:w="2205" w:type="dxa"/>
            <w:vAlign w:val="center"/>
          </w:tcPr>
          <w:p w14:paraId="6C1C2AF7">
            <w:pPr>
              <w:jc w:val="center"/>
              <w:rPr>
                <w:rFonts w:ascii="等线" w:hAnsi="等线" w:eastAsia="等线"/>
                <w:color w:val="000000"/>
                <w:sz w:val="28"/>
                <w:szCs w:val="28"/>
              </w:rPr>
            </w:pPr>
            <w:r>
              <w:rPr>
                <w:rFonts w:hint="eastAsia" w:ascii="等线" w:hAnsi="等线" w:eastAsia="等线"/>
                <w:color w:val="000000"/>
                <w:sz w:val="28"/>
                <w:szCs w:val="28"/>
              </w:rPr>
              <w:t>处理决定</w:t>
            </w:r>
          </w:p>
        </w:tc>
      </w:tr>
      <w:tr w14:paraId="60A9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2689" w:type="dxa"/>
          </w:tcPr>
          <w:p w14:paraId="520CBCFC">
            <w:pPr>
              <w:jc w:val="left"/>
              <w:rPr>
                <w:rFonts w:ascii="等线" w:hAnsi="等线" w:eastAsia="等线"/>
              </w:rPr>
            </w:pPr>
          </w:p>
        </w:tc>
        <w:tc>
          <w:tcPr>
            <w:tcW w:w="3402" w:type="dxa"/>
          </w:tcPr>
          <w:p w14:paraId="35783D41">
            <w:pPr>
              <w:jc w:val="left"/>
              <w:rPr>
                <w:rFonts w:ascii="等线" w:hAnsi="等线" w:eastAsia="等线"/>
              </w:rPr>
            </w:pPr>
          </w:p>
        </w:tc>
        <w:tc>
          <w:tcPr>
            <w:tcW w:w="2205" w:type="dxa"/>
          </w:tcPr>
          <w:p w14:paraId="4B6F3E2A">
            <w:pPr>
              <w:jc w:val="left"/>
              <w:rPr>
                <w:rFonts w:ascii="等线" w:hAnsi="等线" w:eastAsia="等线"/>
              </w:rPr>
            </w:pPr>
          </w:p>
        </w:tc>
      </w:tr>
    </w:tbl>
    <w:p w14:paraId="24D62D5C">
      <w:pPr>
        <w:rPr>
          <w:vanish/>
        </w:rPr>
      </w:pPr>
    </w:p>
    <w:tbl>
      <w:tblPr>
        <w:tblStyle w:val="20"/>
        <w:tblW w:w="8700" w:type="dxa"/>
        <w:tblInd w:w="108" w:type="dxa"/>
        <w:tblLayout w:type="fixed"/>
        <w:tblCellMar>
          <w:top w:w="0" w:type="dxa"/>
          <w:left w:w="108" w:type="dxa"/>
          <w:bottom w:w="0" w:type="dxa"/>
          <w:right w:w="108" w:type="dxa"/>
        </w:tblCellMar>
      </w:tblPr>
      <w:tblGrid>
        <w:gridCol w:w="8700"/>
      </w:tblGrid>
      <w:tr w14:paraId="603FDC10">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vAlign w:val="bottom"/>
          </w:tcPr>
          <w:p w14:paraId="7CFB5E78">
            <w:pPr>
              <w:widowControl/>
              <w:ind w:firstLine="560" w:firstLineChars="200"/>
              <w:jc w:val="left"/>
              <w:rPr>
                <w:rFonts w:ascii="等线" w:hAnsi="等线" w:eastAsia="等线" w:cs="宋体"/>
                <w:color w:val="000000"/>
                <w:kern w:val="0"/>
                <w:sz w:val="28"/>
                <w:szCs w:val="28"/>
              </w:rPr>
            </w:pPr>
            <w:r>
              <w:rPr>
                <w:rFonts w:hint="eastAsia" w:ascii="等线" w:hAnsi="等线" w:eastAsia="等线" w:cs="宋体"/>
                <w:color w:val="000000"/>
                <w:kern w:val="0"/>
                <w:sz w:val="28"/>
                <w:szCs w:val="28"/>
              </w:rPr>
              <w:t>如存在异议，请你方在接到通报后5个工作日内将书面意见反馈到项目办，过期视为同意。</w:t>
            </w:r>
          </w:p>
        </w:tc>
      </w:tr>
      <w:tr w14:paraId="34B8E444">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1F69182E">
            <w:pPr>
              <w:widowControl/>
              <w:jc w:val="left"/>
              <w:rPr>
                <w:rFonts w:ascii="等线" w:hAnsi="等线" w:eastAsia="等线" w:cs="宋体"/>
                <w:color w:val="000000"/>
                <w:kern w:val="0"/>
                <w:sz w:val="28"/>
                <w:szCs w:val="28"/>
              </w:rPr>
            </w:pPr>
            <w:r>
              <w:rPr>
                <w:rFonts w:hint="eastAsia" w:ascii="等线" w:hAnsi="等线" w:eastAsia="等线" w:cs="宋体"/>
                <w:color w:val="000000"/>
                <w:kern w:val="0"/>
                <w:sz w:val="28"/>
                <w:szCs w:val="28"/>
              </w:rPr>
              <w:t>特此函告</w:t>
            </w:r>
          </w:p>
        </w:tc>
      </w:tr>
      <w:tr w14:paraId="2B8B3935">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7E02F44A">
            <w:pPr>
              <w:widowControl/>
              <w:jc w:val="right"/>
              <w:rPr>
                <w:rFonts w:ascii="等线" w:hAnsi="等线" w:eastAsia="等线" w:cs="宋体"/>
                <w:color w:val="000000"/>
                <w:kern w:val="0"/>
                <w:sz w:val="28"/>
                <w:szCs w:val="28"/>
              </w:rPr>
            </w:pPr>
            <w:r>
              <w:rPr>
                <w:rFonts w:hint="eastAsia" w:ascii="等线" w:hAnsi="等线" w:eastAsia="等线" w:cs="宋体"/>
                <w:color w:val="000000"/>
                <w:kern w:val="0"/>
                <w:sz w:val="28"/>
                <w:szCs w:val="28"/>
              </w:rPr>
              <w:t>项目办</w:t>
            </w:r>
          </w:p>
        </w:tc>
      </w:tr>
      <w:tr w14:paraId="4CB35443">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02916E68">
            <w:pPr>
              <w:widowControl/>
              <w:jc w:val="right"/>
              <w:rPr>
                <w:rFonts w:ascii="等线" w:hAnsi="等线" w:eastAsia="等线" w:cs="宋体"/>
                <w:color w:val="000000"/>
                <w:kern w:val="0"/>
                <w:sz w:val="28"/>
                <w:szCs w:val="28"/>
              </w:rPr>
            </w:pPr>
            <w:r>
              <w:rPr>
                <w:rFonts w:hint="eastAsia" w:ascii="等线" w:hAnsi="等线" w:eastAsia="等线" w:cs="宋体"/>
                <w:color w:val="000000"/>
                <w:kern w:val="0"/>
                <w:sz w:val="28"/>
                <w:szCs w:val="28"/>
              </w:rPr>
              <w:t>年  月  日</w:t>
            </w:r>
          </w:p>
        </w:tc>
      </w:tr>
    </w:tbl>
    <w:p w14:paraId="627C53BB">
      <w:pPr>
        <w:ind w:firstLine="420" w:firstLineChars="200"/>
        <w:jc w:val="left"/>
      </w:pPr>
    </w:p>
    <w:p w14:paraId="39871244">
      <w:pPr>
        <w:spacing w:line="360" w:lineRule="auto"/>
        <w:rPr>
          <w:rFonts w:eastAsia="仿宋_GB2312"/>
          <w:color w:val="000000"/>
          <w:sz w:val="30"/>
          <w:szCs w:val="30"/>
        </w:rPr>
      </w:pPr>
      <w:r>
        <w:rPr>
          <w:rFonts w:eastAsia="仿宋_GB2312"/>
          <w:color w:val="000000"/>
          <w:sz w:val="30"/>
          <w:szCs w:val="30"/>
        </w:rPr>
        <w:br w:type="page"/>
      </w:r>
      <w:r>
        <w:rPr>
          <w:rFonts w:eastAsia="仿宋_GB2312"/>
          <w:color w:val="000000"/>
          <w:sz w:val="30"/>
          <w:szCs w:val="30"/>
        </w:rPr>
        <w:t>附件6：</w:t>
      </w:r>
    </w:p>
    <w:p w14:paraId="10989009">
      <w:pPr>
        <w:spacing w:line="360" w:lineRule="auto"/>
        <w:jc w:val="center"/>
        <w:rPr>
          <w:b/>
          <w:sz w:val="32"/>
          <w:szCs w:val="32"/>
        </w:rPr>
      </w:pPr>
      <w:r>
        <w:rPr>
          <w:rFonts w:hint="eastAsia"/>
          <w:b/>
          <w:sz w:val="32"/>
          <w:szCs w:val="32"/>
        </w:rPr>
        <w:t>工程项目设计变更管理办法</w:t>
      </w:r>
    </w:p>
    <w:p w14:paraId="1C7A2581">
      <w:pPr>
        <w:pStyle w:val="68"/>
        <w:numPr>
          <w:ilvl w:val="0"/>
          <w:numId w:val="11"/>
        </w:numPr>
        <w:spacing w:before="312" w:after="312"/>
        <w:jc w:val="left"/>
      </w:pPr>
      <w:bookmarkStart w:id="534" w:name="_Toc180489608"/>
      <w:bookmarkStart w:id="535" w:name="_Toc325380244"/>
      <w:bookmarkStart w:id="536" w:name="_Toc327262748"/>
      <w:bookmarkStart w:id="537" w:name="_Toc19649_WPSOffice_Level1"/>
      <w:bookmarkStart w:id="538" w:name="_Toc29571"/>
      <w:bookmarkStart w:id="539" w:name="_Toc3613_WPSOffice_Level1"/>
      <w:bookmarkStart w:id="540" w:name="_Toc325380253"/>
      <w:bookmarkStart w:id="541" w:name="_Toc21640_WPSOffice_Level1"/>
      <w:bookmarkStart w:id="542" w:name="_Toc325035050"/>
      <w:bookmarkStart w:id="543" w:name="_Toc22219_WPSOffice_Level1"/>
      <w:bookmarkStart w:id="544" w:name="_Toc13459"/>
      <w:bookmarkStart w:id="545" w:name="_Toc18402_WPSOffice_Level1"/>
      <w:bookmarkStart w:id="546" w:name="_Toc325035189"/>
      <w:bookmarkStart w:id="547" w:name="_Toc15868"/>
      <w:r>
        <w:rPr>
          <w:rFonts w:hint="eastAsia"/>
        </w:rPr>
        <w:t>目的</w:t>
      </w:r>
      <w:bookmarkEnd w:id="534"/>
    </w:p>
    <w:p w14:paraId="15E2B223">
      <w:pPr>
        <w:pStyle w:val="63"/>
        <w:spacing w:before="109" w:beforeLines="35" w:after="109" w:afterLines="35"/>
      </w:pPr>
      <w:r>
        <w:rPr>
          <w:rFonts w:hint="eastAsia"/>
        </w:rPr>
        <w:t>为规范重庆国际复合材料股份有限公司（以下简称“国际复材”“公司”）</w:t>
      </w:r>
      <w:r>
        <w:rPr>
          <w:rFonts w:hint="eastAsia" w:hAnsi="宋体"/>
        </w:rPr>
        <w:t>工程建设过程发生</w:t>
      </w:r>
      <w:r>
        <w:rPr>
          <w:rFonts w:hint="eastAsia"/>
        </w:rPr>
        <w:t>的工程项目</w:t>
      </w:r>
      <w:r>
        <w:rPr>
          <w:rFonts w:hint="eastAsia" w:hAnsi="宋体"/>
        </w:rPr>
        <w:t>设计变更（以下简称“设计变更”）</w:t>
      </w:r>
      <w:r>
        <w:rPr>
          <w:rFonts w:hint="eastAsia"/>
        </w:rPr>
        <w:t>管理工作，规范工程项目设计变更审批管理，特制定本办法。</w:t>
      </w:r>
    </w:p>
    <w:p w14:paraId="7479A9AD">
      <w:pPr>
        <w:pStyle w:val="68"/>
        <w:numPr>
          <w:ilvl w:val="0"/>
          <w:numId w:val="11"/>
        </w:numPr>
        <w:spacing w:before="312" w:after="312"/>
      </w:pPr>
      <w:bookmarkStart w:id="548" w:name="_Toc180489609"/>
      <w:r>
        <w:rPr>
          <w:rFonts w:hint="eastAsia"/>
        </w:rPr>
        <w:t>范围</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5E3518FF">
      <w:pPr>
        <w:pStyle w:val="63"/>
        <w:spacing w:line="288" w:lineRule="auto"/>
      </w:pPr>
      <w:r>
        <w:rPr>
          <w:rFonts w:hint="eastAsia"/>
        </w:rPr>
        <w:t>本制度适用于重庆国际复合材料股份有限公司（下称</w:t>
      </w:r>
      <w:r>
        <w:t>“</w:t>
      </w:r>
      <w:r>
        <w:rPr>
          <w:rFonts w:hint="eastAsia"/>
        </w:rPr>
        <w:t>公司</w:t>
      </w:r>
      <w:r>
        <w:t>”</w:t>
      </w:r>
      <w:r>
        <w:rPr>
          <w:rFonts w:hint="eastAsia"/>
        </w:rPr>
        <w:t>）及各级公司全资（控股）子公司、分公司（下称</w:t>
      </w:r>
      <w:r>
        <w:t>“</w:t>
      </w:r>
      <w:r>
        <w:rPr>
          <w:rFonts w:hint="eastAsia"/>
        </w:rPr>
        <w:t>各分子公司</w:t>
      </w:r>
      <w:r>
        <w:t>”</w:t>
      </w:r>
      <w:r>
        <w:rPr>
          <w:rFonts w:hint="eastAsia"/>
        </w:rPr>
        <w:t>）。</w:t>
      </w:r>
    </w:p>
    <w:p w14:paraId="43D03987">
      <w:pPr>
        <w:pStyle w:val="68"/>
        <w:numPr>
          <w:ilvl w:val="0"/>
          <w:numId w:val="11"/>
        </w:numPr>
        <w:spacing w:before="312" w:after="312"/>
      </w:pPr>
      <w:bookmarkStart w:id="549" w:name="_Toc327262750"/>
      <w:bookmarkStart w:id="550" w:name="_Toc325035191"/>
      <w:bookmarkStart w:id="551" w:name="_Toc325035052"/>
      <w:bookmarkStart w:id="552" w:name="_Toc325380255"/>
      <w:bookmarkStart w:id="553" w:name="_Toc325380246"/>
      <w:bookmarkStart w:id="554" w:name="_Toc5719"/>
      <w:bookmarkStart w:id="555" w:name="_Toc5572"/>
      <w:bookmarkStart w:id="556" w:name="_Toc14162_WPSOffice_Level1"/>
      <w:bookmarkStart w:id="557" w:name="_Toc3537_WPSOffice_Level1"/>
      <w:bookmarkStart w:id="558" w:name="_Toc180489611"/>
      <w:bookmarkStart w:id="559" w:name="_Toc20062_WPSOffice_Level1"/>
      <w:bookmarkStart w:id="560" w:name="_Toc959"/>
      <w:bookmarkStart w:id="561" w:name="_Toc7014_WPSOffice_Level1"/>
      <w:r>
        <w:rPr>
          <w:rFonts w:hint="eastAsia"/>
        </w:rPr>
        <w:t>术语</w:t>
      </w:r>
      <w:bookmarkEnd w:id="549"/>
      <w:bookmarkEnd w:id="550"/>
      <w:bookmarkEnd w:id="551"/>
      <w:bookmarkEnd w:id="552"/>
      <w:bookmarkEnd w:id="553"/>
      <w:r>
        <w:rPr>
          <w:rFonts w:hint="eastAsia"/>
        </w:rPr>
        <w:t>和定义</w:t>
      </w:r>
      <w:bookmarkEnd w:id="554"/>
      <w:bookmarkEnd w:id="555"/>
      <w:bookmarkEnd w:id="556"/>
      <w:bookmarkEnd w:id="557"/>
      <w:bookmarkEnd w:id="558"/>
      <w:bookmarkEnd w:id="559"/>
      <w:bookmarkEnd w:id="560"/>
      <w:bookmarkEnd w:id="561"/>
    </w:p>
    <w:p w14:paraId="2534E151">
      <w:pPr>
        <w:pStyle w:val="69"/>
        <w:numPr>
          <w:ilvl w:val="1"/>
          <w:numId w:val="11"/>
        </w:numPr>
        <w:spacing w:before="156" w:beforeLines="50" w:after="156" w:afterLines="50"/>
      </w:pPr>
      <w:bookmarkStart w:id="562" w:name="_Toc180489615"/>
      <w:r>
        <w:rPr>
          <w:rFonts w:hint="eastAsia"/>
        </w:rPr>
        <w:t>设计变更</w:t>
      </w:r>
    </w:p>
    <w:p w14:paraId="37204644">
      <w:pPr>
        <w:pStyle w:val="63"/>
      </w:pPr>
      <w:r>
        <w:t>项目自初步设计批准之日起至通过竣工验收正式交付使用之日止，对已批准的初步设计文件、技术设计文件或施工图设计文件所进行的修改、完善、优化等活动。</w:t>
      </w:r>
    </w:p>
    <w:p w14:paraId="49584019">
      <w:pPr>
        <w:pStyle w:val="69"/>
        <w:numPr>
          <w:ilvl w:val="1"/>
          <w:numId w:val="11"/>
        </w:numPr>
        <w:spacing w:before="156" w:beforeLines="50" w:after="156" w:afterLines="50"/>
      </w:pPr>
      <w:r>
        <w:rPr>
          <w:rFonts w:hint="eastAsia"/>
        </w:rPr>
        <w:t>一般变更</w:t>
      </w:r>
    </w:p>
    <w:p w14:paraId="70AF2E3F">
      <w:pPr>
        <w:pStyle w:val="72"/>
        <w:numPr>
          <w:ilvl w:val="2"/>
          <w:numId w:val="11"/>
        </w:numPr>
        <w:spacing w:before="0" w:after="0"/>
      </w:pPr>
      <w:r>
        <w:rPr>
          <w:rFonts w:hint="eastAsia"/>
        </w:rPr>
        <w:t>设备及材料的名称、规格、安装方式等发生变化，没有超出原设计或工艺技术要求的。</w:t>
      </w:r>
    </w:p>
    <w:p w14:paraId="50F65B73">
      <w:pPr>
        <w:pStyle w:val="72"/>
        <w:numPr>
          <w:ilvl w:val="2"/>
          <w:numId w:val="11"/>
        </w:numPr>
        <w:spacing w:before="0" w:after="0"/>
      </w:pPr>
      <w:r>
        <w:rPr>
          <w:rFonts w:hint="eastAsia"/>
        </w:rPr>
        <w:t>设备、材料及工程量的数量发生变化，不改变工艺技术要求且在单项批复估算内的。</w:t>
      </w:r>
    </w:p>
    <w:p w14:paraId="2F3EB2E3">
      <w:pPr>
        <w:pStyle w:val="69"/>
        <w:numPr>
          <w:ilvl w:val="1"/>
          <w:numId w:val="11"/>
        </w:numPr>
        <w:spacing w:before="156" w:beforeLines="50" w:after="156" w:afterLines="50"/>
      </w:pPr>
      <w:r>
        <w:rPr>
          <w:rFonts w:hint="eastAsia"/>
        </w:rPr>
        <w:t>重大变更</w:t>
      </w:r>
    </w:p>
    <w:p w14:paraId="7FA2020F">
      <w:pPr>
        <w:pStyle w:val="72"/>
        <w:numPr>
          <w:ilvl w:val="2"/>
          <w:numId w:val="11"/>
        </w:numPr>
        <w:spacing w:before="0" w:after="0"/>
      </w:pPr>
      <w:r>
        <w:rPr>
          <w:rFonts w:hint="eastAsia"/>
        </w:rPr>
        <w:t>重大工艺变更、产品结构调整等发生变化，与可研报告不一致的。</w:t>
      </w:r>
    </w:p>
    <w:p w14:paraId="679F80C1">
      <w:pPr>
        <w:pStyle w:val="72"/>
        <w:numPr>
          <w:ilvl w:val="2"/>
          <w:numId w:val="11"/>
        </w:numPr>
        <w:spacing w:before="0" w:after="0"/>
      </w:pPr>
      <w:r>
        <w:rPr>
          <w:rFonts w:hint="eastAsia"/>
        </w:rPr>
        <w:t>设备材料名称、规格、安装方式等发生变化，超出原设计或工艺技术要求的。</w:t>
      </w:r>
    </w:p>
    <w:p w14:paraId="0C0AFB60">
      <w:pPr>
        <w:pStyle w:val="72"/>
        <w:numPr>
          <w:ilvl w:val="2"/>
          <w:numId w:val="11"/>
        </w:numPr>
        <w:spacing w:before="0" w:after="0"/>
      </w:pPr>
      <w:r>
        <w:rPr>
          <w:rFonts w:hint="eastAsia"/>
        </w:rPr>
        <w:t>设备、材料及工程量的数量发生变化，超出单项批复估算但未超出项目总批复估算的。</w:t>
      </w:r>
    </w:p>
    <w:p w14:paraId="74263850">
      <w:pPr>
        <w:pStyle w:val="72"/>
        <w:numPr>
          <w:ilvl w:val="2"/>
          <w:numId w:val="11"/>
        </w:numPr>
        <w:spacing w:before="0" w:after="0"/>
      </w:pPr>
      <w:r>
        <w:rPr>
          <w:rFonts w:hint="eastAsia"/>
        </w:rPr>
        <w:t>因实施方案漏项，或新增加的超出原设计工艺内容的。</w:t>
      </w:r>
    </w:p>
    <w:p w14:paraId="59C26962">
      <w:pPr>
        <w:pStyle w:val="72"/>
        <w:numPr>
          <w:ilvl w:val="2"/>
          <w:numId w:val="11"/>
        </w:numPr>
        <w:spacing w:before="0" w:after="0"/>
      </w:pPr>
      <w:r>
        <w:rPr>
          <w:rFonts w:hint="eastAsia"/>
        </w:rPr>
        <w:t xml:space="preserve">特种设备实施内容发生变化的。 </w:t>
      </w:r>
    </w:p>
    <w:bookmarkEnd w:id="562"/>
    <w:p w14:paraId="49B53E70">
      <w:pPr>
        <w:pStyle w:val="68"/>
        <w:numPr>
          <w:ilvl w:val="0"/>
          <w:numId w:val="11"/>
        </w:numPr>
        <w:spacing w:before="312" w:after="312"/>
      </w:pPr>
      <w:r>
        <w:rPr>
          <w:rFonts w:hint="eastAsia"/>
        </w:rPr>
        <w:t>原则</w:t>
      </w:r>
    </w:p>
    <w:p w14:paraId="14D1721D">
      <w:pPr>
        <w:pStyle w:val="72"/>
        <w:numPr>
          <w:ilvl w:val="2"/>
          <w:numId w:val="11"/>
        </w:numPr>
        <w:spacing w:before="0" w:after="0"/>
      </w:pPr>
      <w:r>
        <w:rPr>
          <w:rFonts w:hint="eastAsia"/>
        </w:rPr>
        <w:t>原设计不能保证工程质量要求、设计遗漏、有错误与现场不符无法施工、生产工艺重大变更。</w:t>
      </w:r>
    </w:p>
    <w:p w14:paraId="61A867F4">
      <w:pPr>
        <w:pStyle w:val="72"/>
        <w:numPr>
          <w:ilvl w:val="2"/>
          <w:numId w:val="11"/>
        </w:numPr>
        <w:spacing w:before="0" w:after="0"/>
      </w:pPr>
      <w:r>
        <w:rPr>
          <w:rFonts w:hint="eastAsia"/>
        </w:rPr>
        <w:t>建设单位和公司相关部门对设计图纸的合理修改意见，应在施工之前提出。在施工试车或验收过程中，只要不影响生产，原则上不再接受设计变更要求。</w:t>
      </w:r>
    </w:p>
    <w:p w14:paraId="732BDAE9">
      <w:pPr>
        <w:pStyle w:val="72"/>
        <w:numPr>
          <w:ilvl w:val="2"/>
          <w:numId w:val="11"/>
        </w:numPr>
        <w:spacing w:before="0" w:after="0"/>
      </w:pPr>
      <w:r>
        <w:rPr>
          <w:rFonts w:hint="eastAsia"/>
        </w:rPr>
        <w:t>坚决杜绝内容不明确、没有详图或具体使用部位而只是增加材料用量的变更。</w:t>
      </w:r>
    </w:p>
    <w:p w14:paraId="675C7F71">
      <w:pPr>
        <w:pStyle w:val="72"/>
        <w:numPr>
          <w:ilvl w:val="2"/>
          <w:numId w:val="11"/>
        </w:numPr>
        <w:spacing w:before="0" w:after="0"/>
      </w:pPr>
      <w:r>
        <w:rPr>
          <w:rFonts w:hint="eastAsia"/>
        </w:rPr>
        <w:t>严禁一次设计变更分多次提出，逃避审核程序。</w:t>
      </w:r>
    </w:p>
    <w:p w14:paraId="360BF5E4">
      <w:pPr>
        <w:pStyle w:val="72"/>
        <w:numPr>
          <w:ilvl w:val="2"/>
          <w:numId w:val="11"/>
        </w:numPr>
        <w:spacing w:before="0" w:after="0"/>
      </w:pPr>
      <w:r>
        <w:rPr>
          <w:rFonts w:hint="eastAsia"/>
        </w:rPr>
        <w:t>工程造价增减幅度是否控制在总概算的范围之内，若确需变更但有可能超概算时，必须经过公司项目变更审议流程。</w:t>
      </w:r>
    </w:p>
    <w:p w14:paraId="5910DFC3">
      <w:pPr>
        <w:pStyle w:val="68"/>
        <w:numPr>
          <w:ilvl w:val="0"/>
          <w:numId w:val="11"/>
        </w:numPr>
        <w:spacing w:before="312" w:after="312"/>
      </w:pPr>
      <w:r>
        <w:rPr>
          <w:rFonts w:hint="eastAsia"/>
        </w:rPr>
        <w:t>职责</w:t>
      </w:r>
    </w:p>
    <w:p w14:paraId="47BCDC8E">
      <w:pPr>
        <w:pStyle w:val="72"/>
        <w:numPr>
          <w:ilvl w:val="2"/>
          <w:numId w:val="11"/>
        </w:numPr>
        <w:spacing w:before="0" w:after="0"/>
      </w:pPr>
      <w:r>
        <w:rPr>
          <w:rFonts w:hint="eastAsia"/>
        </w:rPr>
        <w:t>属地部门负责提出项目变更，由属地部门按照项目办项目变更管理制度要求，完善项目变更手续。</w:t>
      </w:r>
    </w:p>
    <w:p w14:paraId="3F328F44">
      <w:pPr>
        <w:pStyle w:val="72"/>
        <w:numPr>
          <w:ilvl w:val="2"/>
          <w:numId w:val="11"/>
        </w:numPr>
        <w:spacing w:before="0" w:after="0"/>
      </w:pPr>
      <w:r>
        <w:rPr>
          <w:rFonts w:hint="eastAsia"/>
        </w:rPr>
        <w:t>建设单位、设计单位、施工单位负责设计变更提报，详见附件B、附件C、附件D。</w:t>
      </w:r>
    </w:p>
    <w:p w14:paraId="54E5997A">
      <w:pPr>
        <w:pStyle w:val="72"/>
        <w:numPr>
          <w:ilvl w:val="2"/>
          <w:numId w:val="11"/>
        </w:numPr>
        <w:spacing w:before="0" w:after="0"/>
      </w:pPr>
      <w:r>
        <w:rPr>
          <w:rFonts w:hint="eastAsia"/>
        </w:rPr>
        <w:t>项目办负责设计变更的技术审核、设计变更费用预决算。</w:t>
      </w:r>
    </w:p>
    <w:p w14:paraId="7C6F1DB1">
      <w:pPr>
        <w:pStyle w:val="72"/>
        <w:numPr>
          <w:ilvl w:val="2"/>
          <w:numId w:val="11"/>
        </w:numPr>
        <w:spacing w:before="0" w:after="0"/>
      </w:pPr>
      <w:r>
        <w:rPr>
          <w:rFonts w:hint="eastAsia"/>
        </w:rPr>
        <w:t>数智化工装技术中心负责设计变更的审核、档案归档。</w:t>
      </w:r>
    </w:p>
    <w:p w14:paraId="2F606588">
      <w:pPr>
        <w:pStyle w:val="68"/>
        <w:numPr>
          <w:ilvl w:val="0"/>
          <w:numId w:val="11"/>
        </w:numPr>
        <w:spacing w:before="312" w:after="312"/>
      </w:pPr>
      <w:r>
        <w:rPr>
          <w:rFonts w:hint="eastAsia"/>
        </w:rPr>
        <w:t>管理内容</w:t>
      </w:r>
    </w:p>
    <w:p w14:paraId="4F960066">
      <w:pPr>
        <w:pStyle w:val="70"/>
        <w:numPr>
          <w:ilvl w:val="1"/>
          <w:numId w:val="11"/>
        </w:numPr>
        <w:spacing w:before="156" w:after="156"/>
      </w:pPr>
      <w:bookmarkStart w:id="563" w:name="_Toc180489622"/>
      <w:bookmarkStart w:id="564" w:name="_Toc4905_WPSOffice_Level1"/>
      <w:bookmarkStart w:id="565" w:name="_Toc25939_WPSOffice_Level1"/>
      <w:bookmarkStart w:id="566" w:name="_Toc11779_WPSOffice_Level1"/>
      <w:bookmarkStart w:id="567" w:name="_Toc28486"/>
      <w:bookmarkStart w:id="568" w:name="_Toc9144_WPSOffice_Level1"/>
      <w:bookmarkStart w:id="569" w:name="_Toc28607"/>
      <w:bookmarkStart w:id="570" w:name="_Toc5661"/>
      <w:bookmarkStart w:id="571" w:name="_Toc20031_WPSOffice_Level1"/>
      <w:r>
        <w:rPr>
          <w:rFonts w:hint="eastAsia"/>
        </w:rPr>
        <w:t>设计变更的原因</w:t>
      </w:r>
    </w:p>
    <w:p w14:paraId="3602FD62">
      <w:pPr>
        <w:pStyle w:val="72"/>
        <w:numPr>
          <w:ilvl w:val="2"/>
          <w:numId w:val="11"/>
        </w:numPr>
        <w:spacing w:before="0" w:after="0"/>
      </w:pPr>
      <w:r>
        <w:t>修改工艺技术，包括设备的改变</w:t>
      </w:r>
      <w:r>
        <w:rPr>
          <w:rFonts w:hint="eastAsia"/>
        </w:rPr>
        <w:t>。</w:t>
      </w:r>
    </w:p>
    <w:p w14:paraId="5E04D19F">
      <w:pPr>
        <w:pStyle w:val="72"/>
        <w:numPr>
          <w:ilvl w:val="2"/>
          <w:numId w:val="11"/>
        </w:numPr>
        <w:spacing w:before="0" w:after="0"/>
      </w:pPr>
      <w:r>
        <w:t>增减工程内容</w:t>
      </w:r>
      <w:r>
        <w:rPr>
          <w:rFonts w:hint="eastAsia"/>
        </w:rPr>
        <w:t>。</w:t>
      </w:r>
    </w:p>
    <w:p w14:paraId="4DFB3E3C">
      <w:pPr>
        <w:pStyle w:val="72"/>
        <w:numPr>
          <w:ilvl w:val="2"/>
          <w:numId w:val="11"/>
        </w:numPr>
        <w:spacing w:before="0" w:after="0"/>
      </w:pPr>
      <w:r>
        <w:t>改变使用功能</w:t>
      </w:r>
      <w:r>
        <w:rPr>
          <w:rFonts w:hint="eastAsia"/>
        </w:rPr>
        <w:t>。</w:t>
      </w:r>
    </w:p>
    <w:p w14:paraId="7483C474">
      <w:pPr>
        <w:pStyle w:val="72"/>
        <w:numPr>
          <w:ilvl w:val="2"/>
          <w:numId w:val="11"/>
        </w:numPr>
        <w:spacing w:before="0" w:after="0"/>
      </w:pPr>
      <w:r>
        <w:t>设计错误、遗漏</w:t>
      </w:r>
      <w:r>
        <w:rPr>
          <w:rFonts w:hint="eastAsia"/>
        </w:rPr>
        <w:t>。</w:t>
      </w:r>
    </w:p>
    <w:p w14:paraId="03E72AC6">
      <w:pPr>
        <w:pStyle w:val="72"/>
        <w:numPr>
          <w:ilvl w:val="2"/>
          <w:numId w:val="11"/>
        </w:numPr>
        <w:spacing w:before="0" w:after="0"/>
      </w:pPr>
      <w:r>
        <w:rPr>
          <w:rFonts w:hint="eastAsia"/>
        </w:rPr>
        <w:t>现场</w:t>
      </w:r>
      <w:r>
        <w:t>提</w:t>
      </w:r>
      <w:r>
        <w:rPr>
          <w:rFonts w:hint="eastAsia"/>
        </w:rPr>
        <w:t>出的</w:t>
      </w:r>
      <w:r>
        <w:t>合理化建议</w:t>
      </w:r>
      <w:r>
        <w:rPr>
          <w:rFonts w:hint="eastAsia"/>
        </w:rPr>
        <w:t>。</w:t>
      </w:r>
    </w:p>
    <w:p w14:paraId="6539E612">
      <w:pPr>
        <w:pStyle w:val="72"/>
        <w:numPr>
          <w:ilvl w:val="2"/>
          <w:numId w:val="11"/>
        </w:numPr>
        <w:spacing w:before="0" w:after="0"/>
      </w:pPr>
      <w:r>
        <w:rPr>
          <w:rFonts w:hint="eastAsia" w:cs="宋体"/>
        </w:rPr>
        <w:t>施工过程中产生的错误。</w:t>
      </w:r>
    </w:p>
    <w:p w14:paraId="082FD03F">
      <w:pPr>
        <w:pStyle w:val="72"/>
        <w:numPr>
          <w:ilvl w:val="2"/>
          <w:numId w:val="11"/>
        </w:numPr>
        <w:spacing w:before="0" w:after="0"/>
      </w:pPr>
      <w:r>
        <w:t>使用的材料品种的改变</w:t>
      </w:r>
      <w:r>
        <w:rPr>
          <w:rFonts w:hint="eastAsia"/>
        </w:rPr>
        <w:t>。</w:t>
      </w:r>
    </w:p>
    <w:p w14:paraId="6021C1F1">
      <w:pPr>
        <w:pStyle w:val="72"/>
        <w:numPr>
          <w:ilvl w:val="2"/>
          <w:numId w:val="11"/>
        </w:numPr>
        <w:spacing w:before="0" w:after="0"/>
      </w:pPr>
      <w:r>
        <w:t>工程地质勘察资料不准确而引起的修改，如基础加深</w:t>
      </w:r>
      <w:r>
        <w:rPr>
          <w:rFonts w:hint="eastAsia"/>
        </w:rPr>
        <w:t>等。</w:t>
      </w:r>
    </w:p>
    <w:p w14:paraId="66408A13">
      <w:pPr>
        <w:pStyle w:val="70"/>
        <w:numPr>
          <w:ilvl w:val="1"/>
          <w:numId w:val="11"/>
        </w:numPr>
        <w:spacing w:before="156" w:after="156"/>
      </w:pPr>
      <w:r>
        <w:rPr>
          <w:rFonts w:hint="eastAsia"/>
        </w:rPr>
        <w:t>设计变更的时效性：</w:t>
      </w:r>
    </w:p>
    <w:p w14:paraId="4DD23D6A">
      <w:pPr>
        <w:pStyle w:val="72"/>
        <w:numPr>
          <w:ilvl w:val="2"/>
          <w:numId w:val="11"/>
        </w:numPr>
        <w:spacing w:before="0" w:after="0"/>
      </w:pPr>
      <w:r>
        <w:rPr>
          <w:rFonts w:hint="eastAsia"/>
        </w:rPr>
        <w:t>项目专业设计人员对设计单位、施工单位提出的设计变更在2个工作日内完成审核。</w:t>
      </w:r>
    </w:p>
    <w:p w14:paraId="3F03094A">
      <w:pPr>
        <w:pStyle w:val="72"/>
        <w:numPr>
          <w:ilvl w:val="2"/>
          <w:numId w:val="11"/>
        </w:numPr>
        <w:spacing w:before="0" w:after="0"/>
      </w:pPr>
      <w:r>
        <w:rPr>
          <w:rFonts w:hint="eastAsia"/>
        </w:rPr>
        <w:t>项目（执行）经理在收到设计变更申请表和会议纪要后</w:t>
      </w:r>
      <w:r>
        <w:t>1</w:t>
      </w:r>
      <w:r>
        <w:rPr>
          <w:rFonts w:hint="eastAsia"/>
        </w:rPr>
        <w:t>个工作日内完成审核。</w:t>
      </w:r>
    </w:p>
    <w:p w14:paraId="0C9C253D">
      <w:pPr>
        <w:pStyle w:val="72"/>
        <w:numPr>
          <w:ilvl w:val="2"/>
          <w:numId w:val="11"/>
        </w:numPr>
        <w:spacing w:before="0" w:after="0"/>
      </w:pPr>
      <w:r>
        <w:rPr>
          <w:rFonts w:hint="eastAsia"/>
        </w:rPr>
        <w:t>设计院在2个工作日内组织讨论、审核及初步方案等。</w:t>
      </w:r>
    </w:p>
    <w:p w14:paraId="0BF259A0">
      <w:pPr>
        <w:pStyle w:val="72"/>
        <w:numPr>
          <w:ilvl w:val="2"/>
          <w:numId w:val="11"/>
        </w:numPr>
        <w:spacing w:before="0" w:after="0"/>
      </w:pPr>
      <w:r>
        <w:rPr>
          <w:rFonts w:hint="eastAsia"/>
        </w:rPr>
        <w:t>项目负责人在</w:t>
      </w:r>
      <w:r>
        <w:t>1</w:t>
      </w:r>
      <w:r>
        <w:rPr>
          <w:rFonts w:hint="eastAsia"/>
        </w:rPr>
        <w:t>个工作日内完成审批。</w:t>
      </w:r>
    </w:p>
    <w:p w14:paraId="5037EDA6">
      <w:pPr>
        <w:pStyle w:val="72"/>
        <w:numPr>
          <w:ilvl w:val="2"/>
          <w:numId w:val="11"/>
        </w:numPr>
        <w:spacing w:before="0" w:after="0"/>
      </w:pPr>
      <w:r>
        <w:rPr>
          <w:rFonts w:hint="eastAsia"/>
        </w:rPr>
        <w:t>项目办造价人员在收到项目变更、初步方案后在2个工作日完成造价估算。</w:t>
      </w:r>
    </w:p>
    <w:p w14:paraId="2C72F20E">
      <w:pPr>
        <w:pStyle w:val="72"/>
        <w:numPr>
          <w:ilvl w:val="2"/>
          <w:numId w:val="11"/>
        </w:numPr>
        <w:spacing w:before="0" w:after="0"/>
      </w:pPr>
      <w:r>
        <w:rPr>
          <w:rFonts w:hint="eastAsia"/>
          <w:szCs w:val="18"/>
        </w:rPr>
        <w:t>数智化工装技术中心、项目办</w:t>
      </w:r>
      <w:r>
        <w:rPr>
          <w:rFonts w:hint="eastAsia"/>
        </w:rPr>
        <w:t>领导审</w:t>
      </w:r>
      <w:r>
        <w:t>核</w:t>
      </w:r>
      <w:r>
        <w:rPr>
          <w:rFonts w:hint="eastAsia"/>
        </w:rPr>
        <w:t>和公司项目分管领导在2个工作日完成审批。</w:t>
      </w:r>
    </w:p>
    <w:p w14:paraId="1E3FBFE0">
      <w:pPr>
        <w:pStyle w:val="72"/>
        <w:numPr>
          <w:ilvl w:val="2"/>
          <w:numId w:val="11"/>
        </w:numPr>
        <w:spacing w:before="0" w:after="0"/>
      </w:pPr>
      <w:r>
        <w:rPr>
          <w:rFonts w:hint="eastAsia"/>
        </w:rPr>
        <w:t>项目竣工验收后</w:t>
      </w:r>
      <w:r>
        <w:t>30</w:t>
      </w:r>
      <w:r>
        <w:rPr>
          <w:rFonts w:hint="eastAsia"/>
        </w:rPr>
        <w:t>日内各专业设计人员收集整理设计变更，并交项目技术负责人核对后交档案管理人员归档。</w:t>
      </w:r>
    </w:p>
    <w:p w14:paraId="41FF2003">
      <w:pPr>
        <w:pStyle w:val="72"/>
        <w:numPr>
          <w:ilvl w:val="2"/>
          <w:numId w:val="11"/>
        </w:numPr>
        <w:spacing w:before="0" w:after="0"/>
      </w:pPr>
      <w:r>
        <w:rPr>
          <w:rFonts w:hint="eastAsia"/>
        </w:rPr>
        <w:t>若现场出现紧急情况需要立即实施变更的，在变更完成后3日内补充完善流程。</w:t>
      </w:r>
    </w:p>
    <w:p w14:paraId="19535FA7">
      <w:pPr>
        <w:pStyle w:val="70"/>
        <w:numPr>
          <w:ilvl w:val="1"/>
          <w:numId w:val="11"/>
        </w:numPr>
        <w:spacing w:before="156" w:after="156"/>
      </w:pPr>
      <w:r>
        <w:rPr>
          <w:rFonts w:hint="eastAsia"/>
        </w:rPr>
        <w:t>设计变更的提出审批程序</w:t>
      </w:r>
    </w:p>
    <w:p w14:paraId="77A6A760">
      <w:pPr>
        <w:pStyle w:val="72"/>
        <w:numPr>
          <w:ilvl w:val="2"/>
          <w:numId w:val="11"/>
        </w:numPr>
        <w:spacing w:before="0" w:after="0"/>
      </w:pPr>
      <w:r>
        <w:rPr>
          <w:rFonts w:hint="eastAsia"/>
        </w:rPr>
        <w:t>设计变更提出前，必须先经施工预算。</w:t>
      </w:r>
    </w:p>
    <w:p w14:paraId="075C83AF">
      <w:pPr>
        <w:pStyle w:val="72"/>
        <w:numPr>
          <w:ilvl w:val="2"/>
          <w:numId w:val="11"/>
        </w:numPr>
        <w:spacing w:before="0" w:after="0"/>
      </w:pPr>
      <w:r>
        <w:rPr>
          <w:rFonts w:hint="eastAsia"/>
        </w:rPr>
        <w:t>设计变更须说明变更产生的背景（变更提出单位、主要参与人员、时间等）、变更原因（工艺变更、工艺要求、设备选型不当、设计漏项、设计失误、提高或降低标准等），并进行经济效益分析及造价分析。</w:t>
      </w:r>
    </w:p>
    <w:p w14:paraId="6B1E8842">
      <w:pPr>
        <w:pStyle w:val="72"/>
        <w:numPr>
          <w:ilvl w:val="2"/>
          <w:numId w:val="11"/>
        </w:numPr>
        <w:spacing w:before="0" w:after="0"/>
      </w:pPr>
      <w:r>
        <w:rPr>
          <w:rFonts w:hint="eastAsia"/>
        </w:rPr>
        <w:t>设计变更的审批程序按照造价金额进行分级审批。</w:t>
      </w:r>
    </w:p>
    <w:p w14:paraId="30FAA7BA">
      <w:pPr>
        <w:pStyle w:val="72"/>
        <w:numPr>
          <w:ilvl w:val="2"/>
          <w:numId w:val="11"/>
        </w:numPr>
        <w:spacing w:before="0" w:after="0"/>
      </w:pPr>
      <w:r>
        <w:rPr>
          <w:rFonts w:hint="eastAsia"/>
        </w:rPr>
        <w:t>建设单位提出的设计变更审批程序：</w:t>
      </w:r>
    </w:p>
    <w:p w14:paraId="28989CD1">
      <w:pPr>
        <w:pStyle w:val="73"/>
        <w:numPr>
          <w:ilvl w:val="3"/>
          <w:numId w:val="11"/>
        </w:numPr>
        <w:ind w:left="284"/>
      </w:pPr>
      <w:r>
        <w:rPr>
          <w:rFonts w:hint="eastAsia"/>
        </w:rPr>
        <w:t>项目专业设计人员组织有关单位和部门的人员讨论后提出项目设计变更内容；提交项目技术负责人审批后送交设计院审核，然后报给预决算测算设计变更造价；设计变更造价在5万元以下，由项目（执行）经理和数智化工装技术中心总经理并行审核后，项目办负责人审批。</w:t>
      </w:r>
    </w:p>
    <w:p w14:paraId="7B00F035">
      <w:pPr>
        <w:pStyle w:val="73"/>
        <w:numPr>
          <w:ilvl w:val="3"/>
          <w:numId w:val="11"/>
        </w:numPr>
        <w:ind w:left="284"/>
      </w:pPr>
      <w:r>
        <w:rPr>
          <w:rFonts w:hint="eastAsia"/>
        </w:rPr>
        <w:t>设计变更造价在5万元以上，由项目（执行）经理和数智化工装技术中心总经理并行审核后，项目办负责人审核和公司项目分管领导审批。</w:t>
      </w:r>
    </w:p>
    <w:p w14:paraId="3BBC7608">
      <w:pPr>
        <w:pStyle w:val="74"/>
        <w:numPr>
          <w:ilvl w:val="2"/>
          <w:numId w:val="11"/>
        </w:numPr>
        <w:spacing w:before="156" w:after="156"/>
        <w:rPr>
          <w:rFonts w:ascii="宋体" w:hAnsi="宋体" w:eastAsia="宋体" w:cs="宋体"/>
        </w:rPr>
      </w:pPr>
      <w:r>
        <w:rPr>
          <w:rFonts w:hint="eastAsia" w:ascii="宋体" w:hAnsi="宋体" w:eastAsia="宋体" w:cs="宋体"/>
        </w:rPr>
        <w:t>设计单位提出的设计变更审批程序：</w:t>
      </w:r>
    </w:p>
    <w:p w14:paraId="3AF9C334">
      <w:pPr>
        <w:pStyle w:val="73"/>
        <w:numPr>
          <w:ilvl w:val="3"/>
          <w:numId w:val="11"/>
        </w:numPr>
        <w:ind w:left="284"/>
      </w:pPr>
      <w:r>
        <w:rPr>
          <w:rFonts w:hint="eastAsia"/>
        </w:rPr>
        <w:t>设计单位提出项目设计变更内容；送交项目专业设计人员，项目专业设计人员组织有关单位和部门的人员讨论审核，提交项目技术负责人审批后报给预决算测算设计变更造价；设计变更造价在5万元以下，由项目（执行）经理和数智化工装技术中心总经理并行审核后，项目办领导审批。</w:t>
      </w:r>
    </w:p>
    <w:p w14:paraId="1D1DC1DE">
      <w:pPr>
        <w:pStyle w:val="73"/>
        <w:numPr>
          <w:ilvl w:val="3"/>
          <w:numId w:val="11"/>
        </w:numPr>
        <w:ind w:left="284"/>
      </w:pPr>
      <w:r>
        <w:rPr>
          <w:rFonts w:hint="eastAsia"/>
        </w:rPr>
        <w:t>设计变更造价在5万元以上，由项目（执行）经理和数智化工装技术中心总经理并行审核后，项目办负责人审核和公司项目分管领导审批。</w:t>
      </w:r>
    </w:p>
    <w:p w14:paraId="3BBB3E43">
      <w:pPr>
        <w:pStyle w:val="74"/>
        <w:numPr>
          <w:ilvl w:val="2"/>
          <w:numId w:val="11"/>
        </w:numPr>
        <w:spacing w:before="156" w:after="156"/>
        <w:rPr>
          <w:rFonts w:ascii="宋体" w:hAnsi="宋体" w:eastAsia="宋体" w:cs="宋体"/>
        </w:rPr>
      </w:pPr>
      <w:r>
        <w:rPr>
          <w:rFonts w:hint="eastAsia" w:ascii="宋体" w:hAnsi="宋体" w:eastAsia="宋体" w:cs="宋体"/>
        </w:rPr>
        <w:t>施工单位提出的设计变更审批程序：</w:t>
      </w:r>
    </w:p>
    <w:p w14:paraId="7FDF83A4">
      <w:pPr>
        <w:pStyle w:val="73"/>
        <w:numPr>
          <w:ilvl w:val="3"/>
          <w:numId w:val="11"/>
        </w:numPr>
        <w:ind w:left="284"/>
      </w:pPr>
      <w:r>
        <w:rPr>
          <w:rFonts w:hint="eastAsia"/>
        </w:rPr>
        <w:t>施工单位提出项目设计变更内容；送交项目专业设计人员，项目专业设计人员组织有关单位和部门的人员讨论审核，提交项目技术负责人审批后送交设计院审核；然后报给预决算测算设计变更造价；设计变更造价在5万元以下，由项目（执行）经理和数智化工装技术中心总经理并行审核后，项目办负责人审批。</w:t>
      </w:r>
    </w:p>
    <w:p w14:paraId="1BFC9DDD">
      <w:pPr>
        <w:pStyle w:val="73"/>
        <w:numPr>
          <w:ilvl w:val="3"/>
          <w:numId w:val="11"/>
        </w:numPr>
        <w:ind w:left="284"/>
      </w:pPr>
      <w:r>
        <w:rPr>
          <w:rFonts w:hint="eastAsia"/>
        </w:rPr>
        <w:t>设计变更造价在5万元以上，由项目（执行）经理和数智化工装技术中心总经理并行审核后，项目办负责人审核和公司项目分管领导审批。</w:t>
      </w:r>
    </w:p>
    <w:bookmarkEnd w:id="563"/>
    <w:p w14:paraId="56A0C42F">
      <w:pPr>
        <w:pStyle w:val="68"/>
        <w:numPr>
          <w:ilvl w:val="0"/>
          <w:numId w:val="11"/>
        </w:numPr>
        <w:spacing w:before="312" w:after="312"/>
        <w:rPr>
          <w:szCs w:val="21"/>
        </w:rPr>
      </w:pPr>
      <w:r>
        <w:rPr>
          <w:rFonts w:hint="eastAsia"/>
          <w:szCs w:val="21"/>
        </w:rPr>
        <w:t>监督管理要求</w:t>
      </w:r>
    </w:p>
    <w:p w14:paraId="407F3DC9">
      <w:pPr>
        <w:pStyle w:val="70"/>
        <w:numPr>
          <w:ilvl w:val="1"/>
          <w:numId w:val="11"/>
        </w:numPr>
        <w:spacing w:before="156" w:after="156"/>
        <w:rPr>
          <w:rFonts w:ascii="宋体" w:hAnsi="宋体" w:eastAsia="宋体" w:cs="宋体"/>
        </w:rPr>
      </w:pPr>
      <w:bookmarkStart w:id="572" w:name="_Hlk153955397"/>
      <w:r>
        <w:rPr>
          <w:rFonts w:hint="eastAsia" w:ascii="宋体" w:hAnsi="宋体" w:eastAsia="宋体" w:cs="宋体"/>
        </w:rPr>
        <w:t>一般变更：由项目（执行）经理根据变更原因提出考核建议，由项目办领导审核，并经公司项目分管领导审批后，出具考核单。考核金额为从当月绩效中减发100-500元/次。完善手续后提交人力资源部进行考核。</w:t>
      </w:r>
    </w:p>
    <w:p w14:paraId="58061343">
      <w:pPr>
        <w:pStyle w:val="70"/>
        <w:numPr>
          <w:ilvl w:val="1"/>
          <w:numId w:val="11"/>
        </w:numPr>
        <w:spacing w:before="156" w:after="156"/>
        <w:rPr>
          <w:rFonts w:ascii="宋体" w:hAnsi="宋体" w:eastAsia="宋体" w:cs="宋体"/>
        </w:rPr>
      </w:pPr>
      <w:r>
        <w:rPr>
          <w:rFonts w:hint="eastAsia" w:ascii="宋体" w:hAnsi="宋体" w:eastAsia="宋体" w:cs="宋体"/>
        </w:rPr>
        <w:t>重大变更：由项目（执行）经理根据变更原因判定是否提报考核，并提出考核建议，由项目办领导审核，并经公司项目分管领导审批后，出具考核单。考核责任部门绩效2000-10000元/次，同时考核相关责任人200-1000元/次。完善手续后提交人力资源部进行考核。</w:t>
      </w:r>
    </w:p>
    <w:p w14:paraId="1ADC5A05">
      <w:pPr>
        <w:pStyle w:val="70"/>
        <w:numPr>
          <w:ilvl w:val="1"/>
          <w:numId w:val="11"/>
        </w:numPr>
        <w:spacing w:before="156" w:after="156"/>
        <w:rPr>
          <w:rFonts w:ascii="宋体" w:hAnsi="宋体" w:eastAsia="宋体" w:cs="宋体"/>
        </w:rPr>
      </w:pPr>
      <w:r>
        <w:rPr>
          <w:rFonts w:hint="eastAsia" w:ascii="宋体" w:hAnsi="宋体" w:eastAsia="宋体" w:cs="宋体"/>
        </w:rPr>
        <w:t>时效性考核：如果没有在规定的时间内完成，考核100元/次。</w:t>
      </w:r>
    </w:p>
    <w:p w14:paraId="7F3AF72A">
      <w:pPr>
        <w:pStyle w:val="70"/>
        <w:numPr>
          <w:ilvl w:val="1"/>
          <w:numId w:val="11"/>
        </w:numPr>
        <w:spacing w:before="156" w:after="156"/>
        <w:rPr>
          <w:rFonts w:ascii="宋体" w:hAnsi="宋体" w:eastAsia="宋体" w:cs="宋体"/>
        </w:rPr>
      </w:pPr>
      <w:r>
        <w:rPr>
          <w:rFonts w:hint="eastAsia" w:ascii="宋体" w:hAnsi="宋体" w:eastAsia="宋体" w:cs="宋体"/>
        </w:rPr>
        <w:t>若同时进行了项目变更和设计变更，项目变更时已进行了考核，则不重复考核。</w:t>
      </w:r>
    </w:p>
    <w:p w14:paraId="620AF534">
      <w:pPr>
        <w:pStyle w:val="70"/>
        <w:numPr>
          <w:ilvl w:val="1"/>
          <w:numId w:val="11"/>
        </w:numPr>
        <w:spacing w:before="156" w:after="156"/>
        <w:rPr>
          <w:rFonts w:ascii="宋体" w:hAnsi="宋体" w:eastAsia="宋体" w:cs="宋体"/>
        </w:rPr>
      </w:pPr>
      <w:r>
        <w:rPr>
          <w:rFonts w:hint="eastAsia" w:ascii="宋体" w:hAnsi="宋体" w:eastAsia="宋体" w:cs="宋体"/>
        </w:rPr>
        <w:t>由设计院发起的设计变更，对公司造成实质性损失的，由数智化工装技术中心相关人员依据合同约定提出考核。</w:t>
      </w:r>
    </w:p>
    <w:p w14:paraId="626CEE72">
      <w:pPr>
        <w:pStyle w:val="70"/>
        <w:numPr>
          <w:ilvl w:val="1"/>
          <w:numId w:val="11"/>
        </w:numPr>
        <w:spacing w:before="156" w:after="156"/>
        <w:rPr>
          <w:rFonts w:ascii="宋体" w:hAnsi="宋体" w:eastAsia="宋体" w:cs="宋体"/>
        </w:rPr>
      </w:pPr>
      <w:r>
        <w:rPr>
          <w:rFonts w:hint="eastAsia" w:ascii="宋体" w:hAnsi="宋体" w:eastAsia="宋体" w:cs="宋体"/>
        </w:rPr>
        <w:t>由施工单位发起的设计变更，对公司造成实质性损失的，由项目办相关人员依据合同约定提出考核。</w:t>
      </w:r>
    </w:p>
    <w:bookmarkEnd w:id="564"/>
    <w:bookmarkEnd w:id="565"/>
    <w:bookmarkEnd w:id="566"/>
    <w:bookmarkEnd w:id="567"/>
    <w:bookmarkEnd w:id="568"/>
    <w:bookmarkEnd w:id="569"/>
    <w:bookmarkEnd w:id="570"/>
    <w:bookmarkEnd w:id="571"/>
    <w:bookmarkEnd w:id="572"/>
    <w:p w14:paraId="01A4B868">
      <w:pPr>
        <w:jc w:val="center"/>
      </w:pPr>
      <w:bookmarkStart w:id="573" w:name="_Toc21804"/>
      <w:bookmarkStart w:id="574" w:name="_Toc9166"/>
      <w:bookmarkStart w:id="575" w:name="_Toc20393"/>
    </w:p>
    <w:p w14:paraId="4375535F">
      <w:pPr>
        <w:jc w:val="center"/>
      </w:pPr>
    </w:p>
    <w:p w14:paraId="668B792E">
      <w:pPr>
        <w:jc w:val="center"/>
      </w:pPr>
    </w:p>
    <w:p w14:paraId="54CBA6F6">
      <w:pPr>
        <w:jc w:val="center"/>
      </w:pPr>
    </w:p>
    <w:p w14:paraId="226EAB7B">
      <w:pPr>
        <w:jc w:val="center"/>
      </w:pPr>
    </w:p>
    <w:p w14:paraId="29C6792C">
      <w:pPr>
        <w:jc w:val="center"/>
      </w:pPr>
    </w:p>
    <w:p w14:paraId="5A9D5EDC"/>
    <w:p w14:paraId="595801D1"/>
    <w:p w14:paraId="7031E950">
      <w:pPr>
        <w:jc w:val="center"/>
      </w:pPr>
      <w:r>
        <w:br w:type="page"/>
      </w:r>
    </w:p>
    <w:p w14:paraId="1052B899">
      <w:pPr>
        <w:jc w:val="center"/>
        <w:rPr>
          <w:sz w:val="36"/>
          <w:szCs w:val="36"/>
        </w:rPr>
      </w:pPr>
      <w:r>
        <w:rPr>
          <w:rFonts w:hint="eastAsia"/>
        </w:rPr>
        <w:t>附录A</w:t>
      </w:r>
      <w:r>
        <w:br w:type="textWrapping"/>
      </w:r>
      <w:r>
        <w:rPr>
          <w:rFonts w:hint="eastAsia"/>
        </w:rPr>
        <w:t>（规范性附录）</w:t>
      </w:r>
      <w:r>
        <w:br w:type="textWrapping"/>
      </w:r>
      <w:r>
        <w:rPr>
          <w:rFonts w:hint="eastAsia"/>
          <w:szCs w:val="21"/>
        </w:rPr>
        <w:t>项目设计变更纪要</w:t>
      </w:r>
    </w:p>
    <w:p w14:paraId="5FA2C8D2">
      <w:pPr>
        <w:pStyle w:val="63"/>
        <w:jc w:val="left"/>
        <w:rPr>
          <w:szCs w:val="21"/>
          <w:u w:val="single"/>
        </w:rPr>
      </w:pPr>
      <w:r>
        <w:rPr>
          <w:rFonts w:hint="eastAsia"/>
          <w:szCs w:val="21"/>
        </w:rPr>
        <w:t>单位：</w:t>
      </w:r>
      <w:r>
        <w:rPr>
          <w:rFonts w:hint="eastAsia"/>
          <w:szCs w:val="21"/>
          <w:u w:val="single"/>
        </w:rPr>
        <w:t xml:space="preserve">           </w:t>
      </w:r>
      <w:r>
        <w:rPr>
          <w:szCs w:val="21"/>
          <w:u w:val="single"/>
        </w:rPr>
        <w:t xml:space="preserve">        </w:t>
      </w:r>
      <w:r>
        <w:rPr>
          <w:szCs w:val="21"/>
        </w:rPr>
        <w:t xml:space="preserve">   </w:t>
      </w:r>
      <w:r>
        <w:rPr>
          <w:rFonts w:hint="eastAsia"/>
          <w:szCs w:val="21"/>
        </w:rPr>
        <w:t>记录编号</w:t>
      </w:r>
      <w:r>
        <w:rPr>
          <w:rFonts w:hint="eastAsia"/>
          <w:szCs w:val="21"/>
          <w:u w:val="single"/>
        </w:rPr>
        <w:t xml:space="preserve">：J/SZ </w:t>
      </w:r>
      <w:r>
        <w:rPr>
          <w:szCs w:val="21"/>
          <w:u w:val="single"/>
        </w:rPr>
        <w:t>S05.007.3-1</w:t>
      </w:r>
      <w:r>
        <w:rPr>
          <w:szCs w:val="21"/>
        </w:rPr>
        <w:t xml:space="preserve">               </w:t>
      </w:r>
      <w:r>
        <w:rPr>
          <w:rFonts w:hint="eastAsia"/>
          <w:szCs w:val="21"/>
        </w:rPr>
        <w:t xml:space="preserve">保存期 </w:t>
      </w:r>
      <w:r>
        <w:rPr>
          <w:rFonts w:hint="eastAsia"/>
          <w:szCs w:val="21"/>
          <w:u w:val="single"/>
        </w:rPr>
        <w:t>长期</w:t>
      </w:r>
    </w:p>
    <w:tbl>
      <w:tblPr>
        <w:tblStyle w:val="20"/>
        <w:tblW w:w="90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704"/>
      </w:tblGrid>
      <w:tr w14:paraId="6968A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275DC87C">
            <w:pPr>
              <w:jc w:val="center"/>
              <w:rPr>
                <w:rFonts w:ascii="宋体"/>
                <w:szCs w:val="21"/>
              </w:rPr>
            </w:pPr>
            <w:r>
              <w:rPr>
                <w:rFonts w:hint="eastAsia" w:ascii="宋体"/>
                <w:szCs w:val="21"/>
              </w:rPr>
              <w:t>项目名称</w:t>
            </w:r>
          </w:p>
        </w:tc>
        <w:tc>
          <w:tcPr>
            <w:tcW w:w="6965" w:type="dxa"/>
            <w:gridSpan w:val="3"/>
          </w:tcPr>
          <w:p w14:paraId="6AA2C292">
            <w:pPr>
              <w:jc w:val="center"/>
              <w:rPr>
                <w:rFonts w:ascii="宋体"/>
                <w:szCs w:val="21"/>
              </w:rPr>
            </w:pPr>
          </w:p>
        </w:tc>
      </w:tr>
      <w:tr w14:paraId="6DC01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013FDD42">
            <w:pPr>
              <w:jc w:val="center"/>
              <w:rPr>
                <w:rFonts w:ascii="宋体"/>
                <w:szCs w:val="21"/>
              </w:rPr>
            </w:pPr>
            <w:r>
              <w:rPr>
                <w:rFonts w:hint="eastAsia" w:ascii="宋体"/>
                <w:szCs w:val="21"/>
              </w:rPr>
              <w:t>主 持 人</w:t>
            </w:r>
          </w:p>
        </w:tc>
        <w:tc>
          <w:tcPr>
            <w:tcW w:w="2130" w:type="dxa"/>
          </w:tcPr>
          <w:p w14:paraId="394FEA74">
            <w:pPr>
              <w:jc w:val="center"/>
              <w:rPr>
                <w:rFonts w:ascii="宋体"/>
                <w:szCs w:val="21"/>
              </w:rPr>
            </w:pPr>
          </w:p>
        </w:tc>
        <w:tc>
          <w:tcPr>
            <w:tcW w:w="2131" w:type="dxa"/>
          </w:tcPr>
          <w:p w14:paraId="10B3E1FE">
            <w:pPr>
              <w:jc w:val="center"/>
              <w:rPr>
                <w:rFonts w:ascii="宋体"/>
                <w:szCs w:val="21"/>
              </w:rPr>
            </w:pPr>
            <w:r>
              <w:rPr>
                <w:rFonts w:hint="eastAsia" w:ascii="宋体"/>
                <w:szCs w:val="21"/>
              </w:rPr>
              <w:t>组织部门</w:t>
            </w:r>
          </w:p>
        </w:tc>
        <w:tc>
          <w:tcPr>
            <w:tcW w:w="2704" w:type="dxa"/>
          </w:tcPr>
          <w:p w14:paraId="4AEB7C66">
            <w:pPr>
              <w:jc w:val="center"/>
              <w:rPr>
                <w:rFonts w:ascii="宋体"/>
                <w:szCs w:val="21"/>
              </w:rPr>
            </w:pPr>
          </w:p>
        </w:tc>
      </w:tr>
      <w:tr w14:paraId="4EF0E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0C9B044F">
            <w:pPr>
              <w:jc w:val="center"/>
              <w:rPr>
                <w:rFonts w:ascii="宋体"/>
                <w:szCs w:val="21"/>
              </w:rPr>
            </w:pPr>
            <w:r>
              <w:rPr>
                <w:rFonts w:hint="eastAsia" w:ascii="宋体"/>
                <w:szCs w:val="21"/>
              </w:rPr>
              <w:t>会议时间</w:t>
            </w:r>
          </w:p>
        </w:tc>
        <w:tc>
          <w:tcPr>
            <w:tcW w:w="2130" w:type="dxa"/>
          </w:tcPr>
          <w:p w14:paraId="1B76867B">
            <w:pPr>
              <w:jc w:val="center"/>
              <w:rPr>
                <w:rFonts w:ascii="宋体"/>
                <w:szCs w:val="21"/>
              </w:rPr>
            </w:pPr>
          </w:p>
        </w:tc>
        <w:tc>
          <w:tcPr>
            <w:tcW w:w="2131" w:type="dxa"/>
          </w:tcPr>
          <w:p w14:paraId="220F55AC">
            <w:pPr>
              <w:jc w:val="center"/>
              <w:rPr>
                <w:rFonts w:ascii="宋体"/>
                <w:szCs w:val="21"/>
              </w:rPr>
            </w:pPr>
            <w:r>
              <w:rPr>
                <w:rFonts w:hint="eastAsia" w:ascii="宋体"/>
                <w:szCs w:val="21"/>
              </w:rPr>
              <w:t>会议地点</w:t>
            </w:r>
          </w:p>
        </w:tc>
        <w:tc>
          <w:tcPr>
            <w:tcW w:w="2704" w:type="dxa"/>
          </w:tcPr>
          <w:p w14:paraId="44206717">
            <w:pPr>
              <w:jc w:val="center"/>
              <w:rPr>
                <w:rFonts w:ascii="宋体"/>
                <w:szCs w:val="21"/>
              </w:rPr>
            </w:pPr>
          </w:p>
        </w:tc>
      </w:tr>
      <w:tr w14:paraId="03086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25A32E2A">
            <w:pPr>
              <w:jc w:val="center"/>
              <w:rPr>
                <w:rFonts w:ascii="宋体"/>
                <w:szCs w:val="21"/>
              </w:rPr>
            </w:pPr>
            <w:r>
              <w:rPr>
                <w:rFonts w:hint="eastAsia" w:ascii="宋体"/>
                <w:szCs w:val="21"/>
              </w:rPr>
              <w:t>设计变更名称</w:t>
            </w:r>
          </w:p>
        </w:tc>
        <w:tc>
          <w:tcPr>
            <w:tcW w:w="6965" w:type="dxa"/>
            <w:gridSpan w:val="3"/>
          </w:tcPr>
          <w:p w14:paraId="25719A19">
            <w:pPr>
              <w:jc w:val="center"/>
              <w:rPr>
                <w:rFonts w:ascii="宋体"/>
                <w:szCs w:val="21"/>
              </w:rPr>
            </w:pPr>
          </w:p>
        </w:tc>
      </w:tr>
      <w:tr w14:paraId="1AFF6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9095" w:type="dxa"/>
            <w:gridSpan w:val="4"/>
          </w:tcPr>
          <w:p w14:paraId="0F84E4AF">
            <w:pPr>
              <w:rPr>
                <w:rFonts w:ascii="宋体"/>
                <w:szCs w:val="21"/>
              </w:rPr>
            </w:pPr>
            <w:r>
              <w:rPr>
                <w:rFonts w:hint="eastAsia" w:ascii="宋体"/>
                <w:szCs w:val="21"/>
              </w:rPr>
              <w:t>参会人员签字：</w:t>
            </w:r>
          </w:p>
          <w:p w14:paraId="270DD0F0">
            <w:pPr>
              <w:jc w:val="left"/>
              <w:rPr>
                <w:rFonts w:ascii="宋体"/>
                <w:szCs w:val="21"/>
              </w:rPr>
            </w:pPr>
          </w:p>
          <w:p w14:paraId="23193B71">
            <w:pPr>
              <w:rPr>
                <w:rFonts w:ascii="宋体"/>
                <w:szCs w:val="21"/>
              </w:rPr>
            </w:pPr>
          </w:p>
          <w:p w14:paraId="08891629">
            <w:pPr>
              <w:rPr>
                <w:rFonts w:ascii="宋体"/>
                <w:szCs w:val="21"/>
              </w:rPr>
            </w:pPr>
          </w:p>
          <w:p w14:paraId="2B7BE2B2">
            <w:pPr>
              <w:rPr>
                <w:rFonts w:ascii="宋体"/>
                <w:szCs w:val="21"/>
              </w:rPr>
            </w:pPr>
          </w:p>
          <w:p w14:paraId="208DDC5B">
            <w:pPr>
              <w:rPr>
                <w:rFonts w:ascii="宋体"/>
                <w:szCs w:val="21"/>
              </w:rPr>
            </w:pPr>
          </w:p>
          <w:p w14:paraId="0D086F96">
            <w:pPr>
              <w:rPr>
                <w:rFonts w:ascii="宋体"/>
                <w:szCs w:val="21"/>
              </w:rPr>
            </w:pPr>
          </w:p>
        </w:tc>
      </w:tr>
      <w:tr w14:paraId="7795D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5" w:type="dxa"/>
            <w:gridSpan w:val="4"/>
          </w:tcPr>
          <w:p w14:paraId="20B39607">
            <w:pPr>
              <w:rPr>
                <w:rFonts w:ascii="宋体"/>
                <w:szCs w:val="21"/>
              </w:rPr>
            </w:pPr>
            <w:r>
              <w:rPr>
                <w:rFonts w:hint="eastAsia" w:ascii="宋体"/>
                <w:szCs w:val="21"/>
              </w:rPr>
              <w:t>设计变更会议内容：</w:t>
            </w:r>
          </w:p>
          <w:p w14:paraId="4C25FDFE">
            <w:pPr>
              <w:rPr>
                <w:rFonts w:ascii="宋体"/>
                <w:b/>
                <w:szCs w:val="21"/>
              </w:rPr>
            </w:pPr>
          </w:p>
          <w:p w14:paraId="4BE488D8">
            <w:pPr>
              <w:rPr>
                <w:rFonts w:ascii="宋体"/>
                <w:b/>
                <w:szCs w:val="21"/>
              </w:rPr>
            </w:pPr>
          </w:p>
          <w:p w14:paraId="77DFE2D1">
            <w:pPr>
              <w:rPr>
                <w:rFonts w:ascii="宋体"/>
                <w:b/>
                <w:szCs w:val="21"/>
              </w:rPr>
            </w:pPr>
          </w:p>
          <w:p w14:paraId="438985ED">
            <w:pPr>
              <w:rPr>
                <w:rFonts w:ascii="宋体"/>
                <w:b/>
                <w:szCs w:val="21"/>
              </w:rPr>
            </w:pPr>
          </w:p>
          <w:p w14:paraId="6345E48E">
            <w:pPr>
              <w:rPr>
                <w:rFonts w:ascii="宋体"/>
                <w:b/>
                <w:szCs w:val="21"/>
              </w:rPr>
            </w:pPr>
          </w:p>
          <w:p w14:paraId="396042F3">
            <w:pPr>
              <w:rPr>
                <w:rFonts w:ascii="宋体"/>
                <w:b/>
                <w:szCs w:val="21"/>
              </w:rPr>
            </w:pPr>
          </w:p>
          <w:p w14:paraId="1AC3D662">
            <w:pPr>
              <w:rPr>
                <w:rFonts w:ascii="宋体"/>
                <w:b/>
                <w:szCs w:val="21"/>
              </w:rPr>
            </w:pPr>
          </w:p>
          <w:p w14:paraId="4E5D0D5A">
            <w:pPr>
              <w:rPr>
                <w:rFonts w:ascii="宋体"/>
                <w:b/>
                <w:szCs w:val="21"/>
              </w:rPr>
            </w:pPr>
          </w:p>
          <w:p w14:paraId="06355D46">
            <w:pPr>
              <w:rPr>
                <w:rFonts w:ascii="宋体"/>
                <w:b/>
                <w:szCs w:val="21"/>
              </w:rPr>
            </w:pPr>
          </w:p>
          <w:p w14:paraId="05EB20CA">
            <w:pPr>
              <w:rPr>
                <w:rFonts w:ascii="宋体"/>
                <w:b/>
                <w:szCs w:val="21"/>
              </w:rPr>
            </w:pPr>
          </w:p>
          <w:p w14:paraId="57CAFFA3">
            <w:pPr>
              <w:rPr>
                <w:rFonts w:ascii="宋体"/>
                <w:b/>
                <w:szCs w:val="21"/>
              </w:rPr>
            </w:pPr>
          </w:p>
          <w:p w14:paraId="1C721C99">
            <w:pPr>
              <w:rPr>
                <w:rFonts w:ascii="宋体"/>
                <w:b/>
                <w:szCs w:val="21"/>
              </w:rPr>
            </w:pPr>
          </w:p>
          <w:p w14:paraId="0AA0EE0C">
            <w:pPr>
              <w:rPr>
                <w:rFonts w:ascii="宋体"/>
                <w:b/>
                <w:szCs w:val="21"/>
              </w:rPr>
            </w:pPr>
          </w:p>
          <w:p w14:paraId="3EE00ADF">
            <w:pPr>
              <w:rPr>
                <w:rFonts w:ascii="宋体"/>
                <w:b/>
                <w:szCs w:val="21"/>
              </w:rPr>
            </w:pPr>
          </w:p>
          <w:p w14:paraId="56184352">
            <w:pPr>
              <w:rPr>
                <w:rFonts w:ascii="宋体"/>
                <w:b/>
                <w:szCs w:val="21"/>
              </w:rPr>
            </w:pPr>
          </w:p>
          <w:p w14:paraId="05E5DA53">
            <w:pPr>
              <w:ind w:right="240"/>
              <w:jc w:val="right"/>
              <w:rPr>
                <w:rFonts w:ascii="宋体"/>
                <w:szCs w:val="21"/>
              </w:rPr>
            </w:pPr>
          </w:p>
        </w:tc>
      </w:tr>
      <w:tr w14:paraId="4BC5D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30" w:type="dxa"/>
            <w:vAlign w:val="center"/>
          </w:tcPr>
          <w:p w14:paraId="30D8BEDA">
            <w:pPr>
              <w:jc w:val="center"/>
              <w:rPr>
                <w:rFonts w:ascii="宋体"/>
                <w:szCs w:val="21"/>
              </w:rPr>
            </w:pPr>
            <w:r>
              <w:rPr>
                <w:rFonts w:hint="eastAsia" w:ascii="宋体"/>
                <w:szCs w:val="21"/>
              </w:rPr>
              <w:t>记录人</w:t>
            </w:r>
          </w:p>
        </w:tc>
        <w:tc>
          <w:tcPr>
            <w:tcW w:w="2130" w:type="dxa"/>
            <w:vAlign w:val="center"/>
          </w:tcPr>
          <w:p w14:paraId="7450F6C0">
            <w:pPr>
              <w:rPr>
                <w:rFonts w:ascii="宋体"/>
                <w:szCs w:val="21"/>
              </w:rPr>
            </w:pPr>
          </w:p>
        </w:tc>
        <w:tc>
          <w:tcPr>
            <w:tcW w:w="2131" w:type="dxa"/>
            <w:vAlign w:val="center"/>
          </w:tcPr>
          <w:p w14:paraId="70408D0F">
            <w:pPr>
              <w:jc w:val="center"/>
              <w:rPr>
                <w:rFonts w:ascii="宋体"/>
                <w:szCs w:val="21"/>
              </w:rPr>
            </w:pPr>
            <w:r>
              <w:rPr>
                <w:rFonts w:hint="eastAsia" w:ascii="宋体"/>
                <w:szCs w:val="21"/>
              </w:rPr>
              <w:t>审核</w:t>
            </w:r>
          </w:p>
        </w:tc>
        <w:tc>
          <w:tcPr>
            <w:tcW w:w="2704" w:type="dxa"/>
            <w:vAlign w:val="center"/>
          </w:tcPr>
          <w:p w14:paraId="17028576">
            <w:pPr>
              <w:rPr>
                <w:rFonts w:ascii="宋体"/>
                <w:szCs w:val="21"/>
              </w:rPr>
            </w:pPr>
          </w:p>
        </w:tc>
      </w:tr>
    </w:tbl>
    <w:p w14:paraId="7D320D51">
      <w:pPr>
        <w:jc w:val="center"/>
      </w:pPr>
    </w:p>
    <w:p w14:paraId="667EC983">
      <w:pPr>
        <w:jc w:val="center"/>
      </w:pPr>
    </w:p>
    <w:p w14:paraId="203D2A26">
      <w:pPr>
        <w:jc w:val="center"/>
      </w:pPr>
    </w:p>
    <w:p w14:paraId="3FE759C3"/>
    <w:p w14:paraId="46249013">
      <w:pPr>
        <w:jc w:val="center"/>
      </w:pPr>
    </w:p>
    <w:p w14:paraId="0DC59107">
      <w:pPr>
        <w:jc w:val="center"/>
      </w:pPr>
    </w:p>
    <w:bookmarkEnd w:id="573"/>
    <w:bookmarkEnd w:id="574"/>
    <w:bookmarkEnd w:id="575"/>
    <w:p w14:paraId="452DEE41">
      <w:pPr>
        <w:jc w:val="center"/>
      </w:pPr>
      <w:bookmarkStart w:id="576" w:name="_Toc12503"/>
      <w:bookmarkEnd w:id="576"/>
      <w:bookmarkStart w:id="577" w:name="_Toc6085"/>
      <w:bookmarkEnd w:id="577"/>
      <w:bookmarkStart w:id="578" w:name="_Toc7361"/>
      <w:bookmarkEnd w:id="578"/>
      <w:bookmarkStart w:id="579" w:name="_Toc17657"/>
      <w:bookmarkEnd w:id="579"/>
      <w:r>
        <w:rPr>
          <w:rFonts w:hint="eastAsia"/>
        </w:rPr>
        <w:t>附录B</w:t>
      </w:r>
      <w:r>
        <w:br w:type="textWrapping"/>
      </w:r>
      <w:r>
        <w:rPr>
          <w:rFonts w:hint="eastAsia"/>
        </w:rPr>
        <w:t>（规范性附录）</w:t>
      </w:r>
    </w:p>
    <w:p w14:paraId="0BCDB4BF">
      <w:pPr>
        <w:jc w:val="center"/>
      </w:pPr>
      <w:r>
        <w:rPr>
          <w:rFonts w:hint="eastAsia"/>
        </w:rPr>
        <w:t>工程设计变更申请审批表（建设单位）</w:t>
      </w:r>
    </w:p>
    <w:p w14:paraId="2B285724">
      <w:pPr>
        <w:pStyle w:val="63"/>
        <w:ind w:firstLine="630" w:firstLineChars="300"/>
        <w:rPr>
          <w:szCs w:val="21"/>
          <w:u w:val="single"/>
        </w:rPr>
      </w:pPr>
      <w:r>
        <w:rPr>
          <w:rFonts w:hint="eastAsia"/>
        </w:rPr>
        <w:t>合同编号</w:t>
      </w:r>
      <w:r>
        <w:rPr>
          <w:rFonts w:hint="eastAsia"/>
          <w:szCs w:val="21"/>
          <w:u w:val="single"/>
        </w:rPr>
        <w:t xml:space="preserve">           </w:t>
      </w:r>
      <w:r>
        <w:rPr>
          <w:szCs w:val="21"/>
          <w:u w:val="single"/>
        </w:rPr>
        <w:t xml:space="preserve">     </w:t>
      </w:r>
      <w:r>
        <w:rPr>
          <w:szCs w:val="21"/>
        </w:rPr>
        <w:t xml:space="preserve">   </w:t>
      </w:r>
      <w:r>
        <w:rPr>
          <w:rFonts w:hint="eastAsia"/>
          <w:szCs w:val="21"/>
        </w:rPr>
        <w:t>记录编号</w:t>
      </w:r>
      <w:r>
        <w:rPr>
          <w:rFonts w:hint="eastAsia"/>
          <w:szCs w:val="21"/>
          <w:u w:val="single"/>
        </w:rPr>
        <w:t xml:space="preserve">：J/SZ </w:t>
      </w:r>
      <w:r>
        <w:rPr>
          <w:szCs w:val="21"/>
          <w:u w:val="single"/>
        </w:rPr>
        <w:t>S05.007.3-</w:t>
      </w:r>
      <w:r>
        <w:rPr>
          <w:rFonts w:hint="eastAsia"/>
          <w:szCs w:val="21"/>
          <w:u w:val="single"/>
        </w:rPr>
        <w:t>2</w:t>
      </w:r>
      <w:r>
        <w:rPr>
          <w:szCs w:val="21"/>
          <w:u w:val="single"/>
        </w:rPr>
        <w:t xml:space="preserve"> </w:t>
      </w:r>
      <w:r>
        <w:rPr>
          <w:szCs w:val="21"/>
        </w:rPr>
        <w:t xml:space="preserve">               </w:t>
      </w:r>
      <w:r>
        <w:rPr>
          <w:rFonts w:hint="eastAsia"/>
          <w:szCs w:val="21"/>
        </w:rPr>
        <w:t>保存期</w:t>
      </w:r>
      <w:r>
        <w:rPr>
          <w:rFonts w:hint="eastAsia"/>
          <w:szCs w:val="21"/>
          <w:u w:val="single"/>
        </w:rPr>
        <w:t xml:space="preserve"> 长期</w:t>
      </w:r>
    </w:p>
    <w:tbl>
      <w:tblPr>
        <w:tblStyle w:val="20"/>
        <w:tblW w:w="92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9"/>
        <w:gridCol w:w="1605"/>
        <w:gridCol w:w="48"/>
        <w:gridCol w:w="1241"/>
        <w:gridCol w:w="1565"/>
        <w:gridCol w:w="2793"/>
      </w:tblGrid>
      <w:tr w14:paraId="7A258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949" w:type="dxa"/>
            <w:tcBorders>
              <w:top w:val="single" w:color="auto" w:sz="12" w:space="0"/>
              <w:left w:val="single" w:color="auto" w:sz="12" w:space="0"/>
              <w:bottom w:val="single" w:color="auto" w:sz="6" w:space="0"/>
              <w:right w:val="single" w:color="auto" w:sz="6" w:space="0"/>
            </w:tcBorders>
            <w:vAlign w:val="center"/>
          </w:tcPr>
          <w:p w14:paraId="564AA0E4">
            <w:pPr>
              <w:snapToGrid w:val="0"/>
              <w:jc w:val="center"/>
              <w:rPr>
                <w:sz w:val="24"/>
              </w:rPr>
            </w:pPr>
            <w:r>
              <w:rPr>
                <w:rFonts w:hint="eastAsia"/>
                <w:sz w:val="24"/>
              </w:rPr>
              <w:t>工程名称</w:t>
            </w:r>
          </w:p>
        </w:tc>
        <w:tc>
          <w:tcPr>
            <w:tcW w:w="2894" w:type="dxa"/>
            <w:gridSpan w:val="3"/>
            <w:tcBorders>
              <w:top w:val="single" w:color="auto" w:sz="12" w:space="0"/>
              <w:left w:val="single" w:color="auto" w:sz="6" w:space="0"/>
              <w:bottom w:val="single" w:color="auto" w:sz="6" w:space="0"/>
              <w:right w:val="single" w:color="auto" w:sz="6" w:space="0"/>
            </w:tcBorders>
            <w:vAlign w:val="center"/>
          </w:tcPr>
          <w:p w14:paraId="3024BEC4">
            <w:pPr>
              <w:snapToGrid w:val="0"/>
              <w:jc w:val="center"/>
              <w:rPr>
                <w:sz w:val="24"/>
              </w:rPr>
            </w:pPr>
          </w:p>
        </w:tc>
        <w:tc>
          <w:tcPr>
            <w:tcW w:w="1565" w:type="dxa"/>
            <w:tcBorders>
              <w:top w:val="single" w:color="auto" w:sz="12" w:space="0"/>
              <w:left w:val="single" w:color="auto" w:sz="6" w:space="0"/>
              <w:bottom w:val="single" w:color="auto" w:sz="6" w:space="0"/>
              <w:right w:val="single" w:color="auto" w:sz="6" w:space="0"/>
            </w:tcBorders>
            <w:vAlign w:val="center"/>
          </w:tcPr>
          <w:p w14:paraId="64C3FAB9">
            <w:pPr>
              <w:snapToGrid w:val="0"/>
              <w:jc w:val="center"/>
              <w:rPr>
                <w:sz w:val="24"/>
              </w:rPr>
            </w:pPr>
            <w:r>
              <w:rPr>
                <w:rFonts w:hint="eastAsia"/>
                <w:sz w:val="24"/>
              </w:rPr>
              <w:t>变更部位</w:t>
            </w:r>
          </w:p>
        </w:tc>
        <w:tc>
          <w:tcPr>
            <w:tcW w:w="2793" w:type="dxa"/>
            <w:tcBorders>
              <w:top w:val="single" w:color="auto" w:sz="12" w:space="0"/>
              <w:left w:val="single" w:color="auto" w:sz="6" w:space="0"/>
              <w:bottom w:val="single" w:color="auto" w:sz="6" w:space="0"/>
              <w:right w:val="single" w:color="auto" w:sz="12" w:space="0"/>
            </w:tcBorders>
            <w:vAlign w:val="center"/>
          </w:tcPr>
          <w:p w14:paraId="0DFC67FB">
            <w:pPr>
              <w:snapToGrid w:val="0"/>
              <w:jc w:val="center"/>
              <w:rPr>
                <w:sz w:val="24"/>
              </w:rPr>
            </w:pPr>
          </w:p>
        </w:tc>
      </w:tr>
      <w:tr w14:paraId="3E310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949" w:type="dxa"/>
            <w:tcBorders>
              <w:top w:val="single" w:color="auto" w:sz="6" w:space="0"/>
              <w:left w:val="single" w:color="auto" w:sz="12" w:space="0"/>
              <w:bottom w:val="single" w:color="auto" w:sz="6" w:space="0"/>
              <w:right w:val="single" w:color="auto" w:sz="6" w:space="0"/>
            </w:tcBorders>
            <w:vAlign w:val="center"/>
          </w:tcPr>
          <w:p w14:paraId="247FFF51">
            <w:pPr>
              <w:snapToGrid w:val="0"/>
              <w:jc w:val="center"/>
              <w:rPr>
                <w:sz w:val="24"/>
              </w:rPr>
            </w:pPr>
            <w:r>
              <w:rPr>
                <w:rFonts w:hint="eastAsia"/>
                <w:sz w:val="24"/>
              </w:rPr>
              <w:t>原设计图名称</w:t>
            </w:r>
          </w:p>
        </w:tc>
        <w:tc>
          <w:tcPr>
            <w:tcW w:w="2894" w:type="dxa"/>
            <w:gridSpan w:val="3"/>
            <w:tcBorders>
              <w:top w:val="single" w:color="auto" w:sz="6" w:space="0"/>
              <w:left w:val="single" w:color="auto" w:sz="6" w:space="0"/>
              <w:bottom w:val="single" w:color="auto" w:sz="6" w:space="0"/>
              <w:right w:val="single" w:color="auto" w:sz="6" w:space="0"/>
            </w:tcBorders>
            <w:vAlign w:val="center"/>
          </w:tcPr>
          <w:p w14:paraId="1F6FB3DF">
            <w:pPr>
              <w:snapToGrid w:val="0"/>
              <w:jc w:val="center"/>
              <w:rPr>
                <w:sz w:val="24"/>
              </w:rPr>
            </w:pPr>
          </w:p>
        </w:tc>
        <w:tc>
          <w:tcPr>
            <w:tcW w:w="1565" w:type="dxa"/>
            <w:tcBorders>
              <w:top w:val="single" w:color="auto" w:sz="6" w:space="0"/>
              <w:left w:val="single" w:color="auto" w:sz="6" w:space="0"/>
              <w:bottom w:val="single" w:color="auto" w:sz="6" w:space="0"/>
              <w:right w:val="single" w:color="auto" w:sz="6" w:space="0"/>
            </w:tcBorders>
            <w:vAlign w:val="center"/>
          </w:tcPr>
          <w:p w14:paraId="740E4EDD">
            <w:pPr>
              <w:snapToGrid w:val="0"/>
              <w:ind w:left="-134" w:leftChars="-64"/>
              <w:jc w:val="center"/>
              <w:rPr>
                <w:sz w:val="24"/>
              </w:rPr>
            </w:pPr>
            <w:r>
              <w:rPr>
                <w:rFonts w:hint="eastAsia"/>
                <w:sz w:val="24"/>
              </w:rPr>
              <w:t>图    号</w:t>
            </w:r>
          </w:p>
        </w:tc>
        <w:tc>
          <w:tcPr>
            <w:tcW w:w="2793" w:type="dxa"/>
            <w:tcBorders>
              <w:top w:val="single" w:color="auto" w:sz="6" w:space="0"/>
              <w:left w:val="single" w:color="auto" w:sz="6" w:space="0"/>
              <w:bottom w:val="single" w:color="auto" w:sz="6" w:space="0"/>
              <w:right w:val="single" w:color="auto" w:sz="12" w:space="0"/>
            </w:tcBorders>
            <w:vAlign w:val="center"/>
          </w:tcPr>
          <w:p w14:paraId="6BA43FE8">
            <w:pPr>
              <w:snapToGrid w:val="0"/>
              <w:jc w:val="center"/>
              <w:rPr>
                <w:sz w:val="24"/>
              </w:rPr>
            </w:pPr>
          </w:p>
        </w:tc>
      </w:tr>
      <w:tr w14:paraId="1EF72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9201" w:type="dxa"/>
            <w:gridSpan w:val="6"/>
            <w:tcBorders>
              <w:top w:val="single" w:color="auto" w:sz="6" w:space="0"/>
              <w:left w:val="single" w:color="auto" w:sz="12" w:space="0"/>
              <w:bottom w:val="single" w:color="auto" w:sz="4" w:space="0"/>
              <w:right w:val="single" w:color="auto" w:sz="12" w:space="0"/>
            </w:tcBorders>
            <w:vAlign w:val="center"/>
          </w:tcPr>
          <w:p w14:paraId="30D0843D">
            <w:pPr>
              <w:snapToGrid w:val="0"/>
              <w:rPr>
                <w:sz w:val="24"/>
              </w:rPr>
            </w:pPr>
            <w:r>
              <w:rPr>
                <w:rFonts w:hint="eastAsia"/>
                <w:sz w:val="24"/>
              </w:rPr>
              <w:t>变更原因及内容（对应3</w:t>
            </w:r>
            <w:r>
              <w:rPr>
                <w:sz w:val="24"/>
              </w:rPr>
              <w:t>.1</w:t>
            </w:r>
            <w:r>
              <w:rPr>
                <w:rFonts w:hint="eastAsia"/>
                <w:sz w:val="24"/>
              </w:rPr>
              <w:t>条填写）：</w:t>
            </w:r>
          </w:p>
          <w:p w14:paraId="4BBD2D13">
            <w:pPr>
              <w:snapToGrid w:val="0"/>
              <w:rPr>
                <w:sz w:val="24"/>
              </w:rPr>
            </w:pPr>
          </w:p>
          <w:p w14:paraId="12324457">
            <w:pPr>
              <w:snapToGrid w:val="0"/>
              <w:rPr>
                <w:sz w:val="24"/>
              </w:rPr>
            </w:pPr>
          </w:p>
          <w:p w14:paraId="1D89004B">
            <w:pPr>
              <w:snapToGrid w:val="0"/>
              <w:rPr>
                <w:sz w:val="24"/>
              </w:rPr>
            </w:pPr>
          </w:p>
          <w:p w14:paraId="5D08AB60">
            <w:pPr>
              <w:snapToGrid w:val="0"/>
              <w:rPr>
                <w:sz w:val="24"/>
              </w:rPr>
            </w:pPr>
          </w:p>
          <w:p w14:paraId="71581B28">
            <w:pPr>
              <w:snapToGrid w:val="0"/>
              <w:rPr>
                <w:sz w:val="24"/>
              </w:rPr>
            </w:pPr>
          </w:p>
          <w:p w14:paraId="3494E257">
            <w:pPr>
              <w:snapToGrid w:val="0"/>
              <w:rPr>
                <w:sz w:val="24"/>
              </w:rPr>
            </w:pPr>
          </w:p>
          <w:p w14:paraId="0011EBC4">
            <w:pPr>
              <w:snapToGrid w:val="0"/>
              <w:rPr>
                <w:sz w:val="24"/>
              </w:rPr>
            </w:pPr>
          </w:p>
          <w:p w14:paraId="3049A4EA">
            <w:pPr>
              <w:snapToGrid w:val="0"/>
              <w:rPr>
                <w:sz w:val="24"/>
              </w:rPr>
            </w:pPr>
          </w:p>
          <w:p w14:paraId="4A53B951">
            <w:pPr>
              <w:snapToGrid w:val="0"/>
              <w:rPr>
                <w:sz w:val="24"/>
              </w:rPr>
            </w:pPr>
          </w:p>
          <w:p w14:paraId="6261B2F1">
            <w:pPr>
              <w:snapToGrid w:val="0"/>
              <w:rPr>
                <w:sz w:val="24"/>
              </w:rPr>
            </w:pPr>
          </w:p>
          <w:p w14:paraId="6FEB61C6">
            <w:pPr>
              <w:snapToGrid w:val="0"/>
              <w:rPr>
                <w:sz w:val="24"/>
              </w:rPr>
            </w:pPr>
          </w:p>
        </w:tc>
      </w:tr>
      <w:tr w14:paraId="0D241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9201" w:type="dxa"/>
            <w:gridSpan w:val="6"/>
            <w:tcBorders>
              <w:top w:val="single" w:color="auto" w:sz="4" w:space="0"/>
              <w:left w:val="single" w:color="auto" w:sz="12" w:space="0"/>
              <w:bottom w:val="single" w:color="auto" w:sz="6" w:space="0"/>
              <w:right w:val="single" w:color="auto" w:sz="12" w:space="0"/>
            </w:tcBorders>
            <w:vAlign w:val="center"/>
          </w:tcPr>
          <w:p w14:paraId="57676574">
            <w:pPr>
              <w:snapToGrid w:val="0"/>
              <w:rPr>
                <w:sz w:val="24"/>
              </w:rPr>
            </w:pPr>
            <w:r>
              <w:rPr>
                <w:rFonts w:hint="eastAsia"/>
                <w:sz w:val="24"/>
              </w:rPr>
              <w:t>专业技术负责人：</w:t>
            </w:r>
          </w:p>
          <w:p w14:paraId="019813FE">
            <w:pPr>
              <w:snapToGrid w:val="0"/>
              <w:rPr>
                <w:sz w:val="24"/>
              </w:rPr>
            </w:pPr>
          </w:p>
          <w:p w14:paraId="02C0F9DD">
            <w:pPr>
              <w:snapToGrid w:val="0"/>
              <w:rPr>
                <w:sz w:val="24"/>
              </w:rPr>
            </w:pPr>
            <w:r>
              <w:rPr>
                <w:rFonts w:hint="eastAsia"/>
                <w:sz w:val="24"/>
              </w:rPr>
              <w:t>项目技术负责人：</w:t>
            </w:r>
          </w:p>
          <w:p w14:paraId="1706AC9A">
            <w:pPr>
              <w:snapToGrid w:val="0"/>
              <w:rPr>
                <w:sz w:val="24"/>
              </w:rPr>
            </w:pPr>
          </w:p>
        </w:tc>
      </w:tr>
      <w:tr w14:paraId="1D03D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3602" w:type="dxa"/>
            <w:gridSpan w:val="3"/>
            <w:tcBorders>
              <w:top w:val="single" w:color="auto" w:sz="6" w:space="0"/>
              <w:left w:val="single" w:color="auto" w:sz="12" w:space="0"/>
              <w:bottom w:val="single" w:color="auto" w:sz="6" w:space="0"/>
              <w:right w:val="single" w:color="auto" w:sz="6" w:space="0"/>
            </w:tcBorders>
            <w:vAlign w:val="center"/>
          </w:tcPr>
          <w:p w14:paraId="2534CC1C">
            <w:pPr>
              <w:snapToGrid w:val="0"/>
              <w:rPr>
                <w:sz w:val="24"/>
              </w:rPr>
            </w:pPr>
            <w:r>
              <w:rPr>
                <w:rFonts w:hint="eastAsia"/>
                <w:sz w:val="24"/>
              </w:rPr>
              <w:t>设计单位审核意见：（盖章）</w:t>
            </w:r>
          </w:p>
          <w:p w14:paraId="5BE028BC">
            <w:pPr>
              <w:snapToGrid w:val="0"/>
              <w:rPr>
                <w:sz w:val="24"/>
              </w:rPr>
            </w:pPr>
          </w:p>
          <w:p w14:paraId="35B86E89"/>
          <w:p w14:paraId="1437AAA8"/>
          <w:p w14:paraId="07946704">
            <w:pPr>
              <w:snapToGrid w:val="0"/>
              <w:rPr>
                <w:sz w:val="24"/>
              </w:rPr>
            </w:pPr>
          </w:p>
        </w:tc>
        <w:tc>
          <w:tcPr>
            <w:tcW w:w="5599" w:type="dxa"/>
            <w:gridSpan w:val="3"/>
            <w:tcBorders>
              <w:top w:val="single" w:color="auto" w:sz="6" w:space="0"/>
              <w:left w:val="single" w:color="auto" w:sz="6" w:space="0"/>
              <w:bottom w:val="single" w:color="auto" w:sz="6" w:space="0"/>
              <w:right w:val="single" w:color="auto" w:sz="12" w:space="0"/>
            </w:tcBorders>
            <w:vAlign w:val="center"/>
          </w:tcPr>
          <w:p w14:paraId="44851B0E">
            <w:r>
              <w:rPr>
                <w:rFonts w:hint="eastAsia"/>
                <w:sz w:val="24"/>
              </w:rPr>
              <w:t>预决算审核意见</w:t>
            </w:r>
          </w:p>
          <w:p w14:paraId="1BF28A80"/>
          <w:p w14:paraId="46C9B7BE"/>
          <w:p w14:paraId="689356C1"/>
          <w:p w14:paraId="5D5EC5FD">
            <w:pPr>
              <w:snapToGrid w:val="0"/>
              <w:rPr>
                <w:sz w:val="24"/>
              </w:rPr>
            </w:pPr>
            <w:r>
              <w:rPr>
                <w:rFonts w:hint="eastAsia"/>
                <w:sz w:val="24"/>
              </w:rPr>
              <w:t xml:space="preserve"> </w:t>
            </w:r>
          </w:p>
          <w:p w14:paraId="757B9D8A">
            <w:pPr>
              <w:snapToGrid w:val="0"/>
              <w:rPr>
                <w:sz w:val="24"/>
              </w:rPr>
            </w:pPr>
          </w:p>
        </w:tc>
      </w:tr>
      <w:tr w14:paraId="44EEE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3554" w:type="dxa"/>
            <w:gridSpan w:val="2"/>
            <w:tcBorders>
              <w:top w:val="single" w:color="auto" w:sz="6" w:space="0"/>
              <w:left w:val="single" w:color="auto" w:sz="12" w:space="0"/>
              <w:right w:val="single" w:color="auto" w:sz="4" w:space="0"/>
            </w:tcBorders>
            <w:vAlign w:val="center"/>
          </w:tcPr>
          <w:p w14:paraId="60EC9556">
            <w:pPr>
              <w:snapToGrid w:val="0"/>
              <w:rPr>
                <w:sz w:val="24"/>
              </w:rPr>
            </w:pPr>
            <w:r>
              <w:rPr>
                <w:rFonts w:hint="eastAsia"/>
                <w:sz w:val="24"/>
              </w:rPr>
              <w:t>建设单位项目（执行）经理：</w:t>
            </w:r>
          </w:p>
          <w:p w14:paraId="02E0261A">
            <w:pPr>
              <w:snapToGrid w:val="0"/>
              <w:rPr>
                <w:sz w:val="24"/>
              </w:rPr>
            </w:pPr>
            <w:r>
              <w:rPr>
                <w:sz w:val="24"/>
              </w:rPr>
              <w:t>数智化工装技术中心领导：</w:t>
            </w:r>
          </w:p>
        </w:tc>
        <w:tc>
          <w:tcPr>
            <w:tcW w:w="5647" w:type="dxa"/>
            <w:gridSpan w:val="4"/>
            <w:tcBorders>
              <w:top w:val="single" w:color="auto" w:sz="6" w:space="0"/>
              <w:left w:val="single" w:color="auto" w:sz="4" w:space="0"/>
              <w:bottom w:val="single" w:color="auto" w:sz="4" w:space="0"/>
              <w:right w:val="single" w:color="auto" w:sz="12" w:space="0"/>
            </w:tcBorders>
            <w:vAlign w:val="center"/>
          </w:tcPr>
          <w:p w14:paraId="33DA0B89">
            <w:pPr>
              <w:snapToGrid w:val="0"/>
              <w:rPr>
                <w:sz w:val="24"/>
              </w:rPr>
            </w:pPr>
            <w:r>
              <w:rPr>
                <w:rFonts w:hint="eastAsia"/>
                <w:sz w:val="24"/>
              </w:rPr>
              <w:t>建设单位项目（执行）经理考核建议：</w:t>
            </w:r>
          </w:p>
          <w:p w14:paraId="5057736B">
            <w:pPr>
              <w:snapToGrid w:val="0"/>
              <w:rPr>
                <w:sz w:val="24"/>
              </w:rPr>
            </w:pPr>
          </w:p>
          <w:p w14:paraId="3ED77CA0">
            <w:pPr>
              <w:snapToGrid w:val="0"/>
              <w:rPr>
                <w:sz w:val="24"/>
              </w:rPr>
            </w:pPr>
          </w:p>
        </w:tc>
      </w:tr>
      <w:tr w14:paraId="3826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554" w:type="dxa"/>
            <w:gridSpan w:val="2"/>
            <w:tcBorders>
              <w:top w:val="single" w:color="auto" w:sz="4" w:space="0"/>
              <w:left w:val="single" w:color="auto" w:sz="12" w:space="0"/>
              <w:bottom w:val="single" w:color="auto" w:sz="6" w:space="0"/>
              <w:right w:val="single" w:color="auto" w:sz="4" w:space="0"/>
            </w:tcBorders>
            <w:vAlign w:val="center"/>
          </w:tcPr>
          <w:p w14:paraId="70C24D3C">
            <w:pPr>
              <w:snapToGrid w:val="0"/>
              <w:rPr>
                <w:sz w:val="24"/>
              </w:rPr>
            </w:pPr>
            <w:r>
              <w:rPr>
                <w:rFonts w:hint="eastAsia"/>
                <w:sz w:val="24"/>
              </w:rPr>
              <w:t>项目办领导审核意见（签字盖章）</w:t>
            </w:r>
          </w:p>
        </w:tc>
        <w:tc>
          <w:tcPr>
            <w:tcW w:w="5647" w:type="dxa"/>
            <w:gridSpan w:val="4"/>
            <w:tcBorders>
              <w:top w:val="single" w:color="auto" w:sz="4" w:space="0"/>
              <w:left w:val="single" w:color="auto" w:sz="4" w:space="0"/>
              <w:bottom w:val="single" w:color="auto" w:sz="6" w:space="0"/>
              <w:right w:val="single" w:color="auto" w:sz="12" w:space="0"/>
            </w:tcBorders>
            <w:vAlign w:val="center"/>
          </w:tcPr>
          <w:p w14:paraId="6366CDE6">
            <w:pPr>
              <w:widowControl/>
              <w:jc w:val="left"/>
              <w:rPr>
                <w:sz w:val="24"/>
              </w:rPr>
            </w:pPr>
          </w:p>
          <w:p w14:paraId="5918AA36">
            <w:pPr>
              <w:snapToGrid w:val="0"/>
              <w:rPr>
                <w:sz w:val="24"/>
              </w:rPr>
            </w:pPr>
          </w:p>
        </w:tc>
      </w:tr>
      <w:tr w14:paraId="3AC68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9201" w:type="dxa"/>
            <w:gridSpan w:val="6"/>
            <w:tcBorders>
              <w:top w:val="single" w:color="auto" w:sz="6" w:space="0"/>
              <w:left w:val="single" w:color="auto" w:sz="12" w:space="0"/>
              <w:bottom w:val="single" w:color="auto" w:sz="12" w:space="0"/>
              <w:right w:val="single" w:color="auto" w:sz="12" w:space="0"/>
            </w:tcBorders>
            <w:vAlign w:val="center"/>
          </w:tcPr>
          <w:p w14:paraId="787D9A0B">
            <w:pPr>
              <w:snapToGrid w:val="0"/>
              <w:rPr>
                <w:sz w:val="24"/>
              </w:rPr>
            </w:pPr>
            <w:r>
              <w:rPr>
                <w:rFonts w:hint="eastAsia"/>
                <w:sz w:val="24"/>
              </w:rPr>
              <w:t>公司分管领导审核意见：</w:t>
            </w:r>
          </w:p>
          <w:p w14:paraId="24EBB48F">
            <w:pPr>
              <w:snapToGrid w:val="0"/>
              <w:rPr>
                <w:sz w:val="24"/>
              </w:rPr>
            </w:pPr>
          </w:p>
          <w:p w14:paraId="29BBA1B9">
            <w:pPr>
              <w:snapToGrid w:val="0"/>
              <w:rPr>
                <w:sz w:val="24"/>
              </w:rPr>
            </w:pPr>
          </w:p>
          <w:p w14:paraId="4AFED45B">
            <w:pPr>
              <w:snapToGrid w:val="0"/>
              <w:rPr>
                <w:sz w:val="24"/>
              </w:rPr>
            </w:pPr>
          </w:p>
        </w:tc>
      </w:tr>
    </w:tbl>
    <w:p w14:paraId="7DFBA1EE">
      <w:pPr>
        <w:pStyle w:val="75"/>
        <w:ind w:firstLine="0"/>
        <w:jc w:val="both"/>
        <w:outlineLvl w:val="9"/>
        <w:rPr>
          <w:color w:val="auto"/>
        </w:rPr>
      </w:pPr>
    </w:p>
    <w:p w14:paraId="01BC9AC6"/>
    <w:p w14:paraId="61C6387B">
      <w:pPr>
        <w:jc w:val="center"/>
      </w:pPr>
      <w:r>
        <w:rPr>
          <w:rFonts w:hint="eastAsia"/>
        </w:rPr>
        <w:tab/>
      </w:r>
      <w:r>
        <w:rPr>
          <w:rFonts w:hint="eastAsia"/>
        </w:rPr>
        <w:t>附录</w:t>
      </w:r>
      <w:r>
        <w:t>C</w:t>
      </w:r>
      <w:r>
        <w:br w:type="textWrapping"/>
      </w:r>
      <w:r>
        <w:rPr>
          <w:rFonts w:hint="eastAsia"/>
        </w:rPr>
        <w:t>（规范性附录）</w:t>
      </w:r>
    </w:p>
    <w:p w14:paraId="5F27471B">
      <w:pPr>
        <w:jc w:val="center"/>
      </w:pPr>
      <w:r>
        <w:rPr>
          <w:rFonts w:hint="eastAsia"/>
        </w:rPr>
        <w:t>工程设计变更申请审批表（设计单位）</w:t>
      </w:r>
    </w:p>
    <w:p w14:paraId="28D41C2B">
      <w:pPr>
        <w:pStyle w:val="63"/>
        <w:ind w:firstLine="630" w:firstLineChars="300"/>
        <w:rPr>
          <w:szCs w:val="21"/>
          <w:u w:val="single"/>
        </w:rPr>
      </w:pPr>
      <w:r>
        <w:rPr>
          <w:rFonts w:hint="eastAsia"/>
        </w:rPr>
        <w:t>合同编号</w:t>
      </w:r>
      <w:r>
        <w:rPr>
          <w:rFonts w:hint="eastAsia"/>
          <w:szCs w:val="21"/>
          <w:u w:val="single"/>
        </w:rPr>
        <w:t xml:space="preserve">           </w:t>
      </w:r>
      <w:r>
        <w:rPr>
          <w:szCs w:val="21"/>
          <w:u w:val="single"/>
        </w:rPr>
        <w:t xml:space="preserve"> </w:t>
      </w:r>
      <w:r>
        <w:rPr>
          <w:szCs w:val="21"/>
        </w:rPr>
        <w:t xml:space="preserve">   </w:t>
      </w:r>
      <w:r>
        <w:rPr>
          <w:rFonts w:hint="eastAsia"/>
          <w:szCs w:val="21"/>
        </w:rPr>
        <w:t>记录编号</w:t>
      </w:r>
      <w:r>
        <w:rPr>
          <w:rFonts w:hint="eastAsia"/>
          <w:szCs w:val="21"/>
          <w:u w:val="single"/>
        </w:rPr>
        <w:t xml:space="preserve">：J/SZ </w:t>
      </w:r>
      <w:r>
        <w:rPr>
          <w:szCs w:val="21"/>
          <w:u w:val="single"/>
        </w:rPr>
        <w:t>S05.007.3-</w:t>
      </w:r>
      <w:r>
        <w:rPr>
          <w:rFonts w:hint="eastAsia"/>
          <w:szCs w:val="21"/>
          <w:u w:val="single"/>
        </w:rPr>
        <w:t>3</w:t>
      </w:r>
      <w:r>
        <w:rPr>
          <w:szCs w:val="21"/>
          <w:u w:val="single"/>
        </w:rPr>
        <w:t xml:space="preserve">     </w:t>
      </w:r>
      <w:r>
        <w:rPr>
          <w:szCs w:val="21"/>
        </w:rPr>
        <w:t xml:space="preserve">               </w:t>
      </w:r>
      <w:r>
        <w:rPr>
          <w:rFonts w:hint="eastAsia"/>
          <w:szCs w:val="21"/>
        </w:rPr>
        <w:t>保存期</w:t>
      </w:r>
      <w:r>
        <w:rPr>
          <w:rFonts w:hint="eastAsia"/>
          <w:szCs w:val="21"/>
          <w:u w:val="single"/>
        </w:rPr>
        <w:t xml:space="preserve"> 长期</w:t>
      </w:r>
    </w:p>
    <w:tbl>
      <w:tblPr>
        <w:tblStyle w:val="20"/>
        <w:tblW w:w="90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2011"/>
        <w:gridCol w:w="7"/>
        <w:gridCol w:w="845"/>
        <w:gridCol w:w="1548"/>
        <w:gridCol w:w="2756"/>
      </w:tblGrid>
      <w:tr w14:paraId="39F86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929" w:type="dxa"/>
            <w:tcBorders>
              <w:top w:val="single" w:color="auto" w:sz="12" w:space="0"/>
              <w:left w:val="single" w:color="auto" w:sz="12" w:space="0"/>
              <w:bottom w:val="single" w:color="auto" w:sz="6" w:space="0"/>
              <w:right w:val="single" w:color="auto" w:sz="6" w:space="0"/>
            </w:tcBorders>
            <w:vAlign w:val="center"/>
          </w:tcPr>
          <w:p w14:paraId="0B0F7094">
            <w:pPr>
              <w:snapToGrid w:val="0"/>
              <w:jc w:val="center"/>
              <w:rPr>
                <w:sz w:val="24"/>
              </w:rPr>
            </w:pPr>
            <w:r>
              <w:rPr>
                <w:rFonts w:hint="eastAsia"/>
                <w:sz w:val="24"/>
              </w:rPr>
              <w:t>工程名称</w:t>
            </w:r>
          </w:p>
        </w:tc>
        <w:tc>
          <w:tcPr>
            <w:tcW w:w="2863" w:type="dxa"/>
            <w:gridSpan w:val="3"/>
            <w:tcBorders>
              <w:top w:val="single" w:color="auto" w:sz="12" w:space="0"/>
              <w:left w:val="single" w:color="auto" w:sz="6" w:space="0"/>
              <w:bottom w:val="single" w:color="auto" w:sz="6" w:space="0"/>
              <w:right w:val="single" w:color="auto" w:sz="6" w:space="0"/>
            </w:tcBorders>
            <w:vAlign w:val="center"/>
          </w:tcPr>
          <w:p w14:paraId="78A84653">
            <w:pPr>
              <w:snapToGrid w:val="0"/>
              <w:jc w:val="center"/>
              <w:rPr>
                <w:sz w:val="24"/>
              </w:rPr>
            </w:pPr>
          </w:p>
        </w:tc>
        <w:tc>
          <w:tcPr>
            <w:tcW w:w="1548" w:type="dxa"/>
            <w:tcBorders>
              <w:top w:val="single" w:color="auto" w:sz="12" w:space="0"/>
              <w:left w:val="single" w:color="auto" w:sz="6" w:space="0"/>
              <w:bottom w:val="single" w:color="auto" w:sz="6" w:space="0"/>
              <w:right w:val="single" w:color="auto" w:sz="6" w:space="0"/>
            </w:tcBorders>
            <w:vAlign w:val="center"/>
          </w:tcPr>
          <w:p w14:paraId="307EF28A">
            <w:pPr>
              <w:snapToGrid w:val="0"/>
              <w:jc w:val="center"/>
              <w:rPr>
                <w:sz w:val="24"/>
              </w:rPr>
            </w:pPr>
            <w:r>
              <w:rPr>
                <w:rFonts w:hint="eastAsia"/>
                <w:sz w:val="24"/>
              </w:rPr>
              <w:t>变更部位</w:t>
            </w:r>
          </w:p>
        </w:tc>
        <w:tc>
          <w:tcPr>
            <w:tcW w:w="2756" w:type="dxa"/>
            <w:tcBorders>
              <w:top w:val="single" w:color="auto" w:sz="12" w:space="0"/>
              <w:left w:val="single" w:color="auto" w:sz="6" w:space="0"/>
              <w:bottom w:val="single" w:color="auto" w:sz="6" w:space="0"/>
              <w:right w:val="single" w:color="auto" w:sz="12" w:space="0"/>
            </w:tcBorders>
            <w:vAlign w:val="center"/>
          </w:tcPr>
          <w:p w14:paraId="3ABAF2CD">
            <w:pPr>
              <w:snapToGrid w:val="0"/>
              <w:jc w:val="center"/>
              <w:rPr>
                <w:sz w:val="24"/>
              </w:rPr>
            </w:pPr>
          </w:p>
        </w:tc>
      </w:tr>
      <w:tr w14:paraId="41104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29" w:type="dxa"/>
            <w:tcBorders>
              <w:top w:val="single" w:color="auto" w:sz="6" w:space="0"/>
              <w:left w:val="single" w:color="auto" w:sz="12" w:space="0"/>
              <w:bottom w:val="single" w:color="auto" w:sz="6" w:space="0"/>
              <w:right w:val="single" w:color="auto" w:sz="6" w:space="0"/>
            </w:tcBorders>
            <w:vAlign w:val="center"/>
          </w:tcPr>
          <w:p w14:paraId="09E01E56">
            <w:pPr>
              <w:snapToGrid w:val="0"/>
              <w:jc w:val="center"/>
              <w:rPr>
                <w:sz w:val="24"/>
              </w:rPr>
            </w:pPr>
            <w:r>
              <w:rPr>
                <w:rFonts w:hint="eastAsia"/>
                <w:sz w:val="24"/>
              </w:rPr>
              <w:t>原设计图名称</w:t>
            </w:r>
          </w:p>
        </w:tc>
        <w:tc>
          <w:tcPr>
            <w:tcW w:w="2863" w:type="dxa"/>
            <w:gridSpan w:val="3"/>
            <w:tcBorders>
              <w:top w:val="single" w:color="auto" w:sz="6" w:space="0"/>
              <w:left w:val="single" w:color="auto" w:sz="6" w:space="0"/>
              <w:bottom w:val="single" w:color="auto" w:sz="6" w:space="0"/>
              <w:right w:val="single" w:color="auto" w:sz="6" w:space="0"/>
            </w:tcBorders>
            <w:vAlign w:val="center"/>
          </w:tcPr>
          <w:p w14:paraId="3C8858AF">
            <w:pPr>
              <w:snapToGrid w:val="0"/>
              <w:jc w:val="center"/>
              <w:rPr>
                <w:sz w:val="24"/>
              </w:rPr>
            </w:pPr>
          </w:p>
        </w:tc>
        <w:tc>
          <w:tcPr>
            <w:tcW w:w="1548" w:type="dxa"/>
            <w:tcBorders>
              <w:top w:val="single" w:color="auto" w:sz="6" w:space="0"/>
              <w:left w:val="single" w:color="auto" w:sz="6" w:space="0"/>
              <w:bottom w:val="single" w:color="auto" w:sz="6" w:space="0"/>
              <w:right w:val="single" w:color="auto" w:sz="6" w:space="0"/>
            </w:tcBorders>
            <w:vAlign w:val="center"/>
          </w:tcPr>
          <w:p w14:paraId="74666CB9">
            <w:pPr>
              <w:snapToGrid w:val="0"/>
              <w:ind w:left="-134" w:leftChars="-64"/>
              <w:jc w:val="center"/>
              <w:rPr>
                <w:sz w:val="24"/>
              </w:rPr>
            </w:pPr>
            <w:r>
              <w:rPr>
                <w:rFonts w:hint="eastAsia"/>
                <w:sz w:val="24"/>
              </w:rPr>
              <w:t>图    号</w:t>
            </w:r>
          </w:p>
        </w:tc>
        <w:tc>
          <w:tcPr>
            <w:tcW w:w="2756" w:type="dxa"/>
            <w:tcBorders>
              <w:top w:val="single" w:color="auto" w:sz="6" w:space="0"/>
              <w:left w:val="single" w:color="auto" w:sz="6" w:space="0"/>
              <w:bottom w:val="single" w:color="auto" w:sz="6" w:space="0"/>
              <w:right w:val="single" w:color="auto" w:sz="12" w:space="0"/>
            </w:tcBorders>
            <w:vAlign w:val="center"/>
          </w:tcPr>
          <w:p w14:paraId="5B9B59AD">
            <w:pPr>
              <w:snapToGrid w:val="0"/>
              <w:jc w:val="center"/>
              <w:rPr>
                <w:sz w:val="24"/>
              </w:rPr>
            </w:pPr>
          </w:p>
        </w:tc>
      </w:tr>
      <w:tr w14:paraId="24DB2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9096" w:type="dxa"/>
            <w:gridSpan w:val="6"/>
            <w:tcBorders>
              <w:top w:val="single" w:color="auto" w:sz="6" w:space="0"/>
              <w:left w:val="single" w:color="auto" w:sz="12" w:space="0"/>
              <w:bottom w:val="single" w:color="auto" w:sz="4" w:space="0"/>
              <w:right w:val="single" w:color="auto" w:sz="12" w:space="0"/>
            </w:tcBorders>
            <w:vAlign w:val="center"/>
          </w:tcPr>
          <w:p w14:paraId="3B5783C3">
            <w:pPr>
              <w:snapToGrid w:val="0"/>
              <w:rPr>
                <w:sz w:val="24"/>
              </w:rPr>
            </w:pPr>
            <w:r>
              <w:rPr>
                <w:rFonts w:hint="eastAsia"/>
                <w:sz w:val="24"/>
              </w:rPr>
              <w:t>变更原因及内容（对应3</w:t>
            </w:r>
            <w:r>
              <w:rPr>
                <w:sz w:val="24"/>
              </w:rPr>
              <w:t>.1</w:t>
            </w:r>
            <w:r>
              <w:rPr>
                <w:rFonts w:hint="eastAsia"/>
                <w:sz w:val="24"/>
              </w:rPr>
              <w:t>条填写）：</w:t>
            </w:r>
          </w:p>
          <w:p w14:paraId="261E06E9">
            <w:pPr>
              <w:snapToGrid w:val="0"/>
              <w:rPr>
                <w:sz w:val="24"/>
              </w:rPr>
            </w:pPr>
          </w:p>
          <w:p w14:paraId="232A9A53">
            <w:pPr>
              <w:snapToGrid w:val="0"/>
              <w:rPr>
                <w:sz w:val="24"/>
              </w:rPr>
            </w:pPr>
          </w:p>
          <w:p w14:paraId="11B8B372">
            <w:pPr>
              <w:snapToGrid w:val="0"/>
              <w:rPr>
                <w:sz w:val="24"/>
              </w:rPr>
            </w:pPr>
          </w:p>
          <w:p w14:paraId="4AD0E7C4">
            <w:pPr>
              <w:snapToGrid w:val="0"/>
              <w:rPr>
                <w:sz w:val="24"/>
              </w:rPr>
            </w:pPr>
          </w:p>
          <w:p w14:paraId="4A6BEE51">
            <w:pPr>
              <w:snapToGrid w:val="0"/>
              <w:rPr>
                <w:sz w:val="24"/>
              </w:rPr>
            </w:pPr>
          </w:p>
          <w:p w14:paraId="5ACC714D">
            <w:pPr>
              <w:snapToGrid w:val="0"/>
              <w:rPr>
                <w:sz w:val="24"/>
              </w:rPr>
            </w:pPr>
          </w:p>
          <w:p w14:paraId="7B0ADC3F">
            <w:pPr>
              <w:snapToGrid w:val="0"/>
              <w:rPr>
                <w:sz w:val="24"/>
              </w:rPr>
            </w:pPr>
          </w:p>
          <w:p w14:paraId="2131EA45">
            <w:pPr>
              <w:snapToGrid w:val="0"/>
              <w:rPr>
                <w:sz w:val="24"/>
              </w:rPr>
            </w:pPr>
          </w:p>
          <w:p w14:paraId="6E97BD75">
            <w:pPr>
              <w:snapToGrid w:val="0"/>
              <w:rPr>
                <w:sz w:val="24"/>
              </w:rPr>
            </w:pPr>
          </w:p>
          <w:p w14:paraId="7A25394A">
            <w:pPr>
              <w:snapToGrid w:val="0"/>
              <w:rPr>
                <w:sz w:val="24"/>
              </w:rPr>
            </w:pPr>
          </w:p>
          <w:p w14:paraId="02D9691E">
            <w:pPr>
              <w:snapToGrid w:val="0"/>
              <w:rPr>
                <w:sz w:val="24"/>
              </w:rPr>
            </w:pPr>
          </w:p>
        </w:tc>
      </w:tr>
      <w:tr w14:paraId="14BFD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9096" w:type="dxa"/>
            <w:gridSpan w:val="6"/>
            <w:tcBorders>
              <w:top w:val="single" w:color="auto" w:sz="4" w:space="0"/>
              <w:left w:val="single" w:color="auto" w:sz="12" w:space="0"/>
              <w:bottom w:val="single" w:color="auto" w:sz="6" w:space="0"/>
              <w:right w:val="single" w:color="auto" w:sz="12" w:space="0"/>
            </w:tcBorders>
            <w:vAlign w:val="center"/>
          </w:tcPr>
          <w:p w14:paraId="2CAB50EC">
            <w:pPr>
              <w:snapToGrid w:val="0"/>
              <w:rPr>
                <w:sz w:val="24"/>
              </w:rPr>
            </w:pPr>
            <w:r>
              <w:rPr>
                <w:rFonts w:hint="eastAsia"/>
                <w:sz w:val="24"/>
              </w:rPr>
              <w:t>设计单位专业设计人员：</w:t>
            </w:r>
          </w:p>
          <w:p w14:paraId="0C14C0F0">
            <w:pPr>
              <w:snapToGrid w:val="0"/>
              <w:rPr>
                <w:sz w:val="24"/>
              </w:rPr>
            </w:pPr>
          </w:p>
          <w:p w14:paraId="591D36AC"/>
          <w:p w14:paraId="2B65F2BB">
            <w:pPr>
              <w:snapToGrid w:val="0"/>
              <w:rPr>
                <w:sz w:val="24"/>
              </w:rPr>
            </w:pPr>
          </w:p>
        </w:tc>
      </w:tr>
      <w:tr w14:paraId="273A5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3947" w:type="dxa"/>
            <w:gridSpan w:val="3"/>
            <w:tcBorders>
              <w:top w:val="single" w:color="auto" w:sz="6" w:space="0"/>
              <w:left w:val="single" w:color="auto" w:sz="12" w:space="0"/>
              <w:bottom w:val="single" w:color="auto" w:sz="6" w:space="0"/>
              <w:right w:val="single" w:color="auto" w:sz="6" w:space="0"/>
            </w:tcBorders>
            <w:vAlign w:val="center"/>
          </w:tcPr>
          <w:p w14:paraId="6EB97F3C"/>
          <w:p w14:paraId="04E85234">
            <w:pPr>
              <w:snapToGrid w:val="0"/>
              <w:rPr>
                <w:sz w:val="24"/>
              </w:rPr>
            </w:pPr>
          </w:p>
          <w:p w14:paraId="7FAC66EF">
            <w:pPr>
              <w:snapToGrid w:val="0"/>
              <w:rPr>
                <w:sz w:val="24"/>
              </w:rPr>
            </w:pPr>
          </w:p>
          <w:p w14:paraId="28658104">
            <w:pPr>
              <w:snapToGrid w:val="0"/>
              <w:rPr>
                <w:sz w:val="24"/>
              </w:rPr>
            </w:pPr>
            <w:r>
              <w:rPr>
                <w:rFonts w:hint="eastAsia"/>
                <w:sz w:val="24"/>
              </w:rPr>
              <w:t>建设单位项目技术负责人：</w:t>
            </w:r>
          </w:p>
          <w:p w14:paraId="29AE996B">
            <w:pPr>
              <w:snapToGrid w:val="0"/>
              <w:rPr>
                <w:sz w:val="24"/>
              </w:rPr>
            </w:pPr>
          </w:p>
          <w:p w14:paraId="7427C7A6">
            <w:pPr>
              <w:snapToGrid w:val="0"/>
              <w:rPr>
                <w:sz w:val="24"/>
              </w:rPr>
            </w:pPr>
          </w:p>
        </w:tc>
        <w:tc>
          <w:tcPr>
            <w:tcW w:w="5149" w:type="dxa"/>
            <w:gridSpan w:val="3"/>
            <w:tcBorders>
              <w:top w:val="single" w:color="auto" w:sz="6" w:space="0"/>
              <w:left w:val="single" w:color="auto" w:sz="6" w:space="0"/>
              <w:bottom w:val="single" w:color="auto" w:sz="6" w:space="0"/>
              <w:right w:val="single" w:color="auto" w:sz="12" w:space="0"/>
            </w:tcBorders>
            <w:vAlign w:val="center"/>
          </w:tcPr>
          <w:p w14:paraId="4EEEDE96">
            <w:pPr>
              <w:snapToGrid w:val="0"/>
              <w:rPr>
                <w:sz w:val="24"/>
              </w:rPr>
            </w:pPr>
            <w:r>
              <w:rPr>
                <w:rFonts w:hint="eastAsia"/>
                <w:sz w:val="24"/>
              </w:rPr>
              <w:t>预决算审核意见：</w:t>
            </w:r>
          </w:p>
          <w:p w14:paraId="3323397F">
            <w:pPr>
              <w:snapToGrid w:val="0"/>
              <w:rPr>
                <w:sz w:val="24"/>
              </w:rPr>
            </w:pPr>
          </w:p>
          <w:p w14:paraId="503A5999">
            <w:pPr>
              <w:snapToGrid w:val="0"/>
              <w:rPr>
                <w:sz w:val="24"/>
              </w:rPr>
            </w:pPr>
          </w:p>
          <w:p w14:paraId="76A43201">
            <w:pPr>
              <w:snapToGrid w:val="0"/>
              <w:rPr>
                <w:sz w:val="24"/>
              </w:rPr>
            </w:pPr>
          </w:p>
          <w:p w14:paraId="6856216B">
            <w:pPr>
              <w:snapToGrid w:val="0"/>
              <w:rPr>
                <w:sz w:val="24"/>
              </w:rPr>
            </w:pPr>
          </w:p>
        </w:tc>
      </w:tr>
      <w:tr w14:paraId="17586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3940" w:type="dxa"/>
            <w:gridSpan w:val="2"/>
            <w:tcBorders>
              <w:top w:val="single" w:color="auto" w:sz="6" w:space="0"/>
              <w:left w:val="single" w:color="auto" w:sz="12" w:space="0"/>
              <w:right w:val="single" w:color="auto" w:sz="4" w:space="0"/>
            </w:tcBorders>
            <w:vAlign w:val="center"/>
          </w:tcPr>
          <w:p w14:paraId="2DDCDEF5">
            <w:pPr>
              <w:snapToGrid w:val="0"/>
              <w:rPr>
                <w:sz w:val="24"/>
              </w:rPr>
            </w:pPr>
            <w:r>
              <w:rPr>
                <w:rFonts w:hint="eastAsia"/>
                <w:sz w:val="24"/>
              </w:rPr>
              <w:t>建设单位项目（执行）经理：</w:t>
            </w:r>
          </w:p>
          <w:p w14:paraId="444B8AEA">
            <w:pPr>
              <w:snapToGrid w:val="0"/>
              <w:rPr>
                <w:sz w:val="24"/>
              </w:rPr>
            </w:pPr>
            <w:r>
              <w:rPr>
                <w:sz w:val="24"/>
              </w:rPr>
              <w:t>数智化工装技术中心领导：</w:t>
            </w:r>
          </w:p>
        </w:tc>
        <w:tc>
          <w:tcPr>
            <w:tcW w:w="5156" w:type="dxa"/>
            <w:gridSpan w:val="4"/>
            <w:tcBorders>
              <w:top w:val="single" w:color="auto" w:sz="6" w:space="0"/>
              <w:left w:val="single" w:color="auto" w:sz="4" w:space="0"/>
              <w:bottom w:val="single" w:color="auto" w:sz="4" w:space="0"/>
              <w:right w:val="single" w:color="auto" w:sz="12" w:space="0"/>
            </w:tcBorders>
            <w:vAlign w:val="center"/>
          </w:tcPr>
          <w:p w14:paraId="198C5B91">
            <w:pPr>
              <w:snapToGrid w:val="0"/>
              <w:rPr>
                <w:sz w:val="24"/>
              </w:rPr>
            </w:pPr>
            <w:r>
              <w:rPr>
                <w:rFonts w:hint="eastAsia"/>
                <w:sz w:val="24"/>
              </w:rPr>
              <w:t>建设单位项目执行经理考核建议：</w:t>
            </w:r>
          </w:p>
          <w:p w14:paraId="7900B843">
            <w:pPr>
              <w:snapToGrid w:val="0"/>
              <w:rPr>
                <w:sz w:val="24"/>
              </w:rPr>
            </w:pPr>
          </w:p>
          <w:p w14:paraId="6B2109FC">
            <w:pPr>
              <w:snapToGrid w:val="0"/>
              <w:rPr>
                <w:sz w:val="24"/>
              </w:rPr>
            </w:pPr>
          </w:p>
        </w:tc>
      </w:tr>
      <w:tr w14:paraId="5D792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940" w:type="dxa"/>
            <w:gridSpan w:val="2"/>
            <w:tcBorders>
              <w:top w:val="single" w:color="auto" w:sz="4" w:space="0"/>
              <w:left w:val="single" w:color="auto" w:sz="12" w:space="0"/>
              <w:bottom w:val="single" w:color="auto" w:sz="6" w:space="0"/>
              <w:right w:val="single" w:color="auto" w:sz="4" w:space="0"/>
            </w:tcBorders>
            <w:vAlign w:val="center"/>
          </w:tcPr>
          <w:p w14:paraId="348D9660">
            <w:pPr>
              <w:snapToGrid w:val="0"/>
              <w:rPr>
                <w:sz w:val="24"/>
              </w:rPr>
            </w:pPr>
            <w:r>
              <w:rPr>
                <w:rFonts w:hint="eastAsia"/>
                <w:sz w:val="24"/>
              </w:rPr>
              <w:t>项目办领导审核意见（签字盖章）</w:t>
            </w:r>
          </w:p>
        </w:tc>
        <w:tc>
          <w:tcPr>
            <w:tcW w:w="5156" w:type="dxa"/>
            <w:gridSpan w:val="4"/>
            <w:tcBorders>
              <w:top w:val="single" w:color="auto" w:sz="4" w:space="0"/>
              <w:left w:val="single" w:color="auto" w:sz="4" w:space="0"/>
              <w:bottom w:val="single" w:color="auto" w:sz="6" w:space="0"/>
              <w:right w:val="single" w:color="auto" w:sz="12" w:space="0"/>
            </w:tcBorders>
            <w:vAlign w:val="center"/>
          </w:tcPr>
          <w:p w14:paraId="6CF3DFC2">
            <w:pPr>
              <w:widowControl/>
              <w:jc w:val="left"/>
              <w:rPr>
                <w:sz w:val="24"/>
              </w:rPr>
            </w:pPr>
          </w:p>
          <w:p w14:paraId="2080B971">
            <w:pPr>
              <w:snapToGrid w:val="0"/>
              <w:rPr>
                <w:sz w:val="24"/>
              </w:rPr>
            </w:pPr>
          </w:p>
        </w:tc>
      </w:tr>
      <w:tr w14:paraId="24262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9096" w:type="dxa"/>
            <w:gridSpan w:val="6"/>
            <w:tcBorders>
              <w:top w:val="single" w:color="auto" w:sz="6" w:space="0"/>
              <w:left w:val="single" w:color="auto" w:sz="12" w:space="0"/>
              <w:bottom w:val="single" w:color="auto" w:sz="12" w:space="0"/>
              <w:right w:val="single" w:color="auto" w:sz="12" w:space="0"/>
            </w:tcBorders>
            <w:vAlign w:val="center"/>
          </w:tcPr>
          <w:p w14:paraId="56407073">
            <w:pPr>
              <w:snapToGrid w:val="0"/>
              <w:rPr>
                <w:sz w:val="24"/>
              </w:rPr>
            </w:pPr>
            <w:r>
              <w:rPr>
                <w:rFonts w:hint="eastAsia"/>
                <w:sz w:val="24"/>
              </w:rPr>
              <w:t>公司领导审核意见：</w:t>
            </w:r>
          </w:p>
          <w:p w14:paraId="5C6980A0">
            <w:pPr>
              <w:snapToGrid w:val="0"/>
              <w:rPr>
                <w:sz w:val="24"/>
              </w:rPr>
            </w:pPr>
          </w:p>
          <w:p w14:paraId="45E12A3F">
            <w:pPr>
              <w:snapToGrid w:val="0"/>
              <w:rPr>
                <w:sz w:val="24"/>
              </w:rPr>
            </w:pPr>
          </w:p>
          <w:p w14:paraId="6F38C94E">
            <w:pPr>
              <w:snapToGrid w:val="0"/>
              <w:rPr>
                <w:sz w:val="24"/>
              </w:rPr>
            </w:pPr>
          </w:p>
        </w:tc>
      </w:tr>
    </w:tbl>
    <w:p w14:paraId="44D1DE3E">
      <w:pPr>
        <w:pStyle w:val="63"/>
        <w:ind w:firstLine="0" w:firstLineChars="0"/>
      </w:pPr>
    </w:p>
    <w:p w14:paraId="0E79AA7F">
      <w:pPr>
        <w:pStyle w:val="63"/>
        <w:ind w:firstLine="0" w:firstLineChars="0"/>
      </w:pPr>
    </w:p>
    <w:p w14:paraId="3A8348A8">
      <w:pPr>
        <w:jc w:val="center"/>
      </w:pPr>
    </w:p>
    <w:p w14:paraId="72E56EA7">
      <w:pPr>
        <w:jc w:val="center"/>
      </w:pPr>
      <w:r>
        <w:rPr>
          <w:rFonts w:hint="eastAsia"/>
        </w:rPr>
        <w:t>附录</w:t>
      </w:r>
      <w:r>
        <w:t>D</w:t>
      </w:r>
      <w:r>
        <w:br w:type="textWrapping"/>
      </w:r>
      <w:r>
        <w:rPr>
          <w:rFonts w:hint="eastAsia"/>
        </w:rPr>
        <w:t>（规范性附录）</w:t>
      </w:r>
    </w:p>
    <w:p w14:paraId="777AD380">
      <w:pPr>
        <w:jc w:val="center"/>
      </w:pPr>
      <w:r>
        <w:rPr>
          <w:rFonts w:hint="eastAsia"/>
        </w:rPr>
        <w:t>工程设计变更申请审批表（施工单位）</w:t>
      </w:r>
    </w:p>
    <w:p w14:paraId="7B1A0833">
      <w:pPr>
        <w:pStyle w:val="63"/>
        <w:ind w:firstLine="630" w:firstLineChars="300"/>
        <w:rPr>
          <w:szCs w:val="21"/>
          <w:u w:val="single"/>
        </w:rPr>
      </w:pPr>
      <w:r>
        <w:rPr>
          <w:rFonts w:hint="eastAsia"/>
        </w:rPr>
        <w:t>合同编号</w:t>
      </w:r>
      <w:r>
        <w:rPr>
          <w:rFonts w:hint="eastAsia"/>
          <w:szCs w:val="21"/>
          <w:u w:val="single"/>
        </w:rPr>
        <w:t xml:space="preserve">                 </w:t>
      </w:r>
      <w:r>
        <w:rPr>
          <w:szCs w:val="21"/>
        </w:rPr>
        <w:t xml:space="preserve">  </w:t>
      </w:r>
      <w:r>
        <w:rPr>
          <w:rFonts w:hint="eastAsia"/>
          <w:szCs w:val="21"/>
        </w:rPr>
        <w:t>记录编号</w:t>
      </w:r>
      <w:r>
        <w:rPr>
          <w:rFonts w:hint="eastAsia"/>
          <w:szCs w:val="21"/>
          <w:u w:val="single"/>
        </w:rPr>
        <w:t xml:space="preserve">：J/SZ </w:t>
      </w:r>
      <w:r>
        <w:rPr>
          <w:szCs w:val="21"/>
          <w:u w:val="single"/>
        </w:rPr>
        <w:t>S05.007.3-</w:t>
      </w:r>
      <w:r>
        <w:rPr>
          <w:rFonts w:hint="eastAsia"/>
          <w:szCs w:val="21"/>
          <w:u w:val="single"/>
        </w:rPr>
        <w:t>4</w:t>
      </w:r>
      <w:r>
        <w:rPr>
          <w:szCs w:val="21"/>
          <w:u w:val="single"/>
        </w:rPr>
        <w:t xml:space="preserve">  </w:t>
      </w:r>
      <w:r>
        <w:rPr>
          <w:szCs w:val="21"/>
        </w:rPr>
        <w:t xml:space="preserve">               </w:t>
      </w:r>
      <w:r>
        <w:rPr>
          <w:rFonts w:hint="eastAsia"/>
          <w:szCs w:val="21"/>
        </w:rPr>
        <w:t>保存期</w:t>
      </w:r>
      <w:r>
        <w:rPr>
          <w:rFonts w:hint="eastAsia"/>
          <w:szCs w:val="21"/>
          <w:u w:val="single"/>
        </w:rPr>
        <w:t xml:space="preserve"> 长期</w:t>
      </w:r>
    </w:p>
    <w:tbl>
      <w:tblPr>
        <w:tblStyle w:val="20"/>
        <w:tblW w:w="93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792"/>
        <w:gridCol w:w="1159"/>
        <w:gridCol w:w="901"/>
        <w:gridCol w:w="1541"/>
        <w:gridCol w:w="3045"/>
      </w:tblGrid>
      <w:tr w14:paraId="5108D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920" w:type="dxa"/>
            <w:tcBorders>
              <w:top w:val="single" w:color="auto" w:sz="12" w:space="0"/>
              <w:left w:val="single" w:color="auto" w:sz="12" w:space="0"/>
              <w:bottom w:val="single" w:color="auto" w:sz="6" w:space="0"/>
              <w:right w:val="single" w:color="auto" w:sz="6" w:space="0"/>
            </w:tcBorders>
            <w:vAlign w:val="center"/>
          </w:tcPr>
          <w:p w14:paraId="2D3F3FEC">
            <w:pPr>
              <w:snapToGrid w:val="0"/>
              <w:jc w:val="center"/>
              <w:rPr>
                <w:sz w:val="24"/>
              </w:rPr>
            </w:pPr>
            <w:r>
              <w:rPr>
                <w:rFonts w:hint="eastAsia"/>
                <w:sz w:val="24"/>
              </w:rPr>
              <w:t>工程名称</w:t>
            </w:r>
          </w:p>
        </w:tc>
        <w:tc>
          <w:tcPr>
            <w:tcW w:w="2852" w:type="dxa"/>
            <w:gridSpan w:val="3"/>
            <w:tcBorders>
              <w:top w:val="single" w:color="auto" w:sz="12" w:space="0"/>
              <w:left w:val="single" w:color="auto" w:sz="6" w:space="0"/>
              <w:bottom w:val="single" w:color="auto" w:sz="6" w:space="0"/>
              <w:right w:val="single" w:color="auto" w:sz="6" w:space="0"/>
            </w:tcBorders>
            <w:vAlign w:val="center"/>
          </w:tcPr>
          <w:p w14:paraId="6079E6CF">
            <w:pPr>
              <w:snapToGrid w:val="0"/>
              <w:jc w:val="center"/>
              <w:rPr>
                <w:sz w:val="24"/>
              </w:rPr>
            </w:pPr>
          </w:p>
        </w:tc>
        <w:tc>
          <w:tcPr>
            <w:tcW w:w="1541" w:type="dxa"/>
            <w:tcBorders>
              <w:top w:val="single" w:color="auto" w:sz="12" w:space="0"/>
              <w:left w:val="single" w:color="auto" w:sz="6" w:space="0"/>
              <w:bottom w:val="single" w:color="auto" w:sz="6" w:space="0"/>
              <w:right w:val="single" w:color="auto" w:sz="6" w:space="0"/>
            </w:tcBorders>
            <w:vAlign w:val="center"/>
          </w:tcPr>
          <w:p w14:paraId="75F54DEA">
            <w:pPr>
              <w:snapToGrid w:val="0"/>
              <w:jc w:val="center"/>
              <w:rPr>
                <w:sz w:val="24"/>
              </w:rPr>
            </w:pPr>
            <w:r>
              <w:rPr>
                <w:rFonts w:hint="eastAsia"/>
                <w:sz w:val="24"/>
              </w:rPr>
              <w:t>变更部位</w:t>
            </w:r>
          </w:p>
        </w:tc>
        <w:tc>
          <w:tcPr>
            <w:tcW w:w="3045" w:type="dxa"/>
            <w:tcBorders>
              <w:top w:val="single" w:color="auto" w:sz="12" w:space="0"/>
              <w:left w:val="single" w:color="auto" w:sz="6" w:space="0"/>
              <w:bottom w:val="single" w:color="auto" w:sz="6" w:space="0"/>
              <w:right w:val="single" w:color="auto" w:sz="12" w:space="0"/>
            </w:tcBorders>
            <w:vAlign w:val="center"/>
          </w:tcPr>
          <w:p w14:paraId="65A9FC59">
            <w:pPr>
              <w:snapToGrid w:val="0"/>
              <w:jc w:val="center"/>
              <w:rPr>
                <w:sz w:val="24"/>
              </w:rPr>
            </w:pPr>
          </w:p>
        </w:tc>
      </w:tr>
      <w:tr w14:paraId="70FDA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920" w:type="dxa"/>
            <w:tcBorders>
              <w:top w:val="single" w:color="auto" w:sz="6" w:space="0"/>
              <w:left w:val="single" w:color="auto" w:sz="12" w:space="0"/>
              <w:bottom w:val="single" w:color="auto" w:sz="6" w:space="0"/>
              <w:right w:val="single" w:color="auto" w:sz="6" w:space="0"/>
            </w:tcBorders>
            <w:vAlign w:val="center"/>
          </w:tcPr>
          <w:p w14:paraId="010201DD">
            <w:pPr>
              <w:snapToGrid w:val="0"/>
              <w:jc w:val="center"/>
              <w:rPr>
                <w:sz w:val="24"/>
              </w:rPr>
            </w:pPr>
            <w:r>
              <w:rPr>
                <w:rFonts w:hint="eastAsia"/>
                <w:sz w:val="24"/>
              </w:rPr>
              <w:t>原设计图名称</w:t>
            </w:r>
          </w:p>
        </w:tc>
        <w:tc>
          <w:tcPr>
            <w:tcW w:w="2852" w:type="dxa"/>
            <w:gridSpan w:val="3"/>
            <w:tcBorders>
              <w:top w:val="single" w:color="auto" w:sz="6" w:space="0"/>
              <w:left w:val="single" w:color="auto" w:sz="6" w:space="0"/>
              <w:bottom w:val="single" w:color="auto" w:sz="6" w:space="0"/>
              <w:right w:val="single" w:color="auto" w:sz="6" w:space="0"/>
            </w:tcBorders>
            <w:vAlign w:val="center"/>
          </w:tcPr>
          <w:p w14:paraId="66E5863B">
            <w:pPr>
              <w:snapToGrid w:val="0"/>
              <w:jc w:val="center"/>
              <w:rPr>
                <w:sz w:val="24"/>
              </w:rPr>
            </w:pPr>
          </w:p>
        </w:tc>
        <w:tc>
          <w:tcPr>
            <w:tcW w:w="1541" w:type="dxa"/>
            <w:tcBorders>
              <w:top w:val="single" w:color="auto" w:sz="6" w:space="0"/>
              <w:left w:val="single" w:color="auto" w:sz="6" w:space="0"/>
              <w:bottom w:val="single" w:color="auto" w:sz="6" w:space="0"/>
              <w:right w:val="single" w:color="auto" w:sz="6" w:space="0"/>
            </w:tcBorders>
            <w:vAlign w:val="center"/>
          </w:tcPr>
          <w:p w14:paraId="6551AC3E">
            <w:pPr>
              <w:snapToGrid w:val="0"/>
              <w:ind w:left="-134" w:leftChars="-64"/>
              <w:jc w:val="center"/>
              <w:rPr>
                <w:sz w:val="24"/>
              </w:rPr>
            </w:pPr>
            <w:r>
              <w:rPr>
                <w:rFonts w:hint="eastAsia"/>
                <w:sz w:val="24"/>
              </w:rPr>
              <w:t>图    号</w:t>
            </w:r>
          </w:p>
        </w:tc>
        <w:tc>
          <w:tcPr>
            <w:tcW w:w="3045" w:type="dxa"/>
            <w:tcBorders>
              <w:top w:val="single" w:color="auto" w:sz="6" w:space="0"/>
              <w:left w:val="single" w:color="auto" w:sz="6" w:space="0"/>
              <w:bottom w:val="single" w:color="auto" w:sz="6" w:space="0"/>
              <w:right w:val="single" w:color="auto" w:sz="12" w:space="0"/>
            </w:tcBorders>
            <w:vAlign w:val="center"/>
          </w:tcPr>
          <w:p w14:paraId="29258256">
            <w:pPr>
              <w:snapToGrid w:val="0"/>
              <w:jc w:val="center"/>
              <w:rPr>
                <w:sz w:val="24"/>
              </w:rPr>
            </w:pPr>
          </w:p>
        </w:tc>
      </w:tr>
      <w:tr w14:paraId="75533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4" w:hRule="atLeast"/>
          <w:jc w:val="center"/>
        </w:trPr>
        <w:tc>
          <w:tcPr>
            <w:tcW w:w="9358" w:type="dxa"/>
            <w:gridSpan w:val="6"/>
            <w:tcBorders>
              <w:top w:val="single" w:color="auto" w:sz="6" w:space="0"/>
              <w:left w:val="single" w:color="auto" w:sz="12" w:space="0"/>
              <w:bottom w:val="single" w:color="auto" w:sz="4" w:space="0"/>
              <w:right w:val="single" w:color="auto" w:sz="12" w:space="0"/>
            </w:tcBorders>
            <w:vAlign w:val="center"/>
          </w:tcPr>
          <w:p w14:paraId="71A7F055">
            <w:pPr>
              <w:snapToGrid w:val="0"/>
              <w:rPr>
                <w:sz w:val="24"/>
              </w:rPr>
            </w:pPr>
            <w:r>
              <w:rPr>
                <w:rFonts w:hint="eastAsia"/>
                <w:sz w:val="24"/>
              </w:rPr>
              <w:t>变更原因及内容（对应3</w:t>
            </w:r>
            <w:r>
              <w:rPr>
                <w:sz w:val="24"/>
              </w:rPr>
              <w:t>.1</w:t>
            </w:r>
            <w:r>
              <w:rPr>
                <w:rFonts w:hint="eastAsia"/>
                <w:sz w:val="24"/>
              </w:rPr>
              <w:t>条填写）：</w:t>
            </w:r>
          </w:p>
          <w:p w14:paraId="1705243C">
            <w:pPr>
              <w:snapToGrid w:val="0"/>
              <w:rPr>
                <w:sz w:val="24"/>
              </w:rPr>
            </w:pPr>
          </w:p>
          <w:p w14:paraId="5EBF4D73">
            <w:pPr>
              <w:snapToGrid w:val="0"/>
              <w:rPr>
                <w:sz w:val="24"/>
              </w:rPr>
            </w:pPr>
          </w:p>
          <w:p w14:paraId="04D5DCE1">
            <w:pPr>
              <w:snapToGrid w:val="0"/>
              <w:rPr>
                <w:sz w:val="24"/>
              </w:rPr>
            </w:pPr>
          </w:p>
          <w:p w14:paraId="4FF11B6C">
            <w:pPr>
              <w:snapToGrid w:val="0"/>
              <w:rPr>
                <w:sz w:val="24"/>
              </w:rPr>
            </w:pPr>
          </w:p>
          <w:p w14:paraId="3E23D114">
            <w:pPr>
              <w:snapToGrid w:val="0"/>
              <w:rPr>
                <w:sz w:val="24"/>
              </w:rPr>
            </w:pPr>
          </w:p>
          <w:p w14:paraId="41BB3F56">
            <w:pPr>
              <w:snapToGrid w:val="0"/>
              <w:rPr>
                <w:sz w:val="24"/>
              </w:rPr>
            </w:pPr>
          </w:p>
          <w:p w14:paraId="13AE2C85">
            <w:pPr>
              <w:snapToGrid w:val="0"/>
              <w:rPr>
                <w:sz w:val="24"/>
              </w:rPr>
            </w:pPr>
          </w:p>
          <w:p w14:paraId="533882EE">
            <w:pPr>
              <w:snapToGrid w:val="0"/>
              <w:rPr>
                <w:sz w:val="24"/>
              </w:rPr>
            </w:pPr>
          </w:p>
          <w:p w14:paraId="078990C3">
            <w:pPr>
              <w:snapToGrid w:val="0"/>
              <w:rPr>
                <w:sz w:val="24"/>
              </w:rPr>
            </w:pPr>
          </w:p>
          <w:p w14:paraId="6D74D27C">
            <w:pPr>
              <w:snapToGrid w:val="0"/>
              <w:rPr>
                <w:sz w:val="24"/>
              </w:rPr>
            </w:pPr>
          </w:p>
          <w:p w14:paraId="10D30A4B">
            <w:pPr>
              <w:snapToGrid w:val="0"/>
              <w:rPr>
                <w:sz w:val="24"/>
              </w:rPr>
            </w:pPr>
          </w:p>
        </w:tc>
      </w:tr>
      <w:tr w14:paraId="50C75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9358" w:type="dxa"/>
            <w:gridSpan w:val="6"/>
            <w:tcBorders>
              <w:top w:val="single" w:color="auto" w:sz="4" w:space="0"/>
              <w:left w:val="single" w:color="auto" w:sz="12" w:space="0"/>
              <w:bottom w:val="single" w:color="auto" w:sz="6" w:space="0"/>
              <w:right w:val="single" w:color="auto" w:sz="12" w:space="0"/>
            </w:tcBorders>
            <w:vAlign w:val="center"/>
          </w:tcPr>
          <w:p w14:paraId="456A3C67">
            <w:pPr>
              <w:snapToGrid w:val="0"/>
              <w:rPr>
                <w:sz w:val="24"/>
              </w:rPr>
            </w:pPr>
            <w:r>
              <w:rPr>
                <w:rFonts w:hint="eastAsia"/>
                <w:sz w:val="24"/>
              </w:rPr>
              <w:t>施工单位专业技术负责人：</w:t>
            </w:r>
          </w:p>
          <w:p w14:paraId="52017CA8">
            <w:pPr>
              <w:snapToGrid w:val="0"/>
              <w:rPr>
                <w:sz w:val="24"/>
              </w:rPr>
            </w:pPr>
          </w:p>
          <w:p w14:paraId="2FDEE1A0">
            <w:pPr>
              <w:snapToGrid w:val="0"/>
              <w:rPr>
                <w:sz w:val="24"/>
              </w:rPr>
            </w:pPr>
            <w:r>
              <w:rPr>
                <w:rFonts w:hint="eastAsia"/>
                <w:sz w:val="24"/>
              </w:rPr>
              <w:t>施工单位项目经理（盖章）：</w:t>
            </w:r>
          </w:p>
          <w:p w14:paraId="134A6C09">
            <w:pPr>
              <w:snapToGrid w:val="0"/>
              <w:rPr>
                <w:sz w:val="24"/>
              </w:rPr>
            </w:pPr>
          </w:p>
        </w:tc>
      </w:tr>
      <w:tr w14:paraId="789B4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9358" w:type="dxa"/>
            <w:gridSpan w:val="6"/>
            <w:tcBorders>
              <w:top w:val="single" w:color="auto" w:sz="4" w:space="0"/>
              <w:left w:val="single" w:color="auto" w:sz="12" w:space="0"/>
              <w:bottom w:val="single" w:color="auto" w:sz="6" w:space="0"/>
              <w:right w:val="single" w:color="auto" w:sz="12" w:space="0"/>
            </w:tcBorders>
            <w:vAlign w:val="center"/>
          </w:tcPr>
          <w:p w14:paraId="53EE579D">
            <w:pPr>
              <w:snapToGrid w:val="0"/>
              <w:rPr>
                <w:sz w:val="24"/>
              </w:rPr>
            </w:pPr>
            <w:r>
              <w:rPr>
                <w:rFonts w:hint="eastAsia"/>
                <w:sz w:val="24"/>
              </w:rPr>
              <w:t>建设单位专业设计人员：</w:t>
            </w:r>
          </w:p>
          <w:p w14:paraId="0E167138">
            <w:pPr>
              <w:snapToGrid w:val="0"/>
              <w:rPr>
                <w:sz w:val="24"/>
              </w:rPr>
            </w:pPr>
          </w:p>
          <w:p w14:paraId="41A0CD98">
            <w:pPr>
              <w:snapToGrid w:val="0"/>
              <w:rPr>
                <w:sz w:val="24"/>
              </w:rPr>
            </w:pPr>
            <w:r>
              <w:rPr>
                <w:rFonts w:hint="eastAsia"/>
                <w:sz w:val="24"/>
              </w:rPr>
              <w:t>建设单位项目技术负责人：</w:t>
            </w:r>
          </w:p>
          <w:p w14:paraId="5D1D6785">
            <w:pPr>
              <w:snapToGrid w:val="0"/>
              <w:rPr>
                <w:sz w:val="24"/>
              </w:rPr>
            </w:pPr>
          </w:p>
        </w:tc>
      </w:tr>
      <w:tr w14:paraId="3CE1175A">
        <w:tblPrEx>
          <w:tblCellMar>
            <w:top w:w="0" w:type="dxa"/>
            <w:left w:w="108" w:type="dxa"/>
            <w:bottom w:w="0" w:type="dxa"/>
            <w:right w:w="108" w:type="dxa"/>
          </w:tblCellMar>
        </w:tblPrEx>
        <w:trPr>
          <w:trHeight w:val="1149" w:hRule="atLeast"/>
          <w:jc w:val="center"/>
        </w:trPr>
        <w:tc>
          <w:tcPr>
            <w:tcW w:w="3871" w:type="dxa"/>
            <w:gridSpan w:val="3"/>
            <w:tcBorders>
              <w:top w:val="single" w:color="auto" w:sz="6" w:space="0"/>
              <w:left w:val="single" w:color="auto" w:sz="12" w:space="0"/>
              <w:bottom w:val="single" w:color="auto" w:sz="6" w:space="0"/>
              <w:right w:val="single" w:color="auto" w:sz="6" w:space="0"/>
            </w:tcBorders>
            <w:vAlign w:val="center"/>
          </w:tcPr>
          <w:p w14:paraId="733766B1">
            <w:pPr>
              <w:snapToGrid w:val="0"/>
              <w:rPr>
                <w:sz w:val="24"/>
              </w:rPr>
            </w:pPr>
            <w:r>
              <w:rPr>
                <w:rFonts w:hint="eastAsia"/>
                <w:sz w:val="24"/>
              </w:rPr>
              <w:t>设计单位审核意见：（盖章）</w:t>
            </w:r>
          </w:p>
          <w:p w14:paraId="5FA25FF7">
            <w:pPr>
              <w:snapToGrid w:val="0"/>
              <w:rPr>
                <w:sz w:val="24"/>
              </w:rPr>
            </w:pPr>
          </w:p>
          <w:p w14:paraId="377B253A">
            <w:pPr>
              <w:snapToGrid w:val="0"/>
              <w:rPr>
                <w:sz w:val="24"/>
              </w:rPr>
            </w:pPr>
          </w:p>
        </w:tc>
        <w:tc>
          <w:tcPr>
            <w:tcW w:w="5487" w:type="dxa"/>
            <w:gridSpan w:val="3"/>
            <w:tcBorders>
              <w:top w:val="single" w:color="auto" w:sz="6" w:space="0"/>
              <w:left w:val="single" w:color="auto" w:sz="6" w:space="0"/>
              <w:bottom w:val="single" w:color="auto" w:sz="6" w:space="0"/>
              <w:right w:val="single" w:color="auto" w:sz="12" w:space="0"/>
            </w:tcBorders>
            <w:vAlign w:val="center"/>
          </w:tcPr>
          <w:p w14:paraId="726549BE">
            <w:pPr>
              <w:snapToGrid w:val="0"/>
              <w:rPr>
                <w:sz w:val="24"/>
              </w:rPr>
            </w:pPr>
            <w:r>
              <w:rPr>
                <w:rFonts w:hint="eastAsia"/>
                <w:sz w:val="24"/>
              </w:rPr>
              <w:t>预决算审核意见：</w:t>
            </w:r>
          </w:p>
          <w:p w14:paraId="4DB29108">
            <w:pPr>
              <w:snapToGrid w:val="0"/>
              <w:rPr>
                <w:sz w:val="24"/>
              </w:rPr>
            </w:pPr>
          </w:p>
          <w:p w14:paraId="1615A004"/>
          <w:p w14:paraId="4A40EA71">
            <w:pPr>
              <w:snapToGrid w:val="0"/>
              <w:rPr>
                <w:sz w:val="24"/>
              </w:rPr>
            </w:pPr>
          </w:p>
        </w:tc>
      </w:tr>
      <w:tr w14:paraId="0C92B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2712" w:type="dxa"/>
            <w:gridSpan w:val="2"/>
            <w:tcBorders>
              <w:top w:val="single" w:color="auto" w:sz="6" w:space="0"/>
              <w:left w:val="single" w:color="auto" w:sz="12" w:space="0"/>
              <w:right w:val="single" w:color="auto" w:sz="4" w:space="0"/>
            </w:tcBorders>
            <w:vAlign w:val="center"/>
          </w:tcPr>
          <w:p w14:paraId="25288D2F">
            <w:pPr>
              <w:snapToGrid w:val="0"/>
              <w:rPr>
                <w:sz w:val="24"/>
              </w:rPr>
            </w:pPr>
            <w:r>
              <w:rPr>
                <w:rFonts w:hint="eastAsia"/>
                <w:sz w:val="24"/>
              </w:rPr>
              <w:t>建设单位项目（执行）经理：</w:t>
            </w:r>
          </w:p>
          <w:p w14:paraId="7C59FCFE">
            <w:pPr>
              <w:snapToGrid w:val="0"/>
              <w:rPr>
                <w:sz w:val="24"/>
              </w:rPr>
            </w:pPr>
            <w:r>
              <w:rPr>
                <w:sz w:val="24"/>
              </w:rPr>
              <w:t>数智化工装技术中心领导：</w:t>
            </w:r>
          </w:p>
        </w:tc>
        <w:tc>
          <w:tcPr>
            <w:tcW w:w="6646" w:type="dxa"/>
            <w:gridSpan w:val="4"/>
            <w:tcBorders>
              <w:top w:val="single" w:color="auto" w:sz="6" w:space="0"/>
              <w:left w:val="single" w:color="auto" w:sz="4" w:space="0"/>
              <w:bottom w:val="single" w:color="auto" w:sz="4" w:space="0"/>
              <w:right w:val="single" w:color="auto" w:sz="12" w:space="0"/>
            </w:tcBorders>
            <w:vAlign w:val="center"/>
          </w:tcPr>
          <w:p w14:paraId="1DEDC924">
            <w:pPr>
              <w:snapToGrid w:val="0"/>
              <w:rPr>
                <w:sz w:val="24"/>
              </w:rPr>
            </w:pPr>
            <w:r>
              <w:rPr>
                <w:rFonts w:hint="eastAsia"/>
                <w:sz w:val="24"/>
              </w:rPr>
              <w:t>建设单位项目执行经理考核建议：</w:t>
            </w:r>
          </w:p>
          <w:p w14:paraId="098C52ED">
            <w:pPr>
              <w:snapToGrid w:val="0"/>
              <w:rPr>
                <w:sz w:val="24"/>
              </w:rPr>
            </w:pPr>
          </w:p>
          <w:p w14:paraId="3E70E0EC">
            <w:pPr>
              <w:snapToGrid w:val="0"/>
              <w:rPr>
                <w:sz w:val="24"/>
              </w:rPr>
            </w:pPr>
          </w:p>
          <w:p w14:paraId="2717BBD1">
            <w:pPr>
              <w:snapToGrid w:val="0"/>
              <w:rPr>
                <w:sz w:val="24"/>
              </w:rPr>
            </w:pPr>
          </w:p>
        </w:tc>
      </w:tr>
      <w:tr w14:paraId="56F1E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712" w:type="dxa"/>
            <w:gridSpan w:val="2"/>
            <w:tcBorders>
              <w:top w:val="single" w:color="auto" w:sz="4" w:space="0"/>
              <w:left w:val="single" w:color="auto" w:sz="12" w:space="0"/>
              <w:bottom w:val="single" w:color="auto" w:sz="6" w:space="0"/>
              <w:right w:val="single" w:color="auto" w:sz="4" w:space="0"/>
            </w:tcBorders>
            <w:vAlign w:val="center"/>
          </w:tcPr>
          <w:p w14:paraId="477DF68D">
            <w:pPr>
              <w:snapToGrid w:val="0"/>
              <w:rPr>
                <w:sz w:val="24"/>
              </w:rPr>
            </w:pPr>
            <w:r>
              <w:rPr>
                <w:rFonts w:hint="eastAsia"/>
                <w:sz w:val="24"/>
              </w:rPr>
              <w:t>项目办领导审核意见（签字盖章）</w:t>
            </w:r>
          </w:p>
        </w:tc>
        <w:tc>
          <w:tcPr>
            <w:tcW w:w="6646" w:type="dxa"/>
            <w:gridSpan w:val="4"/>
            <w:tcBorders>
              <w:top w:val="single" w:color="auto" w:sz="4" w:space="0"/>
              <w:left w:val="single" w:color="auto" w:sz="4" w:space="0"/>
              <w:bottom w:val="single" w:color="auto" w:sz="6" w:space="0"/>
              <w:right w:val="single" w:color="auto" w:sz="12" w:space="0"/>
            </w:tcBorders>
            <w:vAlign w:val="center"/>
          </w:tcPr>
          <w:p w14:paraId="179FD3AE">
            <w:pPr>
              <w:widowControl/>
              <w:jc w:val="left"/>
              <w:rPr>
                <w:sz w:val="24"/>
              </w:rPr>
            </w:pPr>
          </w:p>
          <w:p w14:paraId="4D9DF059">
            <w:pPr>
              <w:snapToGrid w:val="0"/>
              <w:rPr>
                <w:sz w:val="24"/>
              </w:rPr>
            </w:pPr>
          </w:p>
        </w:tc>
      </w:tr>
      <w:tr w14:paraId="23612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9358" w:type="dxa"/>
            <w:gridSpan w:val="6"/>
            <w:tcBorders>
              <w:top w:val="single" w:color="auto" w:sz="6" w:space="0"/>
              <w:left w:val="single" w:color="auto" w:sz="12" w:space="0"/>
              <w:bottom w:val="single" w:color="auto" w:sz="12" w:space="0"/>
              <w:right w:val="single" w:color="auto" w:sz="12" w:space="0"/>
            </w:tcBorders>
            <w:vAlign w:val="center"/>
          </w:tcPr>
          <w:p w14:paraId="0CE74EA2">
            <w:pPr>
              <w:snapToGrid w:val="0"/>
              <w:rPr>
                <w:sz w:val="24"/>
              </w:rPr>
            </w:pPr>
            <w:r>
              <w:rPr>
                <w:rFonts w:hint="eastAsia"/>
                <w:sz w:val="24"/>
              </w:rPr>
              <w:t>公司领导审核意见：</w:t>
            </w:r>
          </w:p>
          <w:p w14:paraId="0F00BB88">
            <w:pPr>
              <w:snapToGrid w:val="0"/>
              <w:rPr>
                <w:sz w:val="24"/>
              </w:rPr>
            </w:pPr>
          </w:p>
          <w:p w14:paraId="5BFCF06A">
            <w:pPr>
              <w:snapToGrid w:val="0"/>
              <w:rPr>
                <w:sz w:val="24"/>
              </w:rPr>
            </w:pPr>
          </w:p>
          <w:p w14:paraId="19182074">
            <w:pPr>
              <w:snapToGrid w:val="0"/>
              <w:rPr>
                <w:sz w:val="24"/>
              </w:rPr>
            </w:pPr>
          </w:p>
        </w:tc>
      </w:tr>
    </w:tbl>
    <w:p w14:paraId="2429CBE4">
      <w:pPr>
        <w:jc w:val="center"/>
      </w:pPr>
    </w:p>
    <w:p w14:paraId="5EECFBBB">
      <w:pPr>
        <w:pStyle w:val="63"/>
      </w:pPr>
      <w:r>
        <w:br w:type="page"/>
      </w:r>
    </w:p>
    <w:p w14:paraId="7C33AFF1">
      <w:pPr>
        <w:jc w:val="center"/>
      </w:pPr>
      <w:r>
        <w:rPr>
          <w:rFonts w:hint="eastAsia"/>
        </w:rPr>
        <w:t>附录E</w:t>
      </w:r>
      <w:r>
        <w:br w:type="textWrapping"/>
      </w:r>
      <w:r>
        <w:rPr>
          <w:rFonts w:hint="eastAsia"/>
        </w:rPr>
        <w:t>（规范性附录）</w:t>
      </w:r>
    </w:p>
    <w:p w14:paraId="21F82F72">
      <w:pPr>
        <w:jc w:val="center"/>
      </w:pPr>
      <w:r>
        <w:rPr>
          <w:rFonts w:hint="eastAsia"/>
        </w:rPr>
        <w:t>建设单位提出的设计变更流程</w:t>
      </w:r>
    </w:p>
    <w:p w14:paraId="12CA7FEF">
      <w:pPr>
        <w:jc w:val="center"/>
      </w:pPr>
      <w:r>
        <w:object>
          <v:shape id="_x0000_i1025" o:spt="75" type="#_x0000_t75" style="height:561.3pt;width:456.6pt;" o:ole="t" filled="f" o:preferrelative="t" stroked="f" coordsize="21600,21600">
            <v:path/>
            <v:fill on="f" focussize="0,0"/>
            <v:stroke on="f" joinstyle="miter"/>
            <v:imagedata r:id="rId20" o:title=""/>
            <o:lock v:ext="edit" aspectratio="t"/>
            <w10:wrap type="none"/>
            <w10:anchorlock/>
          </v:shape>
          <o:OLEObject Type="Embed" ProgID="Visio.Drawing.15" ShapeID="_x0000_i1025" DrawAspect="Content" ObjectID="_1468075725" r:id="rId19">
            <o:LockedField>false</o:LockedField>
          </o:OLEObject>
        </w:object>
      </w:r>
    </w:p>
    <w:p w14:paraId="0AB46C34">
      <w:pPr>
        <w:jc w:val="center"/>
      </w:pPr>
    </w:p>
    <w:p w14:paraId="0A0604F5"/>
    <w:p w14:paraId="695FB544">
      <w:pPr>
        <w:jc w:val="center"/>
      </w:pPr>
    </w:p>
    <w:p w14:paraId="2A723BC1">
      <w:pPr>
        <w:jc w:val="center"/>
      </w:pPr>
      <w:r>
        <w:rPr>
          <w:rFonts w:hint="eastAsia"/>
        </w:rPr>
        <w:t>附录F</w:t>
      </w:r>
      <w:r>
        <w:br w:type="textWrapping"/>
      </w:r>
      <w:r>
        <w:rPr>
          <w:rFonts w:hint="eastAsia"/>
        </w:rPr>
        <w:t>（规范性附录）</w:t>
      </w:r>
    </w:p>
    <w:p w14:paraId="62D4FB08">
      <w:pPr>
        <w:pStyle w:val="63"/>
        <w:ind w:firstLine="0" w:firstLineChars="0"/>
        <w:jc w:val="center"/>
      </w:pPr>
      <w:r>
        <w:rPr>
          <w:rFonts w:hint="eastAsia"/>
        </w:rPr>
        <w:t>设计院提出的设计变更流程</w:t>
      </w:r>
    </w:p>
    <w:p w14:paraId="29A95797">
      <w:pPr>
        <w:pStyle w:val="63"/>
        <w:ind w:firstLine="0" w:firstLineChars="0"/>
        <w:jc w:val="center"/>
      </w:pPr>
      <w:r>
        <w:object>
          <v:shape id="_x0000_i1026" o:spt="75" type="#_x0000_t75" style="height:491.4pt;width:456.6pt;" o:ole="t" filled="f" o:preferrelative="t" stroked="f" coordsize="21600,21600">
            <v:path/>
            <v:fill on="f" focussize="0,0"/>
            <v:stroke on="f" joinstyle="miter"/>
            <v:imagedata r:id="rId22" o:title=""/>
            <o:lock v:ext="edit" aspectratio="t"/>
            <w10:wrap type="none"/>
            <w10:anchorlock/>
          </v:shape>
          <o:OLEObject Type="Embed" ProgID="Visio.Drawing.15" ShapeID="_x0000_i1026" DrawAspect="Content" ObjectID="_1468075726" r:id="rId21">
            <o:LockedField>false</o:LockedField>
          </o:OLEObject>
        </w:object>
      </w:r>
    </w:p>
    <w:p w14:paraId="74B2D17A">
      <w:pPr>
        <w:pStyle w:val="63"/>
        <w:ind w:firstLine="0" w:firstLineChars="0"/>
      </w:pPr>
    </w:p>
    <w:p w14:paraId="4A69E78F">
      <w:pPr>
        <w:pStyle w:val="63"/>
        <w:ind w:firstLine="0" w:firstLineChars="0"/>
      </w:pPr>
    </w:p>
    <w:p w14:paraId="64B9ADC6">
      <w:pPr>
        <w:pStyle w:val="63"/>
        <w:ind w:firstLine="0" w:firstLineChars="0"/>
      </w:pPr>
    </w:p>
    <w:p w14:paraId="71FEADEC">
      <w:pPr>
        <w:pStyle w:val="63"/>
        <w:ind w:firstLine="0" w:firstLineChars="0"/>
      </w:pPr>
    </w:p>
    <w:p w14:paraId="62C934CF">
      <w:pPr>
        <w:pStyle w:val="63"/>
        <w:ind w:firstLine="0" w:firstLineChars="0"/>
        <w:jc w:val="center"/>
      </w:pPr>
    </w:p>
    <w:p w14:paraId="793AD466">
      <w:pPr>
        <w:pStyle w:val="63"/>
        <w:ind w:firstLine="0" w:firstLineChars="0"/>
      </w:pPr>
    </w:p>
    <w:p w14:paraId="75D51C0E">
      <w:pPr>
        <w:pStyle w:val="63"/>
        <w:ind w:firstLine="0" w:firstLineChars="0"/>
        <w:jc w:val="center"/>
      </w:pPr>
      <w:r>
        <w:br w:type="page"/>
      </w:r>
    </w:p>
    <w:p w14:paraId="276E7A1B">
      <w:pPr>
        <w:jc w:val="center"/>
      </w:pPr>
      <w:r>
        <w:rPr>
          <w:rFonts w:hint="eastAsia"/>
        </w:rPr>
        <w:t>附录G</w:t>
      </w:r>
    </w:p>
    <w:p w14:paraId="2FFC322B">
      <w:pPr>
        <w:jc w:val="center"/>
      </w:pPr>
      <w:r>
        <w:rPr>
          <w:rFonts w:hint="eastAsia"/>
        </w:rPr>
        <w:t>（规范性附录）</w:t>
      </w:r>
    </w:p>
    <w:p w14:paraId="79087844">
      <w:pPr>
        <w:pStyle w:val="63"/>
        <w:ind w:firstLine="0" w:firstLineChars="0"/>
        <w:jc w:val="center"/>
      </w:pPr>
      <w:r>
        <w:rPr>
          <w:rFonts w:hint="eastAsia"/>
        </w:rPr>
        <w:t>施工单位提出的设计变更流程</w:t>
      </w:r>
    </w:p>
    <w:p w14:paraId="1869DD41">
      <w:pPr>
        <w:tabs>
          <w:tab w:val="left" w:pos="931"/>
        </w:tabs>
        <w:jc w:val="left"/>
      </w:pPr>
      <w:r>
        <w:object>
          <v:shape id="_x0000_i1027" o:spt="75" type="#_x0000_t75" style="height:561.3pt;width:456.6pt;" o:ole="t" filled="f" o:preferrelative="t" stroked="f" coordsize="21600,21600">
            <v:path/>
            <v:fill on="f" focussize="0,0"/>
            <v:stroke on="f" joinstyle="miter"/>
            <v:imagedata r:id="rId24" o:title=""/>
            <o:lock v:ext="edit" aspectratio="t"/>
            <w10:wrap type="none"/>
            <w10:anchorlock/>
          </v:shape>
          <o:OLEObject Type="Embed" ProgID="Visio.Drawing.15" ShapeID="_x0000_i1027" DrawAspect="Content" ObjectID="_1468075727" r:id="rId23">
            <o:LockedField>false</o:LockedField>
          </o:OLEObject>
        </w:object>
      </w:r>
    </w:p>
    <w:p w14:paraId="4F316AD8">
      <w:pPr>
        <w:pStyle w:val="8"/>
        <w:ind w:left="63" w:right="63"/>
        <w:jc w:val="left"/>
        <w:rPr>
          <w:rFonts w:ascii="仿宋_GB2312" w:eastAsia="仿宋_GB2312"/>
          <w:sz w:val="30"/>
          <w:szCs w:val="30"/>
        </w:rPr>
      </w:pPr>
      <w:r>
        <w:br w:type="page"/>
      </w:r>
      <w:r>
        <w:rPr>
          <w:rFonts w:hint="eastAsia" w:ascii="仿宋_GB2312" w:eastAsia="仿宋_GB2312"/>
          <w:sz w:val="30"/>
          <w:szCs w:val="30"/>
        </w:rPr>
        <w:t>附件7：</w:t>
      </w:r>
    </w:p>
    <w:p w14:paraId="34CABA0E">
      <w:pPr>
        <w:pStyle w:val="8"/>
        <w:ind w:left="63" w:right="63"/>
        <w:rPr>
          <w:rFonts w:ascii="仿宋" w:hAnsi="仿宋" w:eastAsia="仿宋" w:cs="仿宋"/>
          <w:spacing w:val="4"/>
          <w:sz w:val="30"/>
          <w:szCs w:val="30"/>
        </w:rPr>
      </w:pPr>
      <w:r>
        <w:rPr>
          <w:rFonts w:hint="eastAsia" w:ascii="宋体" w:hAnsi="宋体" w:cs="宋体"/>
          <w:spacing w:val="4"/>
          <w:sz w:val="30"/>
          <w:szCs w:val="30"/>
        </w:rPr>
        <w:t>履约保函示范文本</w:t>
      </w:r>
    </w:p>
    <w:p w14:paraId="77174EEE">
      <w:pPr>
        <w:pStyle w:val="8"/>
        <w:ind w:left="63" w:right="63"/>
        <w:rPr>
          <w:rFonts w:ascii="仿宋" w:hAnsi="仿宋" w:eastAsia="仿宋" w:cs="仿宋"/>
          <w:spacing w:val="4"/>
          <w:sz w:val="30"/>
          <w:szCs w:val="30"/>
        </w:rPr>
      </w:pPr>
    </w:p>
    <w:p w14:paraId="2E22DC8E">
      <w:pPr>
        <w:pStyle w:val="8"/>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申请人：</w:t>
      </w:r>
    </w:p>
    <w:p w14:paraId="6CD543D2">
      <w:pPr>
        <w:pStyle w:val="8"/>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地</w:t>
      </w:r>
      <w:r>
        <w:rPr>
          <w:rFonts w:hint="eastAsia" w:ascii="仿宋" w:hAnsi="仿宋" w:eastAsia="仿宋" w:cs="仿宋"/>
          <w:spacing w:val="4"/>
          <w:sz w:val="30"/>
          <w:szCs w:val="30"/>
        </w:rPr>
        <w:t xml:space="preserve">  </w:t>
      </w:r>
      <w:r>
        <w:rPr>
          <w:rFonts w:hint="eastAsia" w:ascii="宋体" w:hAnsi="宋体" w:cs="宋体"/>
          <w:spacing w:val="4"/>
          <w:sz w:val="30"/>
          <w:szCs w:val="30"/>
        </w:rPr>
        <w:t>址</w:t>
      </w:r>
      <w:r>
        <w:rPr>
          <w:rFonts w:hint="eastAsia" w:ascii="仿宋" w:hAnsi="仿宋" w:eastAsia="仿宋" w:cs="仿宋"/>
          <w:spacing w:val="4"/>
          <w:sz w:val="30"/>
          <w:szCs w:val="30"/>
        </w:rPr>
        <w:t xml:space="preserve"> </w:t>
      </w:r>
      <w:r>
        <w:rPr>
          <w:rFonts w:hint="eastAsia" w:ascii="宋体" w:hAnsi="宋体" w:cs="宋体"/>
          <w:spacing w:val="4"/>
          <w:sz w:val="30"/>
          <w:szCs w:val="30"/>
        </w:rPr>
        <w:t>：</w:t>
      </w:r>
    </w:p>
    <w:p w14:paraId="52B08050">
      <w:pPr>
        <w:pStyle w:val="8"/>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受益人：</w:t>
      </w:r>
    </w:p>
    <w:p w14:paraId="7775F0FF">
      <w:pPr>
        <w:pStyle w:val="8"/>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地</w:t>
      </w:r>
      <w:r>
        <w:rPr>
          <w:rFonts w:hint="eastAsia" w:ascii="仿宋" w:hAnsi="仿宋" w:eastAsia="仿宋" w:cs="仿宋"/>
          <w:spacing w:val="4"/>
          <w:sz w:val="30"/>
          <w:szCs w:val="30"/>
        </w:rPr>
        <w:t xml:space="preserve">  </w:t>
      </w:r>
      <w:r>
        <w:rPr>
          <w:rFonts w:hint="eastAsia" w:ascii="宋体" w:hAnsi="宋体" w:cs="宋体"/>
          <w:spacing w:val="4"/>
          <w:sz w:val="30"/>
          <w:szCs w:val="30"/>
        </w:rPr>
        <w:t>址</w:t>
      </w:r>
      <w:r>
        <w:rPr>
          <w:rFonts w:hint="eastAsia" w:ascii="仿宋" w:hAnsi="仿宋" w:eastAsia="仿宋" w:cs="仿宋"/>
          <w:spacing w:val="4"/>
          <w:sz w:val="30"/>
          <w:szCs w:val="30"/>
        </w:rPr>
        <w:t xml:space="preserve"> </w:t>
      </w:r>
      <w:r>
        <w:rPr>
          <w:rFonts w:hint="eastAsia" w:ascii="宋体" w:hAnsi="宋体" w:cs="宋体"/>
          <w:spacing w:val="4"/>
          <w:sz w:val="30"/>
          <w:szCs w:val="30"/>
        </w:rPr>
        <w:t>：</w:t>
      </w:r>
    </w:p>
    <w:p w14:paraId="5E5D7D22">
      <w:pPr>
        <w:pStyle w:val="8"/>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开立人：</w:t>
      </w:r>
    </w:p>
    <w:p w14:paraId="0C4F4AC9">
      <w:pPr>
        <w:pStyle w:val="8"/>
        <w:ind w:left="63" w:right="63" w:firstLine="616" w:firstLineChars="200"/>
        <w:jc w:val="left"/>
        <w:rPr>
          <w:rFonts w:ascii="仿宋" w:hAnsi="仿宋" w:cs="仿宋"/>
          <w:spacing w:val="4"/>
          <w:sz w:val="30"/>
          <w:szCs w:val="30"/>
        </w:rPr>
      </w:pPr>
      <w:r>
        <w:rPr>
          <w:rFonts w:hint="eastAsia" w:ascii="宋体" w:hAnsi="宋体" w:cs="宋体"/>
          <w:spacing w:val="4"/>
          <w:sz w:val="30"/>
          <w:szCs w:val="30"/>
        </w:rPr>
        <w:t>地</w:t>
      </w:r>
      <w:r>
        <w:rPr>
          <w:rFonts w:hint="eastAsia" w:ascii="仿宋" w:hAnsi="仿宋" w:eastAsia="仿宋" w:cs="仿宋"/>
          <w:spacing w:val="4"/>
          <w:sz w:val="30"/>
          <w:szCs w:val="30"/>
        </w:rPr>
        <w:t xml:space="preserve">  </w:t>
      </w:r>
      <w:r>
        <w:rPr>
          <w:rFonts w:hint="eastAsia" w:ascii="宋体" w:hAnsi="宋体" w:cs="宋体"/>
          <w:spacing w:val="4"/>
          <w:sz w:val="30"/>
          <w:szCs w:val="30"/>
        </w:rPr>
        <w:t>址：</w:t>
      </w:r>
    </w:p>
    <w:p w14:paraId="26BE9D9B">
      <w:pPr>
        <w:pStyle w:val="8"/>
        <w:ind w:left="71" w:leftChars="34" w:right="63"/>
        <w:jc w:val="left"/>
        <w:rPr>
          <w:rFonts w:ascii="仿宋" w:hAnsi="仿宋" w:cs="仿宋"/>
          <w:spacing w:val="4"/>
          <w:sz w:val="30"/>
          <w:szCs w:val="30"/>
        </w:rPr>
      </w:pP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受益人名称</w:t>
      </w:r>
      <w:r>
        <w:rPr>
          <w:rFonts w:hint="eastAsia" w:ascii="仿宋" w:hAnsi="仿宋" w:eastAsia="仿宋" w:cs="仿宋"/>
          <w:spacing w:val="4"/>
          <w:sz w:val="30"/>
          <w:szCs w:val="30"/>
        </w:rPr>
        <w:t>):</w:t>
      </w:r>
    </w:p>
    <w:p w14:paraId="2DF01BCC">
      <w:pPr>
        <w:pStyle w:val="8"/>
        <w:ind w:left="71" w:leftChars="34" w:right="63" w:firstLine="616" w:firstLineChars="200"/>
        <w:jc w:val="left"/>
        <w:rPr>
          <w:rFonts w:ascii="仿宋" w:hAnsi="仿宋" w:cs="仿宋"/>
          <w:spacing w:val="4"/>
          <w:sz w:val="30"/>
          <w:szCs w:val="30"/>
        </w:rPr>
      </w:pPr>
      <w:r>
        <w:rPr>
          <w:rFonts w:hint="eastAsia" w:ascii="宋体" w:hAnsi="宋体" w:cs="宋体"/>
          <w:spacing w:val="4"/>
          <w:sz w:val="30"/>
          <w:szCs w:val="30"/>
        </w:rPr>
        <w:t>鉴于</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以下简称</w:t>
      </w:r>
      <w:r>
        <w:rPr>
          <w:rFonts w:eastAsia="仿宋"/>
          <w:spacing w:val="4"/>
          <w:sz w:val="30"/>
          <w:szCs w:val="30"/>
        </w:rPr>
        <w:t>“</w:t>
      </w:r>
      <w:r>
        <w:rPr>
          <w:rFonts w:hint="eastAsia" w:ascii="宋体" w:hAnsi="宋体" w:cs="宋体"/>
          <w:spacing w:val="4"/>
          <w:sz w:val="30"/>
          <w:szCs w:val="30"/>
        </w:rPr>
        <w:t>受益人</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与</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 xml:space="preserve">( </w:t>
      </w:r>
      <w:r>
        <w:rPr>
          <w:rFonts w:hint="eastAsia" w:ascii="宋体" w:hAnsi="宋体" w:cs="宋体"/>
          <w:spacing w:val="4"/>
          <w:sz w:val="30"/>
          <w:szCs w:val="30"/>
        </w:rPr>
        <w:t>以</w:t>
      </w:r>
      <w:r>
        <w:rPr>
          <w:rFonts w:hint="eastAsia" w:ascii="仿宋" w:hAnsi="仿宋" w:eastAsia="仿宋" w:cs="仿宋"/>
          <w:spacing w:val="4"/>
          <w:sz w:val="30"/>
          <w:szCs w:val="30"/>
        </w:rPr>
        <w:t xml:space="preserve"> </w:t>
      </w:r>
      <w:r>
        <w:rPr>
          <w:rFonts w:hint="eastAsia" w:ascii="宋体" w:hAnsi="宋体" w:cs="宋体"/>
          <w:spacing w:val="4"/>
          <w:sz w:val="30"/>
          <w:szCs w:val="30"/>
        </w:rPr>
        <w:t>下简称</w:t>
      </w:r>
      <w:r>
        <w:rPr>
          <w:rFonts w:eastAsia="仿宋"/>
          <w:spacing w:val="4"/>
          <w:sz w:val="30"/>
          <w:szCs w:val="30"/>
        </w:rPr>
        <w:t>“</w:t>
      </w:r>
      <w:r>
        <w:rPr>
          <w:rFonts w:hint="eastAsia" w:ascii="宋体" w:hAnsi="宋体" w:cs="宋体"/>
          <w:spacing w:val="4"/>
          <w:sz w:val="30"/>
          <w:szCs w:val="30"/>
        </w:rPr>
        <w:t>申请人</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就工程</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以下简称</w:t>
      </w:r>
      <w:r>
        <w:rPr>
          <w:rFonts w:eastAsia="仿宋"/>
          <w:spacing w:val="4"/>
          <w:sz w:val="30"/>
          <w:szCs w:val="30"/>
        </w:rPr>
        <w:t>“</w:t>
      </w:r>
      <w:r>
        <w:rPr>
          <w:rFonts w:hint="eastAsia" w:ascii="宋体" w:hAnsi="宋体" w:cs="宋体"/>
          <w:spacing w:val="4"/>
          <w:sz w:val="30"/>
          <w:szCs w:val="30"/>
        </w:rPr>
        <w:t>本工程</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施工和有关事项协商一致，根据本工程中标通知书、招标文件和投标文件，了解到申请人为本工程项下之承包人、受益人为本工程</w:t>
      </w:r>
      <w:r>
        <w:rPr>
          <w:rFonts w:hint="eastAsia" w:ascii="仿宋" w:hAnsi="仿宋" w:eastAsia="仿宋" w:cs="仿宋"/>
          <w:spacing w:val="4"/>
          <w:sz w:val="30"/>
          <w:szCs w:val="30"/>
        </w:rPr>
        <w:t xml:space="preserve"> </w:t>
      </w:r>
      <w:r>
        <w:rPr>
          <w:rFonts w:hint="eastAsia" w:ascii="宋体" w:hAnsi="宋体" w:cs="宋体"/>
          <w:spacing w:val="4"/>
          <w:sz w:val="30"/>
          <w:szCs w:val="30"/>
        </w:rPr>
        <w:t>项下之发包人，基于申请人的请求，我方</w:t>
      </w:r>
      <w:r>
        <w:rPr>
          <w:rFonts w:hint="eastAsia" w:ascii="仿宋" w:hAnsi="仿宋" w:eastAsia="仿宋" w:cs="仿宋"/>
          <w:spacing w:val="4"/>
          <w:sz w:val="30"/>
          <w:szCs w:val="30"/>
        </w:rPr>
        <w:t>(</w:t>
      </w:r>
      <w:r>
        <w:rPr>
          <w:rFonts w:hint="eastAsia" w:ascii="宋体" w:hAnsi="宋体" w:cs="宋体"/>
          <w:spacing w:val="4"/>
          <w:sz w:val="30"/>
          <w:szCs w:val="30"/>
        </w:rPr>
        <w:t>即</w:t>
      </w:r>
      <w:r>
        <w:rPr>
          <w:rFonts w:eastAsia="仿宋"/>
          <w:spacing w:val="4"/>
          <w:sz w:val="30"/>
          <w:szCs w:val="30"/>
        </w:rPr>
        <w:t>“</w:t>
      </w:r>
      <w:r>
        <w:rPr>
          <w:rFonts w:hint="eastAsia" w:ascii="宋体" w:hAnsi="宋体" w:cs="宋体"/>
          <w:spacing w:val="4"/>
          <w:sz w:val="30"/>
          <w:szCs w:val="30"/>
        </w:rPr>
        <w:t>开立人</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同意就</w:t>
      </w:r>
      <w:r>
        <w:rPr>
          <w:rFonts w:hint="eastAsia" w:ascii="仿宋" w:hAnsi="仿宋" w:eastAsia="仿宋" w:cs="仿宋"/>
          <w:spacing w:val="4"/>
          <w:sz w:val="30"/>
          <w:szCs w:val="30"/>
        </w:rPr>
        <w:t xml:space="preserve"> </w:t>
      </w:r>
      <w:r>
        <w:rPr>
          <w:rFonts w:hint="eastAsia" w:ascii="宋体" w:hAnsi="宋体" w:cs="宋体"/>
          <w:spacing w:val="4"/>
          <w:sz w:val="30"/>
          <w:szCs w:val="30"/>
        </w:rPr>
        <w:t>申请人履行本工程依据中标通知书、招标文件和投标文件签订的《</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以下简称</w:t>
      </w:r>
      <w:r>
        <w:rPr>
          <w:rFonts w:eastAsia="仿宋"/>
          <w:spacing w:val="4"/>
          <w:sz w:val="30"/>
          <w:szCs w:val="30"/>
        </w:rPr>
        <w:t>“</w:t>
      </w:r>
      <w:r>
        <w:rPr>
          <w:rFonts w:hint="eastAsia" w:ascii="宋体" w:hAnsi="宋体" w:cs="宋体"/>
          <w:spacing w:val="4"/>
          <w:sz w:val="30"/>
          <w:szCs w:val="30"/>
        </w:rPr>
        <w:t>基础合同</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约定的义务，向贵方提供不可撤销、不可转让的见索即付保函</w:t>
      </w:r>
      <w:r>
        <w:rPr>
          <w:rFonts w:hint="eastAsia" w:ascii="仿宋" w:hAnsi="仿宋" w:eastAsia="仿宋" w:cs="仿宋"/>
          <w:spacing w:val="4"/>
          <w:sz w:val="30"/>
          <w:szCs w:val="30"/>
        </w:rPr>
        <w:t>(</w:t>
      </w:r>
      <w:r>
        <w:rPr>
          <w:rFonts w:hint="eastAsia" w:ascii="宋体" w:hAnsi="宋体" w:cs="宋体"/>
          <w:spacing w:val="4"/>
          <w:sz w:val="30"/>
          <w:szCs w:val="30"/>
        </w:rPr>
        <w:t>以下简称</w:t>
      </w:r>
      <w:r>
        <w:rPr>
          <w:rFonts w:eastAsia="仿宋"/>
          <w:spacing w:val="4"/>
          <w:sz w:val="30"/>
          <w:szCs w:val="30"/>
        </w:rPr>
        <w:t>“</w:t>
      </w:r>
      <w:r>
        <w:rPr>
          <w:rFonts w:hint="eastAsia" w:ascii="宋体" w:hAnsi="宋体" w:cs="宋体"/>
          <w:spacing w:val="4"/>
          <w:sz w:val="30"/>
          <w:szCs w:val="30"/>
        </w:rPr>
        <w:t>本保函</w:t>
      </w:r>
      <w:r>
        <w:rPr>
          <w:rFonts w:eastAsia="仿宋"/>
          <w:spacing w:val="4"/>
          <w:sz w:val="30"/>
          <w:szCs w:val="30"/>
        </w:rPr>
        <w:t>”</w:t>
      </w:r>
      <w:r>
        <w:rPr>
          <w:rFonts w:hint="eastAsia" w:ascii="仿宋" w:hAnsi="仿宋" w:eastAsia="仿宋" w:cs="仿宋"/>
          <w:spacing w:val="4"/>
          <w:sz w:val="30"/>
          <w:szCs w:val="30"/>
        </w:rPr>
        <w:t>)</w:t>
      </w:r>
      <w:r>
        <w:rPr>
          <w:rFonts w:hint="eastAsia" w:ascii="宋体" w:hAnsi="宋体" w:cs="宋体"/>
          <w:spacing w:val="4"/>
          <w:sz w:val="30"/>
          <w:szCs w:val="30"/>
        </w:rPr>
        <w:t>。</w:t>
      </w:r>
    </w:p>
    <w:p w14:paraId="770C0BB7">
      <w:pPr>
        <w:pStyle w:val="8"/>
        <w:ind w:left="63" w:right="63"/>
        <w:jc w:val="left"/>
        <w:rPr>
          <w:rFonts w:ascii="仿宋" w:hAnsi="仿宋" w:eastAsia="仿宋" w:cs="仿宋"/>
          <w:spacing w:val="4"/>
          <w:sz w:val="30"/>
          <w:szCs w:val="30"/>
        </w:rPr>
      </w:pPr>
      <w:r>
        <w:rPr>
          <w:rFonts w:hint="eastAsia" w:ascii="宋体" w:hAnsi="宋体" w:cs="宋体"/>
          <w:spacing w:val="4"/>
          <w:sz w:val="30"/>
          <w:szCs w:val="30"/>
        </w:rPr>
        <w:t>一、本保函担保范围：承包人未按照基础合同的约定履行义务，应当向贵方承担的违约责任和赔偿因此造成的损失、利息、律师费、诉讼费用等实现债权的费用。</w:t>
      </w:r>
    </w:p>
    <w:p w14:paraId="0DACAEF5">
      <w:pPr>
        <w:pStyle w:val="8"/>
        <w:ind w:left="63" w:right="63"/>
        <w:jc w:val="left"/>
        <w:rPr>
          <w:rFonts w:ascii="仿宋" w:hAnsi="仿宋" w:eastAsia="仿宋" w:cs="仿宋"/>
          <w:spacing w:val="4"/>
          <w:sz w:val="30"/>
          <w:szCs w:val="30"/>
        </w:rPr>
      </w:pPr>
      <w:r>
        <w:rPr>
          <w:rFonts w:hint="eastAsia" w:ascii="宋体" w:hAnsi="宋体" w:cs="宋体"/>
          <w:spacing w:val="4"/>
          <w:sz w:val="30"/>
          <w:szCs w:val="30"/>
        </w:rPr>
        <w:t>二、本保函担保金额最高不超过人民币</w:t>
      </w:r>
      <w:r>
        <w:rPr>
          <w:rFonts w:hint="eastAsia" w:ascii="仿宋" w:hAnsi="仿宋" w:eastAsia="仿宋" w:cs="仿宋"/>
          <w:spacing w:val="4"/>
          <w:sz w:val="30"/>
          <w:szCs w:val="30"/>
        </w:rPr>
        <w:t>(</w:t>
      </w:r>
      <w:r>
        <w:rPr>
          <w:rFonts w:hint="eastAsia" w:ascii="宋体" w:hAnsi="宋体" w:cs="宋体"/>
          <w:spacing w:val="4"/>
          <w:sz w:val="30"/>
          <w:szCs w:val="30"/>
        </w:rPr>
        <w:t>大写</w:t>
      </w: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元</w:t>
      </w:r>
    </w:p>
    <w:p w14:paraId="216E0AC9">
      <w:pPr>
        <w:pStyle w:val="8"/>
        <w:ind w:left="63" w:right="63"/>
        <w:jc w:val="left"/>
        <w:rPr>
          <w:rFonts w:ascii="仿宋" w:hAnsi="仿宋" w:eastAsia="仿宋" w:cs="仿宋"/>
          <w:spacing w:val="4"/>
          <w:sz w:val="30"/>
          <w:szCs w:val="30"/>
        </w:rPr>
      </w:pPr>
      <w:r>
        <w:rPr>
          <w:rFonts w:hint="eastAsia" w:ascii="仿宋" w:hAnsi="仿宋" w:eastAsia="仿宋" w:cs="仿宋"/>
          <w:spacing w:val="4"/>
          <w:sz w:val="30"/>
          <w:szCs w:val="30"/>
        </w:rPr>
        <w:t>(¥</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w:t>
      </w:r>
    </w:p>
    <w:p w14:paraId="7E77FBDD">
      <w:pPr>
        <w:pStyle w:val="8"/>
        <w:ind w:left="63" w:right="63"/>
        <w:jc w:val="left"/>
        <w:rPr>
          <w:rFonts w:ascii="仿宋" w:hAnsi="仿宋" w:eastAsia="仿宋" w:cs="仿宋"/>
          <w:spacing w:val="4"/>
          <w:sz w:val="30"/>
          <w:szCs w:val="30"/>
        </w:rPr>
      </w:pPr>
      <w:r>
        <w:rPr>
          <w:rFonts w:hint="eastAsia" w:ascii="宋体" w:hAnsi="宋体" w:cs="宋体"/>
          <w:spacing w:val="4"/>
          <w:sz w:val="30"/>
          <w:szCs w:val="30"/>
        </w:rPr>
        <w:t>三、本保函有效期自受益人与申请人签订的合同生效之日起至合同约定的工期截止日后</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天，最迟不超过</w:t>
      </w:r>
      <w:r>
        <w:rPr>
          <w:rFonts w:hint="eastAsia" w:ascii="仿宋" w:hAnsi="仿宋" w:eastAsia="仿宋" w:cs="仿宋"/>
          <w:spacing w:val="4"/>
          <w:sz w:val="30"/>
          <w:szCs w:val="30"/>
          <w:u w:val="single"/>
        </w:rPr>
        <w:t xml:space="preserve"> </w:t>
      </w:r>
      <w:r>
        <w:rPr>
          <w:rFonts w:ascii="仿宋" w:hAnsi="仿宋" w:eastAsia="仿宋" w:cs="仿宋"/>
          <w:spacing w:val="4"/>
          <w:sz w:val="30"/>
          <w:szCs w:val="30"/>
          <w:u w:val="single"/>
        </w:rPr>
        <w:t xml:space="preserve"> </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年</w:t>
      </w:r>
      <w:r>
        <w:rPr>
          <w:rFonts w:hint="eastAsia" w:ascii="仿宋" w:hAnsi="仿宋" w:eastAsia="仿宋" w:cs="仿宋"/>
          <w:spacing w:val="4"/>
          <w:sz w:val="30"/>
          <w:szCs w:val="30"/>
          <w:u w:val="single"/>
        </w:rPr>
        <w:t xml:space="preserve">  </w:t>
      </w:r>
      <w:r>
        <w:rPr>
          <w:rFonts w:ascii="仿宋" w:hAnsi="仿宋" w:eastAsia="仿宋" w:cs="仿宋"/>
          <w:spacing w:val="4"/>
          <w:sz w:val="30"/>
          <w:szCs w:val="30"/>
          <w:u w:val="single"/>
        </w:rPr>
        <w:t xml:space="preserve"> </w:t>
      </w:r>
      <w:r>
        <w:rPr>
          <w:rFonts w:hint="eastAsia" w:ascii="宋体" w:hAnsi="宋体" w:cs="宋体"/>
          <w:spacing w:val="4"/>
          <w:sz w:val="30"/>
          <w:szCs w:val="30"/>
        </w:rPr>
        <w:t>月</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日。</w:t>
      </w:r>
    </w:p>
    <w:p w14:paraId="4525CF1E">
      <w:pPr>
        <w:pStyle w:val="8"/>
        <w:ind w:left="63" w:right="63"/>
        <w:jc w:val="left"/>
        <w:rPr>
          <w:rFonts w:ascii="仿宋" w:hAnsi="仿宋" w:eastAsia="仿宋" w:cs="仿宋"/>
          <w:spacing w:val="4"/>
          <w:sz w:val="30"/>
          <w:szCs w:val="30"/>
        </w:rPr>
      </w:pPr>
      <w:r>
        <w:rPr>
          <w:rFonts w:hint="eastAsia" w:ascii="宋体" w:hAnsi="宋体" w:cs="宋体"/>
          <w:spacing w:val="4"/>
          <w:sz w:val="30"/>
          <w:szCs w:val="30"/>
        </w:rPr>
        <w:t>四、我方承诺，在收到受益人发来的书面索赔通知和本保函原件后的</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个工作日内无条件支付至受益人指定账户，前述书面索赔通知即为付款要求之单据，且应满足以下要求：</w:t>
      </w:r>
    </w:p>
    <w:p w14:paraId="7AA780E1">
      <w:pPr>
        <w:pStyle w:val="8"/>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(1)</w:t>
      </w:r>
      <w:r>
        <w:rPr>
          <w:rFonts w:hint="eastAsia" w:ascii="宋体" w:hAnsi="宋体" w:cs="宋体"/>
          <w:spacing w:val="4"/>
          <w:sz w:val="30"/>
          <w:szCs w:val="30"/>
        </w:rPr>
        <w:t>索赔通知到达的日期在本保函的有效期内；</w:t>
      </w:r>
    </w:p>
    <w:p w14:paraId="2E978957">
      <w:pPr>
        <w:pStyle w:val="8"/>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(2)</w:t>
      </w:r>
      <w:r>
        <w:rPr>
          <w:rFonts w:hint="eastAsia" w:ascii="宋体" w:hAnsi="宋体" w:cs="宋体"/>
          <w:spacing w:val="4"/>
          <w:sz w:val="30"/>
          <w:szCs w:val="30"/>
        </w:rPr>
        <w:t>载明要求支付的金额；</w:t>
      </w:r>
    </w:p>
    <w:p w14:paraId="638E47ED">
      <w:pPr>
        <w:pStyle w:val="8"/>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(3)</w:t>
      </w:r>
      <w:r>
        <w:rPr>
          <w:rFonts w:hint="eastAsia" w:ascii="宋体" w:hAnsi="宋体" w:cs="宋体"/>
          <w:spacing w:val="4"/>
          <w:sz w:val="30"/>
          <w:szCs w:val="30"/>
        </w:rPr>
        <w:t>载明申请人违反合同义务的条款和内容；</w:t>
      </w:r>
    </w:p>
    <w:p w14:paraId="5E386860">
      <w:pPr>
        <w:pStyle w:val="8"/>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(4)</w:t>
      </w:r>
      <w:r>
        <w:rPr>
          <w:rFonts w:hint="eastAsia" w:ascii="宋体" w:hAnsi="宋体" w:cs="宋体"/>
          <w:spacing w:val="4"/>
          <w:sz w:val="30"/>
          <w:szCs w:val="30"/>
        </w:rPr>
        <w:t>声明不存在合同文件约定或我国法律规定免除申请人或开立人支付责任的情形；</w:t>
      </w:r>
    </w:p>
    <w:p w14:paraId="20C22995">
      <w:pPr>
        <w:pStyle w:val="8"/>
        <w:ind w:left="63" w:right="63" w:firstLine="616" w:firstLineChars="200"/>
        <w:jc w:val="left"/>
        <w:rPr>
          <w:rFonts w:ascii="仿宋" w:hAnsi="仿宋" w:eastAsia="仿宋" w:cs="仿宋"/>
          <w:spacing w:val="4"/>
          <w:sz w:val="30"/>
          <w:szCs w:val="30"/>
        </w:rPr>
      </w:pPr>
      <w:r>
        <w:rPr>
          <w:rFonts w:hint="eastAsia" w:ascii="仿宋" w:hAnsi="仿宋" w:eastAsia="仿宋" w:cs="仿宋"/>
          <w:spacing w:val="4"/>
          <w:sz w:val="30"/>
          <w:szCs w:val="30"/>
        </w:rPr>
        <w:t>(5)</w:t>
      </w:r>
      <w:r>
        <w:rPr>
          <w:rFonts w:hint="eastAsia" w:ascii="宋体" w:hAnsi="宋体" w:cs="宋体"/>
          <w:spacing w:val="4"/>
          <w:sz w:val="30"/>
          <w:szCs w:val="30"/>
        </w:rPr>
        <w:t>索赔通知应在本保函有效期内到达的地址是：</w:t>
      </w:r>
      <w:r>
        <w:rPr>
          <w:rFonts w:hint="eastAsia" w:ascii="仿宋" w:hAnsi="仿宋" w:eastAsia="仿宋" w:cs="仿宋"/>
          <w:spacing w:val="4"/>
          <w:sz w:val="30"/>
          <w:szCs w:val="30"/>
          <w:u w:val="single"/>
        </w:rPr>
        <w:t xml:space="preserve">         </w:t>
      </w:r>
      <w:r>
        <w:rPr>
          <w:rFonts w:hint="eastAsia" w:ascii="宋体" w:hAnsi="宋体" w:cs="宋体"/>
          <w:spacing w:val="4"/>
          <w:sz w:val="30"/>
          <w:szCs w:val="30"/>
        </w:rPr>
        <w:t>。</w:t>
      </w:r>
    </w:p>
    <w:p w14:paraId="5DCF7A98">
      <w:pPr>
        <w:pStyle w:val="8"/>
        <w:ind w:left="63" w:right="63" w:firstLine="616" w:firstLineChars="200"/>
        <w:jc w:val="left"/>
        <w:rPr>
          <w:rFonts w:ascii="仿宋" w:hAnsi="仿宋" w:eastAsia="仿宋" w:cs="仿宋"/>
          <w:spacing w:val="4"/>
          <w:sz w:val="30"/>
          <w:szCs w:val="30"/>
        </w:rPr>
      </w:pPr>
      <w:r>
        <w:rPr>
          <w:rFonts w:hint="eastAsia" w:ascii="宋体" w:hAnsi="宋体" w:cs="宋体"/>
          <w:spacing w:val="4"/>
          <w:sz w:val="30"/>
          <w:szCs w:val="30"/>
        </w:rPr>
        <w:t>受益人发出的书面索赔通知应由其为鉴明受益人法定代表人</w:t>
      </w:r>
      <w:r>
        <w:rPr>
          <w:rFonts w:hint="eastAsia" w:ascii="仿宋" w:hAnsi="仿宋" w:eastAsia="仿宋" w:cs="仿宋"/>
          <w:spacing w:val="4"/>
          <w:sz w:val="30"/>
          <w:szCs w:val="30"/>
        </w:rPr>
        <w:t>(</w:t>
      </w:r>
      <w:r>
        <w:rPr>
          <w:rFonts w:hint="eastAsia" w:ascii="宋体" w:hAnsi="宋体" w:cs="宋体"/>
          <w:spacing w:val="4"/>
          <w:sz w:val="30"/>
          <w:szCs w:val="30"/>
        </w:rPr>
        <w:t>负责人</w:t>
      </w:r>
      <w:r>
        <w:rPr>
          <w:rFonts w:hint="eastAsia" w:ascii="仿宋" w:hAnsi="仿宋" w:eastAsia="仿宋" w:cs="仿宋"/>
          <w:spacing w:val="4"/>
          <w:sz w:val="30"/>
          <w:szCs w:val="30"/>
        </w:rPr>
        <w:t>)</w:t>
      </w:r>
      <w:r>
        <w:rPr>
          <w:rFonts w:hint="eastAsia" w:ascii="宋体" w:hAnsi="宋体" w:cs="宋体"/>
          <w:spacing w:val="4"/>
          <w:sz w:val="30"/>
          <w:szCs w:val="30"/>
        </w:rPr>
        <w:t>或授权代理人签字或盖个人名章并加盖公章。</w:t>
      </w:r>
    </w:p>
    <w:p w14:paraId="78E395E9">
      <w:pPr>
        <w:pStyle w:val="8"/>
        <w:ind w:left="63" w:right="63"/>
        <w:jc w:val="left"/>
        <w:rPr>
          <w:rFonts w:ascii="仿宋" w:hAnsi="仿宋" w:eastAsia="仿宋" w:cs="仿宋"/>
          <w:spacing w:val="4"/>
          <w:sz w:val="30"/>
          <w:szCs w:val="30"/>
        </w:rPr>
      </w:pPr>
      <w:r>
        <w:rPr>
          <w:rFonts w:hint="eastAsia" w:ascii="宋体" w:hAnsi="宋体" w:cs="宋体"/>
          <w:spacing w:val="4"/>
          <w:sz w:val="30"/>
          <w:szCs w:val="30"/>
        </w:rPr>
        <w:t>五、本保函项下的权利不得转让，不得设定担保。贵方未经我方书面同意转让本保函或其项下任何权利，对我方不发生法律效力。</w:t>
      </w:r>
    </w:p>
    <w:p w14:paraId="3E5CC0FB">
      <w:pPr>
        <w:pStyle w:val="8"/>
        <w:ind w:left="63" w:right="63"/>
        <w:jc w:val="left"/>
        <w:rPr>
          <w:rFonts w:ascii="仿宋" w:hAnsi="仿宋" w:eastAsia="仿宋" w:cs="仿宋"/>
          <w:spacing w:val="4"/>
          <w:sz w:val="30"/>
          <w:szCs w:val="30"/>
        </w:rPr>
      </w:pPr>
      <w:r>
        <w:rPr>
          <w:rFonts w:hint="eastAsia" w:ascii="宋体" w:hAnsi="宋体" w:cs="宋体"/>
          <w:spacing w:val="4"/>
          <w:sz w:val="30"/>
          <w:szCs w:val="30"/>
        </w:rPr>
        <w:t>六、与本保函有关的基础合同不成立、不生效、无效、被撤销、被解除，不影响本保函的独立有效。</w:t>
      </w:r>
    </w:p>
    <w:p w14:paraId="5DB1B2A4">
      <w:pPr>
        <w:pStyle w:val="8"/>
        <w:ind w:left="63" w:right="63"/>
        <w:jc w:val="left"/>
        <w:rPr>
          <w:rFonts w:ascii="仿宋" w:hAnsi="仿宋" w:eastAsia="仿宋" w:cs="仿宋"/>
          <w:spacing w:val="4"/>
          <w:sz w:val="30"/>
          <w:szCs w:val="30"/>
        </w:rPr>
      </w:pPr>
      <w:r>
        <w:rPr>
          <w:rFonts w:hint="eastAsia" w:ascii="宋体" w:hAnsi="宋体" w:cs="宋体"/>
          <w:spacing w:val="4"/>
          <w:sz w:val="30"/>
          <w:szCs w:val="30"/>
        </w:rPr>
        <w:t>七、贵方应在本保函到期后的七个工作日内将本保函正本退回我方注销，但是不论贵方是否按此要求将本保函正本退回我方，我方在本保函项下的义务和责任均在保函有效期到期后自动消灭。</w:t>
      </w:r>
    </w:p>
    <w:p w14:paraId="7C4CA45E">
      <w:pPr>
        <w:pStyle w:val="8"/>
        <w:ind w:left="63" w:right="63"/>
        <w:jc w:val="left"/>
        <w:rPr>
          <w:rFonts w:ascii="仿宋" w:hAnsi="仿宋" w:eastAsia="仿宋" w:cs="仿宋"/>
          <w:spacing w:val="4"/>
          <w:sz w:val="30"/>
          <w:szCs w:val="30"/>
        </w:rPr>
      </w:pPr>
      <w:r>
        <w:rPr>
          <w:rFonts w:hint="eastAsia" w:ascii="宋体" w:hAnsi="宋体" w:cs="宋体"/>
          <w:spacing w:val="4"/>
          <w:sz w:val="30"/>
          <w:szCs w:val="30"/>
        </w:rPr>
        <w:t>八、本保函适用的法律为中华人民共和国法律，争议裁判管辖地为中华人民共和国</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p>
    <w:p w14:paraId="132EC2D6">
      <w:pPr>
        <w:pStyle w:val="8"/>
        <w:ind w:left="63" w:right="63"/>
        <w:jc w:val="left"/>
        <w:rPr>
          <w:rFonts w:ascii="仿宋" w:hAnsi="仿宋" w:eastAsia="仿宋" w:cs="仿宋"/>
          <w:spacing w:val="4"/>
          <w:sz w:val="30"/>
          <w:szCs w:val="30"/>
        </w:rPr>
      </w:pPr>
      <w:r>
        <w:rPr>
          <w:rFonts w:hint="eastAsia" w:ascii="宋体" w:hAnsi="宋体" w:cs="宋体"/>
          <w:spacing w:val="4"/>
          <w:sz w:val="30"/>
          <w:szCs w:val="30"/>
        </w:rPr>
        <w:t>九、本保函自我方法定代表人或授权代表签字或盖个人名章并加盖公章或合同专用章之日起生效。</w:t>
      </w:r>
    </w:p>
    <w:p w14:paraId="0DDE28B6">
      <w:pPr>
        <w:pStyle w:val="8"/>
        <w:ind w:left="63" w:right="63"/>
        <w:jc w:val="left"/>
        <w:rPr>
          <w:rFonts w:ascii="仿宋" w:hAnsi="仿宋" w:eastAsia="仿宋" w:cs="仿宋"/>
          <w:spacing w:val="4"/>
          <w:sz w:val="30"/>
          <w:szCs w:val="30"/>
        </w:rPr>
      </w:pPr>
      <w:r>
        <w:rPr>
          <w:rFonts w:hint="eastAsia" w:ascii="宋体" w:hAnsi="宋体" w:cs="宋体"/>
          <w:spacing w:val="4"/>
          <w:sz w:val="30"/>
          <w:szCs w:val="30"/>
        </w:rPr>
        <w:t>十、本保函在重庆市辖区范围内的核验地点：</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r>
        <w:rPr>
          <w:rFonts w:hint="eastAsia" w:ascii="宋体" w:hAnsi="宋体" w:cs="宋体"/>
          <w:spacing w:val="4"/>
          <w:sz w:val="30"/>
          <w:szCs w:val="30"/>
        </w:rPr>
        <w:t>核验方式：</w:t>
      </w:r>
      <w:r>
        <w:rPr>
          <w:rFonts w:hint="eastAsia" w:ascii="仿宋" w:hAnsi="仿宋" w:eastAsia="仿宋" w:cs="仿宋"/>
          <w:spacing w:val="4"/>
          <w:sz w:val="30"/>
          <w:szCs w:val="30"/>
          <w:u w:val="single"/>
        </w:rPr>
        <w:t xml:space="preserve">          </w:t>
      </w:r>
      <w:r>
        <w:rPr>
          <w:rFonts w:hint="eastAsia" w:ascii="仿宋" w:hAnsi="仿宋" w:eastAsia="仿宋" w:cs="仿宋"/>
          <w:spacing w:val="4"/>
          <w:sz w:val="30"/>
          <w:szCs w:val="30"/>
        </w:rPr>
        <w:t>。</w:t>
      </w:r>
    </w:p>
    <w:p w14:paraId="632065B3">
      <w:pPr>
        <w:pStyle w:val="8"/>
        <w:ind w:left="63" w:right="63"/>
        <w:rPr>
          <w:rFonts w:ascii="仿宋" w:hAnsi="仿宋" w:eastAsia="仿宋" w:cs="仿宋"/>
          <w:spacing w:val="4"/>
          <w:sz w:val="30"/>
          <w:szCs w:val="30"/>
        </w:rPr>
      </w:pPr>
    </w:p>
    <w:p w14:paraId="64274791">
      <w:pPr>
        <w:pStyle w:val="8"/>
        <w:ind w:left="63" w:right="63"/>
        <w:rPr>
          <w:rFonts w:ascii="仿宋" w:hAnsi="仿宋" w:eastAsia="仿宋" w:cs="仿宋"/>
          <w:spacing w:val="4"/>
          <w:sz w:val="30"/>
          <w:szCs w:val="30"/>
        </w:rPr>
      </w:pPr>
    </w:p>
    <w:p w14:paraId="46AA8357">
      <w:pPr>
        <w:pStyle w:val="8"/>
        <w:ind w:left="63" w:right="63" w:firstLine="616" w:firstLineChars="200"/>
        <w:rPr>
          <w:rFonts w:ascii="仿宋" w:hAnsi="仿宋" w:eastAsia="仿宋" w:cs="仿宋"/>
          <w:spacing w:val="4"/>
          <w:sz w:val="30"/>
          <w:szCs w:val="30"/>
        </w:rPr>
      </w:pPr>
      <w:r>
        <w:rPr>
          <w:rFonts w:hint="eastAsia" w:ascii="宋体" w:hAnsi="宋体" w:cs="宋体"/>
          <w:spacing w:val="4"/>
          <w:sz w:val="30"/>
          <w:szCs w:val="30"/>
        </w:rPr>
        <w:t>开立人</w:t>
      </w:r>
      <w:r>
        <w:rPr>
          <w:rFonts w:hint="eastAsia" w:ascii="仿宋" w:hAnsi="仿宋" w:eastAsia="仿宋" w:cs="仿宋"/>
          <w:spacing w:val="4"/>
          <w:sz w:val="30"/>
          <w:szCs w:val="30"/>
        </w:rPr>
        <w:t xml:space="preserve"> </w:t>
      </w:r>
      <w:r>
        <w:rPr>
          <w:rFonts w:hint="eastAsia" w:ascii="宋体" w:hAnsi="宋体" w:cs="宋体"/>
          <w:spacing w:val="4"/>
          <w:sz w:val="30"/>
          <w:szCs w:val="30"/>
        </w:rPr>
        <w:t>：</w:t>
      </w:r>
      <w:r>
        <w:rPr>
          <w:rFonts w:hint="eastAsia" w:ascii="仿宋" w:hAnsi="仿宋" w:eastAsia="仿宋" w:cs="仿宋"/>
          <w:spacing w:val="4"/>
          <w:sz w:val="30"/>
          <w:szCs w:val="30"/>
        </w:rPr>
        <w:t xml:space="preserve">         ( </w:t>
      </w:r>
      <w:r>
        <w:rPr>
          <w:rFonts w:hint="eastAsia" w:ascii="宋体" w:hAnsi="宋体" w:cs="宋体"/>
          <w:spacing w:val="4"/>
          <w:sz w:val="30"/>
          <w:szCs w:val="30"/>
        </w:rPr>
        <w:t>公</w:t>
      </w:r>
      <w:r>
        <w:rPr>
          <w:rFonts w:hint="eastAsia" w:ascii="仿宋" w:hAnsi="仿宋" w:eastAsia="仿宋" w:cs="仿宋"/>
          <w:spacing w:val="4"/>
          <w:sz w:val="30"/>
          <w:szCs w:val="30"/>
        </w:rPr>
        <w:t xml:space="preserve"> </w:t>
      </w:r>
      <w:r>
        <w:rPr>
          <w:rFonts w:hint="eastAsia" w:ascii="宋体" w:hAnsi="宋体" w:cs="宋体"/>
          <w:spacing w:val="4"/>
          <w:sz w:val="30"/>
          <w:szCs w:val="30"/>
        </w:rPr>
        <w:t>章</w:t>
      </w:r>
      <w:r>
        <w:rPr>
          <w:rFonts w:hint="eastAsia" w:ascii="仿宋" w:hAnsi="仿宋" w:eastAsia="仿宋" w:cs="仿宋"/>
          <w:spacing w:val="4"/>
          <w:sz w:val="30"/>
          <w:szCs w:val="30"/>
        </w:rPr>
        <w:t xml:space="preserve"> )</w:t>
      </w:r>
    </w:p>
    <w:p w14:paraId="5087A019"/>
    <w:p w14:paraId="73E4A00B">
      <w:pPr>
        <w:pStyle w:val="8"/>
        <w:ind w:left="63" w:right="63" w:firstLine="616" w:firstLineChars="200"/>
        <w:rPr>
          <w:rFonts w:ascii="仿宋" w:hAnsi="仿宋" w:eastAsia="仿宋" w:cs="仿宋"/>
          <w:spacing w:val="4"/>
          <w:sz w:val="30"/>
          <w:szCs w:val="30"/>
        </w:rPr>
      </w:pPr>
      <w:r>
        <w:rPr>
          <w:rFonts w:hint="eastAsia" w:ascii="宋体" w:hAnsi="宋体" w:cs="宋体"/>
          <w:spacing w:val="4"/>
          <w:sz w:val="30"/>
          <w:szCs w:val="30"/>
        </w:rPr>
        <w:t>法定代表人</w:t>
      </w:r>
      <w:r>
        <w:rPr>
          <w:rFonts w:hint="eastAsia" w:ascii="仿宋" w:hAnsi="仿宋" w:eastAsia="仿宋" w:cs="仿宋"/>
          <w:spacing w:val="4"/>
          <w:sz w:val="30"/>
          <w:szCs w:val="30"/>
        </w:rPr>
        <w:t>(</w:t>
      </w:r>
      <w:r>
        <w:rPr>
          <w:rFonts w:hint="eastAsia" w:ascii="宋体" w:hAnsi="宋体" w:cs="宋体"/>
          <w:spacing w:val="4"/>
          <w:sz w:val="30"/>
          <w:szCs w:val="30"/>
        </w:rPr>
        <w:t>或授权代表</w:t>
      </w:r>
      <w:r>
        <w:rPr>
          <w:rFonts w:hint="eastAsia" w:ascii="仿宋" w:hAnsi="仿宋" w:eastAsia="仿宋" w:cs="仿宋"/>
          <w:spacing w:val="4"/>
          <w:sz w:val="30"/>
          <w:szCs w:val="30"/>
        </w:rPr>
        <w:t xml:space="preserve">):     </w:t>
      </w:r>
      <w:r>
        <w:rPr>
          <w:rFonts w:ascii="仿宋" w:hAnsi="仿宋" w:eastAsia="仿宋" w:cs="仿宋"/>
          <w:spacing w:val="4"/>
          <w:sz w:val="30"/>
          <w:szCs w:val="30"/>
        </w:rPr>
        <w:t xml:space="preserve"> </w:t>
      </w:r>
      <w:r>
        <w:rPr>
          <w:rFonts w:hint="eastAsia" w:ascii="仿宋" w:hAnsi="仿宋" w:eastAsia="仿宋" w:cs="仿宋"/>
          <w:spacing w:val="4"/>
          <w:sz w:val="30"/>
          <w:szCs w:val="30"/>
        </w:rPr>
        <w:t>(</w:t>
      </w:r>
      <w:r>
        <w:rPr>
          <w:rFonts w:hint="eastAsia" w:ascii="宋体" w:hAnsi="宋体" w:cs="宋体"/>
          <w:spacing w:val="4"/>
          <w:sz w:val="30"/>
          <w:szCs w:val="30"/>
        </w:rPr>
        <w:t>签字或盖个人名章</w:t>
      </w:r>
      <w:r>
        <w:rPr>
          <w:rFonts w:hint="eastAsia" w:ascii="仿宋" w:hAnsi="仿宋" w:eastAsia="仿宋" w:cs="仿宋"/>
          <w:spacing w:val="4"/>
          <w:sz w:val="30"/>
          <w:szCs w:val="30"/>
        </w:rPr>
        <w:t>)</w:t>
      </w:r>
    </w:p>
    <w:p w14:paraId="66F2D1B9">
      <w:pPr>
        <w:pStyle w:val="8"/>
        <w:ind w:left="63" w:right="63" w:firstLine="616" w:firstLineChars="200"/>
        <w:rPr>
          <w:rFonts w:ascii="仿宋" w:hAnsi="仿宋" w:eastAsia="仿宋" w:cs="仿宋"/>
          <w:spacing w:val="4"/>
          <w:sz w:val="30"/>
          <w:szCs w:val="30"/>
        </w:rPr>
      </w:pPr>
      <w:r>
        <w:rPr>
          <w:rFonts w:hint="eastAsia" w:ascii="宋体" w:hAnsi="宋体" w:cs="宋体"/>
          <w:spacing w:val="4"/>
          <w:sz w:val="30"/>
          <w:szCs w:val="30"/>
        </w:rPr>
        <w:t>地</w:t>
      </w:r>
      <w:r>
        <w:rPr>
          <w:rFonts w:hint="eastAsia" w:ascii="仿宋" w:hAnsi="仿宋" w:eastAsia="仿宋" w:cs="仿宋"/>
          <w:spacing w:val="4"/>
          <w:sz w:val="30"/>
          <w:szCs w:val="30"/>
        </w:rPr>
        <w:t xml:space="preserve">    </w:t>
      </w:r>
      <w:r>
        <w:rPr>
          <w:rFonts w:hint="eastAsia" w:ascii="宋体" w:hAnsi="宋体" w:cs="宋体"/>
          <w:spacing w:val="4"/>
          <w:sz w:val="30"/>
          <w:szCs w:val="30"/>
        </w:rPr>
        <w:t>址</w:t>
      </w:r>
      <w:r>
        <w:rPr>
          <w:rFonts w:hint="eastAsia" w:ascii="仿宋" w:hAnsi="仿宋" w:eastAsia="仿宋" w:cs="仿宋"/>
          <w:spacing w:val="4"/>
          <w:sz w:val="30"/>
          <w:szCs w:val="30"/>
        </w:rPr>
        <w:t xml:space="preserve"> </w:t>
      </w:r>
      <w:r>
        <w:rPr>
          <w:rFonts w:hint="eastAsia" w:ascii="宋体" w:hAnsi="宋体" w:cs="宋体"/>
          <w:spacing w:val="4"/>
          <w:sz w:val="30"/>
          <w:szCs w:val="30"/>
        </w:rPr>
        <w:t>：</w:t>
      </w:r>
      <w:r>
        <w:rPr>
          <w:rFonts w:hint="eastAsia" w:ascii="仿宋" w:hAnsi="仿宋" w:eastAsia="仿宋" w:cs="仿宋"/>
          <w:spacing w:val="4"/>
          <w:sz w:val="30"/>
          <w:szCs w:val="30"/>
        </w:rPr>
        <w:t xml:space="preserve">                                             </w:t>
      </w:r>
    </w:p>
    <w:p w14:paraId="4D0CFDEB">
      <w:pPr>
        <w:pStyle w:val="8"/>
        <w:ind w:left="63" w:right="63" w:firstLine="616" w:firstLineChars="200"/>
        <w:rPr>
          <w:rFonts w:ascii="仿宋" w:hAnsi="仿宋" w:eastAsia="仿宋" w:cs="仿宋"/>
          <w:spacing w:val="4"/>
          <w:sz w:val="30"/>
          <w:szCs w:val="30"/>
        </w:rPr>
      </w:pPr>
      <w:r>
        <w:rPr>
          <w:rFonts w:hint="eastAsia" w:ascii="宋体" w:hAnsi="宋体" w:cs="宋体"/>
          <w:spacing w:val="4"/>
          <w:sz w:val="30"/>
          <w:szCs w:val="30"/>
        </w:rPr>
        <w:t>邮政编码：</w:t>
      </w:r>
      <w:r>
        <w:rPr>
          <w:rFonts w:hint="eastAsia" w:ascii="仿宋" w:hAnsi="仿宋" w:eastAsia="仿宋" w:cs="仿宋"/>
          <w:spacing w:val="4"/>
          <w:sz w:val="30"/>
          <w:szCs w:val="30"/>
        </w:rPr>
        <w:t xml:space="preserve">                                              </w:t>
      </w:r>
    </w:p>
    <w:p w14:paraId="4A2BD749">
      <w:pPr>
        <w:pStyle w:val="8"/>
        <w:ind w:left="63" w:right="63" w:firstLine="616" w:firstLineChars="200"/>
        <w:rPr>
          <w:rFonts w:ascii="仿宋" w:hAnsi="仿宋" w:eastAsia="仿宋" w:cs="仿宋"/>
          <w:spacing w:val="4"/>
          <w:sz w:val="30"/>
          <w:szCs w:val="30"/>
        </w:rPr>
      </w:pPr>
      <w:r>
        <w:rPr>
          <w:rFonts w:hint="eastAsia" w:ascii="宋体" w:hAnsi="宋体" w:cs="宋体"/>
          <w:spacing w:val="4"/>
          <w:sz w:val="30"/>
          <w:szCs w:val="30"/>
        </w:rPr>
        <w:t>电</w:t>
      </w:r>
      <w:r>
        <w:rPr>
          <w:rFonts w:hint="eastAsia" w:ascii="仿宋" w:hAnsi="仿宋" w:eastAsia="仿宋" w:cs="仿宋"/>
          <w:spacing w:val="4"/>
          <w:sz w:val="30"/>
          <w:szCs w:val="30"/>
        </w:rPr>
        <w:t xml:space="preserve">    </w:t>
      </w:r>
      <w:r>
        <w:rPr>
          <w:rFonts w:hint="eastAsia" w:ascii="宋体" w:hAnsi="宋体" w:cs="宋体"/>
          <w:spacing w:val="4"/>
          <w:sz w:val="30"/>
          <w:szCs w:val="30"/>
        </w:rPr>
        <w:t>话：</w:t>
      </w:r>
      <w:r>
        <w:rPr>
          <w:rFonts w:hint="eastAsia" w:ascii="仿宋" w:hAnsi="仿宋" w:eastAsia="仿宋" w:cs="仿宋"/>
          <w:spacing w:val="4"/>
          <w:sz w:val="30"/>
          <w:szCs w:val="30"/>
        </w:rPr>
        <w:t xml:space="preserve">                                              </w:t>
      </w:r>
    </w:p>
    <w:p w14:paraId="14D7A21F">
      <w:pPr>
        <w:pStyle w:val="8"/>
        <w:ind w:left="63" w:right="63" w:firstLine="616" w:firstLineChars="200"/>
        <w:rPr>
          <w:rFonts w:ascii="仿宋" w:hAnsi="仿宋" w:eastAsia="仿宋" w:cs="仿宋"/>
          <w:spacing w:val="4"/>
          <w:sz w:val="30"/>
          <w:szCs w:val="30"/>
        </w:rPr>
      </w:pPr>
      <w:r>
        <w:rPr>
          <w:rFonts w:hint="eastAsia" w:ascii="宋体" w:hAnsi="宋体" w:cs="宋体"/>
          <w:spacing w:val="4"/>
          <w:sz w:val="30"/>
          <w:szCs w:val="30"/>
        </w:rPr>
        <w:t>传</w:t>
      </w:r>
      <w:r>
        <w:rPr>
          <w:rFonts w:hint="eastAsia" w:ascii="仿宋" w:hAnsi="仿宋" w:eastAsia="仿宋" w:cs="仿宋"/>
          <w:spacing w:val="4"/>
          <w:sz w:val="30"/>
          <w:szCs w:val="30"/>
        </w:rPr>
        <w:t xml:space="preserve">    </w:t>
      </w:r>
      <w:r>
        <w:rPr>
          <w:rFonts w:hint="eastAsia" w:ascii="宋体" w:hAnsi="宋体" w:cs="宋体"/>
          <w:spacing w:val="4"/>
          <w:sz w:val="30"/>
          <w:szCs w:val="30"/>
        </w:rPr>
        <w:t>真</w:t>
      </w:r>
      <w:r>
        <w:rPr>
          <w:rFonts w:hint="eastAsia" w:ascii="仿宋" w:hAnsi="仿宋" w:eastAsia="仿宋" w:cs="仿宋"/>
          <w:spacing w:val="4"/>
          <w:sz w:val="30"/>
          <w:szCs w:val="30"/>
        </w:rPr>
        <w:t xml:space="preserve"> </w:t>
      </w:r>
      <w:r>
        <w:rPr>
          <w:rFonts w:hint="eastAsia" w:ascii="宋体" w:hAnsi="宋体" w:cs="宋体"/>
          <w:spacing w:val="4"/>
          <w:sz w:val="30"/>
          <w:szCs w:val="30"/>
        </w:rPr>
        <w:t>：</w:t>
      </w:r>
      <w:r>
        <w:rPr>
          <w:rFonts w:hint="eastAsia" w:ascii="仿宋" w:hAnsi="仿宋" w:eastAsia="仿宋" w:cs="仿宋"/>
          <w:spacing w:val="4"/>
          <w:sz w:val="30"/>
          <w:szCs w:val="30"/>
        </w:rPr>
        <w:t xml:space="preserve">                                             </w:t>
      </w:r>
    </w:p>
    <w:p w14:paraId="5C2BD05C">
      <w:pPr>
        <w:pStyle w:val="8"/>
        <w:ind w:left="63" w:right="63" w:firstLine="616" w:firstLineChars="200"/>
      </w:pPr>
      <w:r>
        <w:rPr>
          <w:rFonts w:hint="eastAsia" w:ascii="宋体" w:hAnsi="宋体" w:cs="宋体"/>
          <w:spacing w:val="4"/>
          <w:sz w:val="30"/>
          <w:szCs w:val="30"/>
        </w:rPr>
        <w:t>开立时间：</w:t>
      </w:r>
      <w:r>
        <w:rPr>
          <w:rFonts w:hint="eastAsia" w:ascii="仿宋" w:hAnsi="仿宋" w:eastAsia="仿宋" w:cs="仿宋"/>
          <w:spacing w:val="4"/>
          <w:sz w:val="30"/>
          <w:szCs w:val="30"/>
        </w:rPr>
        <w:t xml:space="preserve">     </w:t>
      </w:r>
      <w:r>
        <w:rPr>
          <w:rFonts w:hint="eastAsia" w:ascii="宋体" w:hAnsi="宋体" w:cs="宋体"/>
          <w:spacing w:val="4"/>
          <w:sz w:val="30"/>
          <w:szCs w:val="30"/>
        </w:rPr>
        <w:t>年</w:t>
      </w:r>
      <w:r>
        <w:rPr>
          <w:rFonts w:hint="eastAsia" w:ascii="仿宋" w:hAnsi="仿宋" w:eastAsia="仿宋" w:cs="仿宋"/>
          <w:spacing w:val="4"/>
          <w:sz w:val="30"/>
          <w:szCs w:val="30"/>
        </w:rPr>
        <w:t xml:space="preserve">    </w:t>
      </w:r>
      <w:r>
        <w:rPr>
          <w:rFonts w:hint="eastAsia" w:ascii="宋体" w:hAnsi="宋体" w:cs="宋体"/>
          <w:spacing w:val="4"/>
          <w:sz w:val="30"/>
          <w:szCs w:val="30"/>
        </w:rPr>
        <w:t>月</w:t>
      </w:r>
      <w:r>
        <w:rPr>
          <w:rFonts w:hint="eastAsia" w:ascii="仿宋" w:hAnsi="仿宋" w:eastAsia="仿宋" w:cs="仿宋"/>
          <w:spacing w:val="4"/>
          <w:sz w:val="30"/>
          <w:szCs w:val="30"/>
        </w:rPr>
        <w:t xml:space="preserve">    </w:t>
      </w:r>
    </w:p>
    <w:p w14:paraId="1DD9AE05"/>
    <w:p w14:paraId="68DF796D">
      <w:pPr>
        <w:widowControl/>
        <w:jc w:val="left"/>
        <w:rPr>
          <w:rFonts w:ascii="宋体" w:hAnsi="宋体"/>
          <w:bCs/>
          <w:kern w:val="0"/>
          <w:sz w:val="28"/>
          <w:szCs w:val="28"/>
        </w:rPr>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化" w:date="2025-06-23T13:19:00Z" w:initials="">
    <w:p w14:paraId="4C2F0F56">
      <w:pPr>
        <w:pStyle w:val="7"/>
      </w:pPr>
      <w:r>
        <w:rPr>
          <w:rFonts w:hint="eastAsia"/>
        </w:rPr>
        <w:t>无项目贷的合同此部分改为：发包人的支付方式约定为银行承兑汇票或电汇付款（银行转账）</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2F0F5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7F68">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D25B6">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9D25B6">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63454">
    <w:pPr>
      <w:pStyle w:val="13"/>
      <w:jc w:val="center"/>
      <w:rPr>
        <w:rFonts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4A05D">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CA4A05D">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7727">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C5BF3">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61C5BF3">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FB26">
    <w:pPr>
      <w:spacing w:line="176" w:lineRule="auto"/>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2A181">
                          <w:pPr>
                            <w:pStyle w:val="13"/>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E52A181">
                    <w:pPr>
                      <w:pStyle w:val="13"/>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122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0242">
    <w:pPr>
      <w:spacing w:line="176" w:lineRule="auto"/>
      <w:ind w:left="4368"/>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2515B">
                          <w:pPr>
                            <w:pStyle w:val="13"/>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122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182515B">
                    <w:pPr>
                      <w:pStyle w:val="13"/>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122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0AE7">
    <w:pPr>
      <w:pStyle w:val="13"/>
      <w:jc w:val="center"/>
      <w:rPr>
        <w:cap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B17F2">
                          <w:pPr>
                            <w:pStyle w:val="13"/>
                            <w:jc w:val="center"/>
                          </w:pPr>
                          <w:r>
                            <w:rPr>
                              <w:caps/>
                            </w:rPr>
                            <w:fldChar w:fldCharType="begin"/>
                          </w:r>
                          <w:r>
                            <w:rPr>
                              <w:caps/>
                            </w:rPr>
                            <w:instrText xml:space="preserve">PAGE   \* MERGEFORMAT</w:instrText>
                          </w:r>
                          <w:r>
                            <w:rPr>
                              <w:caps/>
                            </w:rPr>
                            <w:fldChar w:fldCharType="separate"/>
                          </w:r>
                          <w:r>
                            <w:rPr>
                              <w:caps/>
                              <w:lang w:val="zh-CN"/>
                            </w:rPr>
                            <w:t>105</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03B17F2">
                    <w:pPr>
                      <w:pStyle w:val="13"/>
                      <w:jc w:val="center"/>
                    </w:pPr>
                    <w:r>
                      <w:rPr>
                        <w:caps/>
                      </w:rPr>
                      <w:fldChar w:fldCharType="begin"/>
                    </w:r>
                    <w:r>
                      <w:rPr>
                        <w:caps/>
                      </w:rPr>
                      <w:instrText xml:space="preserve">PAGE   \* MERGEFORMAT</w:instrText>
                    </w:r>
                    <w:r>
                      <w:rPr>
                        <w:caps/>
                      </w:rPr>
                      <w:fldChar w:fldCharType="separate"/>
                    </w:r>
                    <w:r>
                      <w:rPr>
                        <w:caps/>
                        <w:lang w:val="zh-CN"/>
                      </w:rPr>
                      <w:t>105</w:t>
                    </w:r>
                    <w:r>
                      <w:rPr>
                        <w:caps/>
                      </w:rPr>
                      <w:fldChar w:fldCharType="end"/>
                    </w:r>
                  </w:p>
                </w:txbxContent>
              </v:textbox>
            </v:shape>
          </w:pict>
        </mc:Fallback>
      </mc:AlternateContent>
    </w:r>
  </w:p>
  <w:p w14:paraId="79F26671">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C31B6">
    <w:pPr>
      <w:pStyle w:val="14"/>
      <w:pBdr>
        <w:bottom w:val="thinThickMediumGap" w:color="auto" w:sz="18" w:space="1"/>
      </w:pBdr>
      <w:jc w:val="distribute"/>
      <w:rPr>
        <w:rFonts w:ascii="宋体" w:hAnsi="宋体" w:cs="宋体"/>
        <w:b/>
      </w:rPr>
    </w:pPr>
  </w:p>
  <w:p w14:paraId="2B9DD18D">
    <w:pPr>
      <w:pStyle w:val="14"/>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598D8">
    <w:pPr>
      <w:pStyle w:val="8"/>
      <w:spacing w:before="87" w:line="223" w:lineRule="auto"/>
      <w:ind w:left="15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6717F">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6C10C">
    <w:pPr>
      <w:pStyle w:val="14"/>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35A6C"/>
    <w:multiLevelType w:val="singleLevel"/>
    <w:tmpl w:val="8BE35A6C"/>
    <w:lvl w:ilvl="0" w:tentative="0">
      <w:start w:val="1"/>
      <w:numFmt w:val="decimal"/>
      <w:suff w:val="nothing"/>
      <w:lvlText w:val="（%1）"/>
      <w:lvlJc w:val="left"/>
      <w:pPr>
        <w:ind w:left="420" w:firstLine="0"/>
      </w:pPr>
    </w:lvl>
  </w:abstractNum>
  <w:abstractNum w:abstractNumId="1">
    <w:nsid w:val="AAA7364F"/>
    <w:multiLevelType w:val="singleLevel"/>
    <w:tmpl w:val="AAA7364F"/>
    <w:lvl w:ilvl="0" w:tentative="0">
      <w:start w:val="2"/>
      <w:numFmt w:val="decimal"/>
      <w:suff w:val="nothing"/>
      <w:lvlText w:val="（%1）"/>
      <w:lvlJc w:val="left"/>
    </w:lvl>
  </w:abstractNum>
  <w:abstractNum w:abstractNumId="2">
    <w:nsid w:val="1FC91163"/>
    <w:multiLevelType w:val="multilevel"/>
    <w:tmpl w:val="1FC91163"/>
    <w:lvl w:ilvl="0" w:tentative="0">
      <w:start w:val="1"/>
      <w:numFmt w:val="decimal"/>
      <w:pStyle w:val="68"/>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70"/>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4"/>
      <w:suff w:val="nothing"/>
      <w:lvlText w:val="%1.%2.%3　"/>
      <w:lvlJc w:val="left"/>
      <w:pPr>
        <w:ind w:left="0" w:firstLine="0"/>
      </w:pPr>
      <w:rPr>
        <w:rFonts w:hint="eastAsia" w:ascii="黑体" w:hAnsi="Times New Roman" w:eastAsia="黑体"/>
        <w:b w:val="0"/>
        <w:i w:val="0"/>
        <w:sz w:val="21"/>
      </w:rPr>
    </w:lvl>
    <w:lvl w:ilvl="3" w:tentative="0">
      <w:start w:val="1"/>
      <w:numFmt w:val="decimal"/>
      <w:pStyle w:val="7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0B247BD"/>
    <w:multiLevelType w:val="singleLevel"/>
    <w:tmpl w:val="20B247BD"/>
    <w:lvl w:ilvl="0" w:tentative="0">
      <w:start w:val="1"/>
      <w:numFmt w:val="upperLetter"/>
      <w:suff w:val="nothing"/>
      <w:lvlText w:val="%1、"/>
      <w:lvlJc w:val="left"/>
    </w:lvl>
  </w:abstractNum>
  <w:abstractNum w:abstractNumId="4">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7FF1490"/>
    <w:multiLevelType w:val="multilevel"/>
    <w:tmpl w:val="57FF1490"/>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EE13876"/>
    <w:multiLevelType w:val="multilevel"/>
    <w:tmpl w:val="5EE13876"/>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6C351312"/>
    <w:multiLevelType w:val="singleLevel"/>
    <w:tmpl w:val="6C351312"/>
    <w:lvl w:ilvl="0" w:tentative="0">
      <w:start w:val="2"/>
      <w:numFmt w:val="decimal"/>
      <w:suff w:val="space"/>
      <w:lvlText w:val="%1."/>
      <w:lvlJc w:val="left"/>
    </w:lvl>
  </w:abstractNum>
  <w:abstractNum w:abstractNumId="9">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7513807E"/>
    <w:multiLevelType w:val="singleLevel"/>
    <w:tmpl w:val="7513807E"/>
    <w:lvl w:ilvl="0" w:tentative="0">
      <w:start w:val="5"/>
      <w:numFmt w:val="decimal"/>
      <w:lvlText w:val="%1."/>
      <w:lvlJc w:val="left"/>
      <w:pPr>
        <w:tabs>
          <w:tab w:val="left" w:pos="312"/>
        </w:tabs>
      </w:pPr>
    </w:lvl>
  </w:abstractNum>
  <w:num w:numId="1">
    <w:abstractNumId w:val="2"/>
  </w:num>
  <w:num w:numId="2">
    <w:abstractNumId w:val="6"/>
  </w:num>
  <w:num w:numId="3">
    <w:abstractNumId w:val="10"/>
  </w:num>
  <w:num w:numId="4">
    <w:abstractNumId w:val="0"/>
  </w:num>
  <w:num w:numId="5">
    <w:abstractNumId w:val="8"/>
  </w:num>
  <w:num w:numId="6">
    <w:abstractNumId w:val="9"/>
  </w:num>
  <w:num w:numId="7">
    <w:abstractNumId w:val="4"/>
  </w:num>
  <w:num w:numId="8">
    <w:abstractNumId w:val="3"/>
  </w:num>
  <w:num w:numId="9">
    <w:abstractNumId w:val="1"/>
  </w:num>
  <w:num w:numId="10">
    <w:abstractNumId w:val="7"/>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化">
    <w15:presenceInfo w15:providerId="None" w15:userId="黄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4E16"/>
    <w:rsid w:val="00015732"/>
    <w:rsid w:val="0002731E"/>
    <w:rsid w:val="00033273"/>
    <w:rsid w:val="0003535A"/>
    <w:rsid w:val="0004557B"/>
    <w:rsid w:val="00055099"/>
    <w:rsid w:val="0006349A"/>
    <w:rsid w:val="000639DA"/>
    <w:rsid w:val="00066327"/>
    <w:rsid w:val="00067A52"/>
    <w:rsid w:val="00074A9C"/>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A7ABD"/>
    <w:rsid w:val="001C504A"/>
    <w:rsid w:val="001D263E"/>
    <w:rsid w:val="001E4C22"/>
    <w:rsid w:val="001E7567"/>
    <w:rsid w:val="001F306D"/>
    <w:rsid w:val="001F6D3B"/>
    <w:rsid w:val="001F75D1"/>
    <w:rsid w:val="00271875"/>
    <w:rsid w:val="002769D8"/>
    <w:rsid w:val="00277025"/>
    <w:rsid w:val="002A4E7C"/>
    <w:rsid w:val="002A74FC"/>
    <w:rsid w:val="002C7821"/>
    <w:rsid w:val="00304C5C"/>
    <w:rsid w:val="0031562D"/>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4027DD"/>
    <w:rsid w:val="00411C82"/>
    <w:rsid w:val="0041311F"/>
    <w:rsid w:val="00423578"/>
    <w:rsid w:val="00427796"/>
    <w:rsid w:val="00444480"/>
    <w:rsid w:val="00445084"/>
    <w:rsid w:val="00465DC3"/>
    <w:rsid w:val="00491316"/>
    <w:rsid w:val="004A5B13"/>
    <w:rsid w:val="004B6BE1"/>
    <w:rsid w:val="004C1C65"/>
    <w:rsid w:val="004C4ED6"/>
    <w:rsid w:val="004C7FDE"/>
    <w:rsid w:val="004D0768"/>
    <w:rsid w:val="004D0830"/>
    <w:rsid w:val="00506E72"/>
    <w:rsid w:val="0051340F"/>
    <w:rsid w:val="00530CFA"/>
    <w:rsid w:val="00535B40"/>
    <w:rsid w:val="0055580E"/>
    <w:rsid w:val="00596A5D"/>
    <w:rsid w:val="005B7EC1"/>
    <w:rsid w:val="005C3AD3"/>
    <w:rsid w:val="005C4D96"/>
    <w:rsid w:val="005D0926"/>
    <w:rsid w:val="00603AEC"/>
    <w:rsid w:val="00604D86"/>
    <w:rsid w:val="00606C97"/>
    <w:rsid w:val="00615E15"/>
    <w:rsid w:val="006227EA"/>
    <w:rsid w:val="006326A5"/>
    <w:rsid w:val="00637D7A"/>
    <w:rsid w:val="00644C42"/>
    <w:rsid w:val="00650FCB"/>
    <w:rsid w:val="0066245A"/>
    <w:rsid w:val="006773FE"/>
    <w:rsid w:val="006815A2"/>
    <w:rsid w:val="0069210D"/>
    <w:rsid w:val="00694020"/>
    <w:rsid w:val="00697B40"/>
    <w:rsid w:val="006A4D4C"/>
    <w:rsid w:val="006A7B92"/>
    <w:rsid w:val="006C788A"/>
    <w:rsid w:val="006D2211"/>
    <w:rsid w:val="006E00BB"/>
    <w:rsid w:val="006F3081"/>
    <w:rsid w:val="00701695"/>
    <w:rsid w:val="007162FA"/>
    <w:rsid w:val="00720504"/>
    <w:rsid w:val="00723322"/>
    <w:rsid w:val="00725E6F"/>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C706F"/>
    <w:rsid w:val="008D4DED"/>
    <w:rsid w:val="008E41A1"/>
    <w:rsid w:val="008E78AD"/>
    <w:rsid w:val="00916B62"/>
    <w:rsid w:val="009175B4"/>
    <w:rsid w:val="00937BE3"/>
    <w:rsid w:val="00956A25"/>
    <w:rsid w:val="0098054D"/>
    <w:rsid w:val="00990130"/>
    <w:rsid w:val="009A1ED4"/>
    <w:rsid w:val="009C595E"/>
    <w:rsid w:val="009D202F"/>
    <w:rsid w:val="009E1A97"/>
    <w:rsid w:val="009E2AED"/>
    <w:rsid w:val="009F2F18"/>
    <w:rsid w:val="009F5130"/>
    <w:rsid w:val="00A11B03"/>
    <w:rsid w:val="00A129FC"/>
    <w:rsid w:val="00A323FB"/>
    <w:rsid w:val="00A577A1"/>
    <w:rsid w:val="00A72AF6"/>
    <w:rsid w:val="00A90A78"/>
    <w:rsid w:val="00AA0104"/>
    <w:rsid w:val="00AA2C25"/>
    <w:rsid w:val="00AA6699"/>
    <w:rsid w:val="00AA6B15"/>
    <w:rsid w:val="00AA72B3"/>
    <w:rsid w:val="00AC484F"/>
    <w:rsid w:val="00AC5B2B"/>
    <w:rsid w:val="00AF07CF"/>
    <w:rsid w:val="00AF779C"/>
    <w:rsid w:val="00B00FFE"/>
    <w:rsid w:val="00B24BD3"/>
    <w:rsid w:val="00B27073"/>
    <w:rsid w:val="00B80808"/>
    <w:rsid w:val="00B81798"/>
    <w:rsid w:val="00B836A3"/>
    <w:rsid w:val="00B927C3"/>
    <w:rsid w:val="00BA3B67"/>
    <w:rsid w:val="00BB26FC"/>
    <w:rsid w:val="00BC0E0F"/>
    <w:rsid w:val="00BC1DCA"/>
    <w:rsid w:val="00BC4539"/>
    <w:rsid w:val="00C16F96"/>
    <w:rsid w:val="00C41126"/>
    <w:rsid w:val="00C516D1"/>
    <w:rsid w:val="00C63D4D"/>
    <w:rsid w:val="00C77A33"/>
    <w:rsid w:val="00CA2115"/>
    <w:rsid w:val="00CA6278"/>
    <w:rsid w:val="00CC2A62"/>
    <w:rsid w:val="00CD536C"/>
    <w:rsid w:val="00CF2B7E"/>
    <w:rsid w:val="00CF44FD"/>
    <w:rsid w:val="00D3568B"/>
    <w:rsid w:val="00D64B0C"/>
    <w:rsid w:val="00D66967"/>
    <w:rsid w:val="00D755A5"/>
    <w:rsid w:val="00D75A6B"/>
    <w:rsid w:val="00D7614C"/>
    <w:rsid w:val="00D76D3D"/>
    <w:rsid w:val="00D937E7"/>
    <w:rsid w:val="00DA43C0"/>
    <w:rsid w:val="00DA5374"/>
    <w:rsid w:val="00DB01DA"/>
    <w:rsid w:val="00DB33AB"/>
    <w:rsid w:val="00DB5932"/>
    <w:rsid w:val="00DC5625"/>
    <w:rsid w:val="00DD0C00"/>
    <w:rsid w:val="00DF3A73"/>
    <w:rsid w:val="00E04F14"/>
    <w:rsid w:val="00E076D7"/>
    <w:rsid w:val="00E102CF"/>
    <w:rsid w:val="00E16E56"/>
    <w:rsid w:val="00E32177"/>
    <w:rsid w:val="00E33296"/>
    <w:rsid w:val="00E34A35"/>
    <w:rsid w:val="00E35B98"/>
    <w:rsid w:val="00E37CF0"/>
    <w:rsid w:val="00E41F40"/>
    <w:rsid w:val="00E44038"/>
    <w:rsid w:val="00E75715"/>
    <w:rsid w:val="00E75A90"/>
    <w:rsid w:val="00E962EC"/>
    <w:rsid w:val="00EB51BD"/>
    <w:rsid w:val="00ED5E43"/>
    <w:rsid w:val="00EE630B"/>
    <w:rsid w:val="00EF4098"/>
    <w:rsid w:val="00F06F7B"/>
    <w:rsid w:val="00F33F0A"/>
    <w:rsid w:val="00F42DFD"/>
    <w:rsid w:val="00F42E95"/>
    <w:rsid w:val="00F827C7"/>
    <w:rsid w:val="00F96FD9"/>
    <w:rsid w:val="00FA1BA8"/>
    <w:rsid w:val="00FA49D4"/>
    <w:rsid w:val="00FC5408"/>
    <w:rsid w:val="00FC64A5"/>
    <w:rsid w:val="00FD7184"/>
    <w:rsid w:val="0252552D"/>
    <w:rsid w:val="02ED4A47"/>
    <w:rsid w:val="039F26C9"/>
    <w:rsid w:val="03AC4D68"/>
    <w:rsid w:val="07CF7529"/>
    <w:rsid w:val="07F33D53"/>
    <w:rsid w:val="08470CC8"/>
    <w:rsid w:val="0AA3501D"/>
    <w:rsid w:val="0B8E5E80"/>
    <w:rsid w:val="0BAF6137"/>
    <w:rsid w:val="0C9D4FE4"/>
    <w:rsid w:val="10B85A49"/>
    <w:rsid w:val="11022000"/>
    <w:rsid w:val="11166965"/>
    <w:rsid w:val="11AD6919"/>
    <w:rsid w:val="131161CB"/>
    <w:rsid w:val="14962736"/>
    <w:rsid w:val="14FE170B"/>
    <w:rsid w:val="155B522A"/>
    <w:rsid w:val="15EB2077"/>
    <w:rsid w:val="16160A25"/>
    <w:rsid w:val="16506CFC"/>
    <w:rsid w:val="1AF647A3"/>
    <w:rsid w:val="1B1D2ECC"/>
    <w:rsid w:val="1D5340D5"/>
    <w:rsid w:val="1D5B41AA"/>
    <w:rsid w:val="1E2F712F"/>
    <w:rsid w:val="1E6502D1"/>
    <w:rsid w:val="1F704B80"/>
    <w:rsid w:val="21592A0A"/>
    <w:rsid w:val="2605281B"/>
    <w:rsid w:val="29512B72"/>
    <w:rsid w:val="29D92176"/>
    <w:rsid w:val="29DD4CB9"/>
    <w:rsid w:val="2AF77747"/>
    <w:rsid w:val="2ED4259D"/>
    <w:rsid w:val="30014ABC"/>
    <w:rsid w:val="32CF7549"/>
    <w:rsid w:val="3307663B"/>
    <w:rsid w:val="33E330E5"/>
    <w:rsid w:val="364E146B"/>
    <w:rsid w:val="36C66A25"/>
    <w:rsid w:val="37782570"/>
    <w:rsid w:val="37A22B83"/>
    <w:rsid w:val="38BC27A6"/>
    <w:rsid w:val="3A06527E"/>
    <w:rsid w:val="3B753F05"/>
    <w:rsid w:val="3E111FAD"/>
    <w:rsid w:val="3E7346AA"/>
    <w:rsid w:val="3E7E68EE"/>
    <w:rsid w:val="438254A7"/>
    <w:rsid w:val="4439262F"/>
    <w:rsid w:val="483408A5"/>
    <w:rsid w:val="4AE1509D"/>
    <w:rsid w:val="4E8D6C9B"/>
    <w:rsid w:val="4FAE474F"/>
    <w:rsid w:val="531540B7"/>
    <w:rsid w:val="56093F5F"/>
    <w:rsid w:val="57314EF4"/>
    <w:rsid w:val="5BC81896"/>
    <w:rsid w:val="5D6E6727"/>
    <w:rsid w:val="604F627F"/>
    <w:rsid w:val="62560FBE"/>
    <w:rsid w:val="66EE541F"/>
    <w:rsid w:val="67114A94"/>
    <w:rsid w:val="698971FC"/>
    <w:rsid w:val="6B5C44B8"/>
    <w:rsid w:val="6BDC6C36"/>
    <w:rsid w:val="6EDA6DB9"/>
    <w:rsid w:val="6F4F078F"/>
    <w:rsid w:val="71D37C38"/>
    <w:rsid w:val="72030E1E"/>
    <w:rsid w:val="762A44F2"/>
    <w:rsid w:val="772B173D"/>
    <w:rsid w:val="789C1508"/>
    <w:rsid w:val="7C0814C8"/>
    <w:rsid w:val="7CA64253"/>
    <w:rsid w:val="7CE568C5"/>
    <w:rsid w:val="7D1108C2"/>
    <w:rsid w:val="7D61168C"/>
    <w:rsid w:val="7EA91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paragraph" w:styleId="5">
    <w:name w:val="heading 4"/>
    <w:next w:val="1"/>
    <w:qFormat/>
    <w:uiPriority w:val="0"/>
    <w:pPr>
      <w:keepNext/>
      <w:keepLines/>
      <w:widowControl w:val="0"/>
      <w:spacing w:before="280" w:after="290" w:line="372" w:lineRule="auto"/>
      <w:jc w:val="both"/>
      <w:outlineLvl w:val="3"/>
    </w:pPr>
    <w:rPr>
      <w:rFonts w:ascii="Cambria" w:hAnsi="Cambria" w:eastAsia="宋体" w:cs="Times New Roman"/>
      <w:b/>
      <w:bCs/>
      <w:kern w:val="2"/>
      <w:sz w:val="28"/>
      <w:szCs w:val="28"/>
      <w:lang w:val="en-US" w:eastAsia="zh-CN" w:bidi="ar-SA"/>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260" w:hanging="420"/>
    </w:pPr>
    <w:rPr>
      <w:szCs w:val="20"/>
    </w:rPr>
  </w:style>
  <w:style w:type="paragraph" w:styleId="7">
    <w:name w:val="annotation text"/>
    <w:basedOn w:val="1"/>
    <w:link w:val="30"/>
    <w:unhideWhenUsed/>
    <w:qFormat/>
    <w:uiPriority w:val="99"/>
    <w:pPr>
      <w:jc w:val="left"/>
    </w:pPr>
  </w:style>
  <w:style w:type="paragraph" w:styleId="8">
    <w:name w:val="Body Text"/>
    <w:basedOn w:val="1"/>
    <w:qFormat/>
    <w:uiPriority w:val="0"/>
    <w:pPr>
      <w:spacing w:after="120"/>
    </w:p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Date"/>
    <w:basedOn w:val="1"/>
    <w:next w:val="1"/>
    <w:link w:val="59"/>
    <w:semiHidden/>
    <w:unhideWhenUsed/>
    <w:qFormat/>
    <w:uiPriority w:val="99"/>
    <w:pPr>
      <w:ind w:left="100" w:leftChars="2500"/>
    </w:pPr>
  </w:style>
  <w:style w:type="paragraph" w:styleId="11">
    <w:name w:val="Body Text Indent 2"/>
    <w:basedOn w:val="1"/>
    <w:link w:val="32"/>
    <w:qFormat/>
    <w:uiPriority w:val="99"/>
    <w:pPr>
      <w:ind w:firstLine="480"/>
    </w:pPr>
    <w:rPr>
      <w:rFonts w:ascii="仿宋_GB2312" w:eastAsia="仿宋_GB2312"/>
      <w:sz w:val="24"/>
      <w:szCs w:val="20"/>
    </w:rPr>
  </w:style>
  <w:style w:type="paragraph" w:styleId="12">
    <w:name w:val="Balloon Text"/>
    <w:basedOn w:val="1"/>
    <w:link w:val="33"/>
    <w:unhideWhenUsed/>
    <w:qFormat/>
    <w:uiPriority w:val="99"/>
    <w:rPr>
      <w:sz w:val="18"/>
      <w:szCs w:val="18"/>
    </w:rPr>
  </w:style>
  <w:style w:type="paragraph" w:styleId="13">
    <w:name w:val="footer"/>
    <w:basedOn w:val="1"/>
    <w:link w:val="34"/>
    <w:unhideWhenUsed/>
    <w:qFormat/>
    <w:uiPriority w:val="99"/>
    <w:pPr>
      <w:tabs>
        <w:tab w:val="center" w:pos="4153"/>
        <w:tab w:val="right" w:pos="8306"/>
      </w:tabs>
      <w:snapToGrid w:val="0"/>
      <w:jc w:val="left"/>
    </w:pPr>
    <w:rPr>
      <w:sz w:val="18"/>
      <w:szCs w:val="18"/>
    </w:rPr>
  </w:style>
  <w:style w:type="paragraph" w:styleId="14">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6">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unhideWhenUsed/>
    <w:qFormat/>
    <w:uiPriority w:val="99"/>
    <w:pPr>
      <w:spacing w:beforeAutospacing="1" w:afterAutospacing="1"/>
      <w:jc w:val="left"/>
    </w:pPr>
    <w:rPr>
      <w:kern w:val="0"/>
      <w:sz w:val="24"/>
    </w:rPr>
  </w:style>
  <w:style w:type="paragraph" w:styleId="19">
    <w:name w:val="annotation subject"/>
    <w:basedOn w:val="7"/>
    <w:next w:val="7"/>
    <w:link w:val="31"/>
    <w:unhideWhenUsed/>
    <w:qFormat/>
    <w:uiPriority w:val="99"/>
    <w:rPr>
      <w:b/>
      <w:bCs/>
    </w:rPr>
  </w:style>
  <w:style w:type="table" w:styleId="21">
    <w:name w:val="Table Grid"/>
    <w:basedOn w:val="20"/>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unhideWhenUsed/>
    <w:qFormat/>
    <w:uiPriority w:val="99"/>
    <w:rPr>
      <w:color w:val="800080"/>
      <w:u w:val="single"/>
    </w:rPr>
  </w:style>
  <w:style w:type="character" w:styleId="24">
    <w:name w:val="Hyperlink"/>
    <w:basedOn w:val="22"/>
    <w:unhideWhenUsed/>
    <w:qFormat/>
    <w:uiPriority w:val="99"/>
    <w:rPr>
      <w:color w:val="0000FF"/>
      <w:u w:val="single"/>
    </w:rPr>
  </w:style>
  <w:style w:type="character" w:styleId="25">
    <w:name w:val="annotation reference"/>
    <w:basedOn w:val="22"/>
    <w:unhideWhenUsed/>
    <w:qFormat/>
    <w:uiPriority w:val="99"/>
    <w:rPr>
      <w:sz w:val="21"/>
      <w:szCs w:val="21"/>
    </w:rPr>
  </w:style>
  <w:style w:type="paragraph" w:customStyle="1" w:styleId="26">
    <w:name w:val="列出段落1"/>
    <w:basedOn w:val="1"/>
    <w:qFormat/>
    <w:uiPriority w:val="34"/>
    <w:pPr>
      <w:ind w:firstLine="420" w:firstLineChars="200"/>
    </w:pPr>
  </w:style>
  <w:style w:type="character" w:customStyle="1" w:styleId="27">
    <w:name w:val="标题 1 字符"/>
    <w:basedOn w:val="22"/>
    <w:link w:val="2"/>
    <w:qFormat/>
    <w:uiPriority w:val="0"/>
    <w:rPr>
      <w:rFonts w:ascii="Times New Roman" w:hAnsi="Times New Roman" w:eastAsia="宋体" w:cs="Times New Roman"/>
      <w:b/>
      <w:bCs/>
      <w:kern w:val="44"/>
      <w:sz w:val="44"/>
      <w:szCs w:val="44"/>
    </w:rPr>
  </w:style>
  <w:style w:type="character" w:customStyle="1" w:styleId="28">
    <w:name w:val="标题 2 字符"/>
    <w:basedOn w:val="22"/>
    <w:link w:val="3"/>
    <w:qFormat/>
    <w:uiPriority w:val="0"/>
    <w:rPr>
      <w:rFonts w:ascii="Arial" w:hAnsi="Arial" w:eastAsia="黑体" w:cs="Times New Roman"/>
      <w:b/>
      <w:bCs/>
      <w:sz w:val="32"/>
      <w:szCs w:val="32"/>
    </w:rPr>
  </w:style>
  <w:style w:type="character" w:customStyle="1" w:styleId="29">
    <w:name w:val="标题 3 字符"/>
    <w:basedOn w:val="22"/>
    <w:link w:val="4"/>
    <w:qFormat/>
    <w:uiPriority w:val="0"/>
    <w:rPr>
      <w:rFonts w:ascii="Times New Roman" w:hAnsi="Times New Roman" w:eastAsia="宋体" w:cs="Times New Roman"/>
      <w:b/>
      <w:bCs/>
      <w:sz w:val="32"/>
      <w:szCs w:val="32"/>
    </w:rPr>
  </w:style>
  <w:style w:type="character" w:customStyle="1" w:styleId="30">
    <w:name w:val="批注文字 字符"/>
    <w:basedOn w:val="22"/>
    <w:link w:val="7"/>
    <w:qFormat/>
    <w:uiPriority w:val="99"/>
    <w:rPr>
      <w:rFonts w:ascii="Times New Roman" w:hAnsi="Times New Roman" w:eastAsia="宋体" w:cs="Times New Roman"/>
      <w:szCs w:val="24"/>
    </w:rPr>
  </w:style>
  <w:style w:type="character" w:customStyle="1" w:styleId="31">
    <w:name w:val="批注主题 字符"/>
    <w:basedOn w:val="30"/>
    <w:link w:val="19"/>
    <w:qFormat/>
    <w:uiPriority w:val="99"/>
    <w:rPr>
      <w:rFonts w:ascii="Times New Roman" w:hAnsi="Times New Roman" w:eastAsia="宋体" w:cs="Times New Roman"/>
      <w:b/>
      <w:bCs/>
      <w:szCs w:val="24"/>
    </w:rPr>
  </w:style>
  <w:style w:type="character" w:customStyle="1" w:styleId="32">
    <w:name w:val="正文文本缩进 2 字符"/>
    <w:basedOn w:val="22"/>
    <w:link w:val="11"/>
    <w:qFormat/>
    <w:uiPriority w:val="99"/>
    <w:rPr>
      <w:rFonts w:ascii="仿宋_GB2312" w:hAnsi="Times New Roman" w:eastAsia="仿宋_GB2312" w:cs="Times New Roman"/>
      <w:sz w:val="24"/>
      <w:szCs w:val="20"/>
    </w:rPr>
  </w:style>
  <w:style w:type="character" w:customStyle="1" w:styleId="33">
    <w:name w:val="批注框文本 字符"/>
    <w:basedOn w:val="22"/>
    <w:link w:val="12"/>
    <w:qFormat/>
    <w:uiPriority w:val="99"/>
    <w:rPr>
      <w:rFonts w:ascii="Times New Roman" w:hAnsi="Times New Roman" w:eastAsia="宋体" w:cs="Times New Roman"/>
      <w:sz w:val="18"/>
      <w:szCs w:val="18"/>
    </w:rPr>
  </w:style>
  <w:style w:type="character" w:customStyle="1" w:styleId="34">
    <w:name w:val="页脚 字符"/>
    <w:basedOn w:val="22"/>
    <w:link w:val="13"/>
    <w:qFormat/>
    <w:uiPriority w:val="99"/>
    <w:rPr>
      <w:rFonts w:ascii="Times New Roman" w:hAnsi="Times New Roman" w:eastAsia="宋体" w:cs="Times New Roman"/>
      <w:sz w:val="18"/>
      <w:szCs w:val="18"/>
    </w:rPr>
  </w:style>
  <w:style w:type="character" w:customStyle="1" w:styleId="35">
    <w:name w:val="页眉 字符"/>
    <w:basedOn w:val="22"/>
    <w:link w:val="14"/>
    <w:qFormat/>
    <w:uiPriority w:val="99"/>
    <w:rPr>
      <w:rFonts w:ascii="Times New Roman" w:hAnsi="Times New Roman" w:eastAsia="宋体" w:cs="Times New Roman"/>
      <w:sz w:val="18"/>
      <w:szCs w:val="18"/>
    </w:rPr>
  </w:style>
  <w:style w:type="paragraph" w:customStyle="1" w:styleId="36">
    <w:name w:val="样式2"/>
    <w:basedOn w:val="1"/>
    <w:qFormat/>
    <w:uiPriority w:val="0"/>
    <w:pPr>
      <w:adjustRightInd w:val="0"/>
      <w:spacing w:line="410" w:lineRule="atLeast"/>
      <w:textAlignment w:val="baseline"/>
    </w:pPr>
    <w:rPr>
      <w:kern w:val="0"/>
      <w:sz w:val="24"/>
      <w:szCs w:val="20"/>
    </w:rPr>
  </w:style>
  <w:style w:type="paragraph" w:customStyle="1" w:styleId="37">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8">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39">
    <w:name w:val="无间隔1"/>
    <w:link w:val="57"/>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4">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5">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6">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7">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0">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1">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2">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4">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5">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6">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7">
    <w:name w:val="无间隔 Char"/>
    <w:basedOn w:val="22"/>
    <w:link w:val="39"/>
    <w:qFormat/>
    <w:uiPriority w:val="1"/>
    <w:rPr>
      <w:rFonts w:ascii="Times New Roman" w:hAnsi="Times New Roman" w:eastAsia="宋体" w:cs="Times New Roman"/>
      <w:szCs w:val="24"/>
    </w:rPr>
  </w:style>
  <w:style w:type="paragraph" w:styleId="58">
    <w:name w:val="List Paragraph"/>
    <w:basedOn w:val="1"/>
    <w:qFormat/>
    <w:uiPriority w:val="99"/>
    <w:pPr>
      <w:ind w:firstLine="420" w:firstLineChars="200"/>
    </w:pPr>
  </w:style>
  <w:style w:type="character" w:customStyle="1" w:styleId="59">
    <w:name w:val="日期 字符"/>
    <w:basedOn w:val="22"/>
    <w:link w:val="10"/>
    <w:semiHidden/>
    <w:qFormat/>
    <w:uiPriority w:val="99"/>
    <w:rPr>
      <w:rFonts w:ascii="Times New Roman" w:hAnsi="Times New Roman" w:eastAsia="宋体" w:cs="Times New Roman"/>
      <w:szCs w:val="24"/>
    </w:rPr>
  </w:style>
  <w:style w:type="paragraph" w:customStyle="1" w:styleId="6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2">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65">
    <w:name w:val="Table Text"/>
    <w:semiHidden/>
    <w:qFormat/>
    <w:uiPriority w:val="0"/>
    <w:pPr>
      <w:widowControl w:val="0"/>
      <w:jc w:val="both"/>
    </w:pPr>
    <w:rPr>
      <w:rFonts w:ascii="仿宋" w:hAnsi="仿宋" w:eastAsia="仿宋" w:cs="仿宋"/>
      <w:kern w:val="2"/>
      <w:sz w:val="24"/>
      <w:szCs w:val="24"/>
      <w:lang w:val="en-US" w:eastAsia="en-US" w:bidi="ar-SA"/>
    </w:rPr>
  </w:style>
  <w:style w:type="table" w:customStyle="1" w:styleId="66">
    <w:name w:val="Table Normal"/>
    <w:unhideWhenUsed/>
    <w:qFormat/>
    <w:uiPriority w:val="0"/>
    <w:tblPr>
      <w:tblCellMar>
        <w:top w:w="0" w:type="dxa"/>
        <w:left w:w="0" w:type="dxa"/>
        <w:bottom w:w="0" w:type="dxa"/>
        <w:right w:w="0" w:type="dxa"/>
      </w:tblCellMar>
    </w:tblPr>
  </w:style>
  <w:style w:type="paragraph" w:customStyle="1" w:styleId="67">
    <w:name w:val="目次、标准名称标题"/>
    <w:next w:val="63"/>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paragraph" w:customStyle="1" w:styleId="68">
    <w:name w:val="章标题"/>
    <w:next w:val="63"/>
    <w:qFormat/>
    <w:uiPriority w:val="0"/>
    <w:pPr>
      <w:numPr>
        <w:ilvl w:val="0"/>
        <w:numId w:val="1"/>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69">
    <w:name w:val="一级无"/>
    <w:qFormat/>
    <w:uiPriority w:val="0"/>
    <w:pPr>
      <w:outlineLvl w:val="2"/>
    </w:pPr>
    <w:rPr>
      <w:rFonts w:ascii="宋体" w:hAnsi="Times New Roman" w:eastAsia="宋体" w:cs="Times New Roman"/>
      <w:sz w:val="21"/>
      <w:szCs w:val="21"/>
      <w:lang w:val="en-US" w:eastAsia="zh-CN" w:bidi="ar-SA"/>
    </w:rPr>
  </w:style>
  <w:style w:type="paragraph" w:customStyle="1" w:styleId="70">
    <w:name w:val="一级条标题"/>
    <w:next w:val="63"/>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71">
    <w:name w:val="正文图标题"/>
    <w:next w:val="63"/>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2">
    <w:name w:val="二级无"/>
    <w:qFormat/>
    <w:uiPriority w:val="0"/>
    <w:pPr>
      <w:spacing w:before="50" w:after="50"/>
      <w:outlineLvl w:val="3"/>
    </w:pPr>
    <w:rPr>
      <w:rFonts w:ascii="宋体" w:hAnsi="Times New Roman" w:eastAsia="宋体" w:cs="Times New Roman"/>
      <w:sz w:val="21"/>
      <w:szCs w:val="21"/>
      <w:lang w:val="en-US" w:eastAsia="zh-CN" w:bidi="ar-SA"/>
    </w:rPr>
  </w:style>
  <w:style w:type="paragraph" w:customStyle="1" w:styleId="73">
    <w:name w:val="三级无"/>
    <w:qFormat/>
    <w:uiPriority w:val="0"/>
    <w:pPr>
      <w:numPr>
        <w:ilvl w:val="3"/>
        <w:numId w:val="1"/>
      </w:numPr>
      <w:ind w:left="284"/>
      <w:outlineLvl w:val="4"/>
    </w:pPr>
    <w:rPr>
      <w:rFonts w:ascii="宋体" w:hAnsi="Times New Roman" w:eastAsia="宋体" w:cs="Times New Roman"/>
      <w:sz w:val="21"/>
      <w:szCs w:val="21"/>
      <w:lang w:val="en-US" w:eastAsia="zh-CN" w:bidi="ar-SA"/>
    </w:rPr>
  </w:style>
  <w:style w:type="paragraph" w:customStyle="1" w:styleId="74">
    <w:name w:val="二级条标题"/>
    <w:next w:val="63"/>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75">
    <w:name w:val="附录图标号"/>
    <w:qFormat/>
    <w:uiPriority w:val="0"/>
    <w:pPr>
      <w:keepNext/>
      <w:pageBreakBefore/>
      <w:spacing w:line="14" w:lineRule="exact"/>
      <w:ind w:firstLine="363"/>
      <w:jc w:val="center"/>
      <w:outlineLvl w:val="0"/>
    </w:pPr>
    <w:rPr>
      <w:rFonts w:ascii="Times New Roman" w:hAnsi="Times New Roman" w:eastAsia="宋体" w:cs="Times New Roman"/>
      <w:color w:val="FFFFFF"/>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emf"/><Relationship Id="rId23" Type="http://schemas.openxmlformats.org/officeDocument/2006/relationships/oleObject" Target="embeddings/oleObject3.bin"/><Relationship Id="rId22" Type="http://schemas.openxmlformats.org/officeDocument/2006/relationships/image" Target="media/image5.emf"/><Relationship Id="rId21" Type="http://schemas.openxmlformats.org/officeDocument/2006/relationships/oleObject" Target="embeddings/oleObject2.bin"/><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1C4EC-62B9-4075-B3B6-2FCA54FF1735}">
  <ds:schemaRefs/>
</ds:datastoreItem>
</file>

<file path=docProps/app.xml><?xml version="1.0" encoding="utf-8"?>
<Properties xmlns="http://schemas.openxmlformats.org/officeDocument/2006/extended-properties" xmlns:vt="http://schemas.openxmlformats.org/officeDocument/2006/docPropsVTypes">
  <Template>Normal</Template>
  <Pages>121</Pages>
  <Words>31240</Words>
  <Characters>32695</Characters>
  <Lines>478</Lines>
  <Paragraphs>134</Paragraphs>
  <TotalTime>10</TotalTime>
  <ScaleCrop>false</ScaleCrop>
  <LinksUpToDate>false</LinksUpToDate>
  <CharactersWithSpaces>36512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2022-02-10T11:45:00Z</dcterms:created>
  <dc:creator>杨倩</dc:creator>
  <cp:lastModifiedBy>envy.</cp:lastModifiedBy>
  <dcterms:modified xsi:type="dcterms:W3CDTF">2026-02-02T06:43:49Z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E8420D86D57C46099638EB19A50D11F0_13</vt:lpwstr>
  </property>
  <property fmtid="{D5CDD505-2E9C-101B-9397-08002B2CF9AE}" pid="4" name="KSOTemplateDocerSaveRecord">
    <vt:lpwstr>eyJoZGlkIjoiMjIzODU5ZGRkYTVkODQ4NTI2Nzc3N2I3NjAyMGUzMTQiLCJ1c2VySWQiOiI0NTQ4MDg0MDgifQ==</vt:lpwstr>
  </property>
</Properties>
</file>