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331B23">
      <w:pPr>
        <w:jc w:val="left"/>
        <w:rPr>
          <w:rFonts w:hint="eastAsia" w:ascii="宋体" w:hAnsi="宋体" w:eastAsia="宋体" w:cs="宋体"/>
          <w:b/>
          <w:sz w:val="36"/>
          <w:szCs w:val="36"/>
          <w:lang w:eastAsia="zh-CN"/>
        </w:rPr>
      </w:pPr>
      <w:bookmarkStart w:id="0" w:name="_Toc417895952"/>
      <w:bookmarkStart w:id="1" w:name="_Toc417896685"/>
      <w:bookmarkStart w:id="2" w:name="_Toc416703361"/>
      <w:bookmarkStart w:id="3" w:name="_Toc417896502"/>
      <w:bookmarkStart w:id="4" w:name="_Toc416702955"/>
      <w:r>
        <w:rPr>
          <w:rFonts w:hint="eastAsia" w:ascii="宋体" w:hAnsi="宋体" w:cs="宋体"/>
          <w:b/>
          <w:sz w:val="36"/>
          <w:szCs w:val="36"/>
        </w:rPr>
        <w:t>项目名称：</w:t>
      </w:r>
      <w:r>
        <w:rPr>
          <w:rFonts w:hint="eastAsia" w:cs="宋体"/>
          <w:b/>
          <w:bCs/>
          <w:sz w:val="36"/>
          <w:szCs w:val="36"/>
          <w:lang w:eastAsia="zh-CN"/>
        </w:rPr>
        <w:t>AI用特种玻璃项目工艺安装工程</w:t>
      </w:r>
    </w:p>
    <w:p w14:paraId="12593D91">
      <w:pPr>
        <w:ind w:left="1807" w:hanging="1807" w:hangingChars="500"/>
        <w:rPr>
          <w:rFonts w:hint="eastAsia" w:ascii="宋体" w:hAnsi="宋体" w:cs="宋体"/>
          <w:b/>
          <w:sz w:val="36"/>
          <w:szCs w:val="36"/>
        </w:rPr>
      </w:pPr>
    </w:p>
    <w:p w14:paraId="068A0DA1">
      <w:pPr>
        <w:ind w:left="1807" w:hanging="1807" w:hangingChars="500"/>
        <w:rPr>
          <w:rFonts w:hint="eastAsia" w:ascii="宋体" w:hAnsi="宋体" w:cs="宋体"/>
          <w:b/>
          <w:sz w:val="36"/>
          <w:szCs w:val="36"/>
        </w:rPr>
      </w:pPr>
    </w:p>
    <w:p w14:paraId="75261D01">
      <w:pPr>
        <w:ind w:left="1807" w:hanging="1807" w:hangingChars="500"/>
        <w:rPr>
          <w:rFonts w:ascii="宋体" w:hAnsi="宋体"/>
          <w:b/>
          <w:bCs/>
          <w:sz w:val="128"/>
          <w:szCs w:val="128"/>
        </w:rPr>
      </w:pPr>
      <w:r>
        <w:rPr>
          <w:rFonts w:hint="eastAsia" w:ascii="宋体" w:hAnsi="宋体" w:cs="宋体"/>
          <w:b/>
          <w:sz w:val="36"/>
          <w:szCs w:val="36"/>
        </w:rPr>
        <w:t>采购编号：</w:t>
      </w:r>
      <w:bookmarkEnd w:id="0"/>
      <w:bookmarkEnd w:id="1"/>
      <w:bookmarkEnd w:id="2"/>
      <w:bookmarkEnd w:id="3"/>
      <w:bookmarkEnd w:id="4"/>
      <w:r>
        <w:rPr>
          <w:rFonts w:hint="eastAsia" w:ascii="宋体" w:hAnsi="宋体" w:cs="宋体"/>
          <w:b/>
          <w:sz w:val="36"/>
          <w:szCs w:val="36"/>
        </w:rPr>
        <w:t>CPIC-GCSGCG-2026-008</w:t>
      </w:r>
    </w:p>
    <w:p w14:paraId="638ADF54">
      <w:pPr>
        <w:spacing w:line="360" w:lineRule="auto"/>
        <w:jc w:val="center"/>
        <w:rPr>
          <w:rFonts w:hint="eastAsia" w:ascii="宋体" w:hAnsi="宋体"/>
          <w:b/>
          <w:bCs/>
          <w:sz w:val="96"/>
          <w:szCs w:val="120"/>
        </w:rPr>
      </w:pPr>
    </w:p>
    <w:p w14:paraId="4BB008D5">
      <w:pPr>
        <w:spacing w:line="360" w:lineRule="auto"/>
        <w:jc w:val="center"/>
        <w:rPr>
          <w:rFonts w:ascii="宋体" w:hAnsi="宋体"/>
          <w:b/>
          <w:bCs/>
          <w:sz w:val="96"/>
          <w:szCs w:val="120"/>
        </w:rPr>
      </w:pPr>
      <w:r>
        <w:rPr>
          <w:rFonts w:hint="eastAsia" w:ascii="宋体" w:hAnsi="宋体"/>
          <w:b/>
          <w:bCs/>
          <w:sz w:val="96"/>
          <w:szCs w:val="120"/>
        </w:rPr>
        <w:t>谈判采购文件</w:t>
      </w:r>
    </w:p>
    <w:p w14:paraId="6A225630">
      <w:pPr>
        <w:rPr>
          <w:rFonts w:ascii="宋体" w:hAnsi="宋体"/>
          <w:b/>
          <w:bCs/>
          <w:szCs w:val="21"/>
        </w:rPr>
      </w:pPr>
    </w:p>
    <w:p w14:paraId="32D0092B">
      <w:pPr>
        <w:rPr>
          <w:rFonts w:ascii="宋体" w:hAnsi="宋体"/>
          <w:b/>
          <w:bCs/>
          <w:szCs w:val="21"/>
        </w:rPr>
      </w:pPr>
    </w:p>
    <w:p w14:paraId="2E79F11A">
      <w:pPr>
        <w:autoSpaceDE w:val="0"/>
        <w:autoSpaceDN w:val="0"/>
        <w:adjustRightInd w:val="0"/>
        <w:snapToGrid w:val="0"/>
        <w:spacing w:line="360" w:lineRule="auto"/>
        <w:jc w:val="left"/>
        <w:rPr>
          <w:rFonts w:ascii="宋体" w:hAnsi="宋体" w:cs="宋体"/>
          <w:b/>
          <w:bCs/>
          <w:sz w:val="36"/>
          <w:szCs w:val="36"/>
        </w:rPr>
      </w:pPr>
      <w:bookmarkStart w:id="5" w:name="_Toc230773922"/>
    </w:p>
    <w:p w14:paraId="60777B87">
      <w:pPr>
        <w:autoSpaceDE w:val="0"/>
        <w:autoSpaceDN w:val="0"/>
        <w:adjustRightInd w:val="0"/>
        <w:snapToGrid w:val="0"/>
        <w:spacing w:line="360" w:lineRule="auto"/>
        <w:jc w:val="center"/>
        <w:rPr>
          <w:rFonts w:ascii="宋体" w:hAnsi="宋体" w:cs="宋体"/>
          <w:b/>
          <w:bCs/>
          <w:sz w:val="36"/>
          <w:szCs w:val="36"/>
        </w:rPr>
      </w:pPr>
      <w:r>
        <w:rPr>
          <w:rFonts w:hint="eastAsia" w:ascii="宋体" w:hAnsi="宋体" w:cs="宋体"/>
          <w:b/>
          <w:bCs/>
          <w:sz w:val="36"/>
          <w:szCs w:val="36"/>
        </w:rPr>
        <w:t>采购人:</w:t>
      </w:r>
      <w:r>
        <w:rPr>
          <w:rFonts w:hint="eastAsia" w:ascii="宋体" w:hAnsi="宋体"/>
        </w:rPr>
        <w:t xml:space="preserve"> </w:t>
      </w:r>
      <w:r>
        <w:rPr>
          <w:rFonts w:hint="eastAsia" w:ascii="宋体" w:hAnsi="宋体" w:cs="宋体"/>
          <w:b/>
          <w:bCs/>
          <w:sz w:val="36"/>
          <w:szCs w:val="36"/>
        </w:rPr>
        <w:t>重庆国际复合材料股份有限公司</w:t>
      </w:r>
    </w:p>
    <w:p w14:paraId="0C0893AC">
      <w:pPr>
        <w:autoSpaceDE w:val="0"/>
        <w:autoSpaceDN w:val="0"/>
        <w:adjustRightInd w:val="0"/>
        <w:snapToGrid w:val="0"/>
        <w:spacing w:line="360" w:lineRule="auto"/>
        <w:jc w:val="center"/>
        <w:rPr>
          <w:rFonts w:ascii="宋体" w:hAnsi="宋体" w:cs="宋体"/>
          <w:kern w:val="0"/>
          <w:sz w:val="20"/>
          <w:szCs w:val="20"/>
        </w:rPr>
      </w:pPr>
    </w:p>
    <w:p w14:paraId="56948150">
      <w:pPr>
        <w:tabs>
          <w:tab w:val="left" w:pos="3200"/>
          <w:tab w:val="left" w:pos="4320"/>
          <w:tab w:val="left" w:pos="5420"/>
        </w:tabs>
        <w:autoSpaceDE w:val="0"/>
        <w:autoSpaceDN w:val="0"/>
        <w:adjustRightInd w:val="0"/>
        <w:snapToGrid w:val="0"/>
        <w:spacing w:line="360" w:lineRule="auto"/>
        <w:jc w:val="center"/>
        <w:rPr>
          <w:rFonts w:ascii="宋体" w:hAnsi="宋体" w:cs="宋体"/>
          <w:b/>
          <w:w w:val="95"/>
          <w:kern w:val="0"/>
          <w:sz w:val="32"/>
          <w:szCs w:val="32"/>
        </w:rPr>
      </w:pPr>
      <w:r>
        <w:rPr>
          <w:rFonts w:hint="eastAsia" w:ascii="宋体" w:hAnsi="宋体" w:cs="宋体"/>
          <w:b/>
          <w:w w:val="95"/>
          <w:kern w:val="0"/>
          <w:sz w:val="32"/>
          <w:szCs w:val="32"/>
        </w:rPr>
        <w:t xml:space="preserve">  二○二六年九月</w:t>
      </w:r>
    </w:p>
    <w:p w14:paraId="5ED43AC5"/>
    <w:p w14:paraId="01CEA131"/>
    <w:p w14:paraId="7CA1B24C"/>
    <w:p w14:paraId="69CD1B70">
      <w:pPr>
        <w:ind w:firstLine="2560" w:firstLineChars="800"/>
        <w:rPr>
          <w:sz w:val="32"/>
          <w:szCs w:val="32"/>
        </w:rPr>
      </w:pPr>
    </w:p>
    <w:p w14:paraId="33033331">
      <w:pPr>
        <w:tabs>
          <w:tab w:val="left" w:pos="3200"/>
          <w:tab w:val="left" w:pos="4320"/>
          <w:tab w:val="left" w:pos="5420"/>
        </w:tabs>
        <w:autoSpaceDE w:val="0"/>
        <w:autoSpaceDN w:val="0"/>
        <w:adjustRightInd w:val="0"/>
        <w:snapToGrid w:val="0"/>
        <w:spacing w:line="360" w:lineRule="auto"/>
        <w:ind w:firstLine="812"/>
        <w:jc w:val="center"/>
        <w:rPr>
          <w:rFonts w:ascii="宋体" w:hAnsi="宋体" w:cs="宋体"/>
          <w:b/>
          <w:w w:val="95"/>
          <w:kern w:val="0"/>
          <w:sz w:val="32"/>
          <w:szCs w:val="32"/>
        </w:rPr>
      </w:pPr>
      <w:r>
        <w:rPr>
          <w:rFonts w:hint="eastAsia" w:ascii="宋体" w:hAnsi="宋体" w:cs="宋体"/>
          <w:b/>
          <w:w w:val="95"/>
          <w:kern w:val="0"/>
          <w:sz w:val="32"/>
          <w:szCs w:val="32"/>
        </w:rPr>
        <w:t>技术及技术评分编写</w:t>
      </w:r>
    </w:p>
    <w:p w14:paraId="138967D9">
      <w:pPr>
        <w:tabs>
          <w:tab w:val="left" w:pos="3200"/>
          <w:tab w:val="left" w:pos="4320"/>
          <w:tab w:val="left" w:pos="5420"/>
        </w:tabs>
        <w:autoSpaceDE w:val="0"/>
        <w:autoSpaceDN w:val="0"/>
        <w:adjustRightInd w:val="0"/>
        <w:snapToGrid w:val="0"/>
        <w:spacing w:line="360" w:lineRule="auto"/>
        <w:ind w:firstLine="812"/>
        <w:jc w:val="center"/>
        <w:rPr>
          <w:rFonts w:ascii="宋体" w:hAnsi="宋体" w:cs="宋体"/>
          <w:b/>
          <w:w w:val="95"/>
          <w:kern w:val="0"/>
          <w:sz w:val="32"/>
          <w:szCs w:val="32"/>
        </w:rPr>
      </w:pPr>
    </w:p>
    <w:p w14:paraId="1AF8C007">
      <w:pPr>
        <w:pStyle w:val="16"/>
        <w:tabs>
          <w:tab w:val="right" w:leader="dot" w:pos="8609"/>
        </w:tabs>
        <w:ind w:left="0" w:firstLine="954"/>
        <w:rPr>
          <w:rFonts w:ascii="宋体" w:hAnsi="宋体" w:eastAsia="宋体" w:cs="宋体"/>
          <w:sz w:val="32"/>
          <w:szCs w:val="32"/>
        </w:rPr>
      </w:pPr>
      <w:r>
        <w:rPr>
          <w:rFonts w:hint="eastAsia" w:ascii="宋体" w:hAnsi="宋体" w:eastAsia="宋体" w:cs="宋体"/>
          <w:sz w:val="32"/>
          <w:szCs w:val="32"/>
        </w:rPr>
        <w:t>编制：</w:t>
      </w:r>
      <w:r>
        <w:rPr>
          <w:rFonts w:hint="eastAsia" w:ascii="宋体" w:hAnsi="宋体" w:eastAsia="宋体" w:cs="宋体"/>
          <w:sz w:val="32"/>
          <w:szCs w:val="32"/>
          <w:u w:val="single"/>
        </w:rPr>
        <w:t xml:space="preserve">             </w:t>
      </w:r>
      <w:r>
        <w:rPr>
          <w:rFonts w:hint="eastAsia" w:ascii="宋体" w:hAnsi="宋体" w:eastAsia="宋体" w:cs="宋体"/>
          <w:sz w:val="32"/>
          <w:szCs w:val="32"/>
        </w:rPr>
        <w:t xml:space="preserve">  审核：</w:t>
      </w:r>
      <w:r>
        <w:rPr>
          <w:rFonts w:hint="eastAsia" w:ascii="宋体" w:hAnsi="宋体" w:eastAsia="宋体" w:cs="宋体"/>
          <w:sz w:val="32"/>
          <w:szCs w:val="32"/>
          <w:u w:val="single"/>
        </w:rPr>
        <w:t xml:space="preserve">                </w:t>
      </w:r>
    </w:p>
    <w:p w14:paraId="1B920C9A">
      <w:pPr>
        <w:pStyle w:val="16"/>
        <w:tabs>
          <w:tab w:val="right" w:leader="dot" w:pos="8609"/>
        </w:tabs>
        <w:ind w:left="0" w:firstLine="1166"/>
        <w:rPr>
          <w:rFonts w:ascii="宋体" w:hAnsi="宋体" w:eastAsia="宋体" w:cs="宋体"/>
          <w:bCs/>
          <w:sz w:val="32"/>
          <w:szCs w:val="32"/>
        </w:rPr>
      </w:pPr>
    </w:p>
    <w:p w14:paraId="22361364">
      <w:pPr>
        <w:tabs>
          <w:tab w:val="left" w:pos="3200"/>
          <w:tab w:val="left" w:pos="4320"/>
          <w:tab w:val="left" w:pos="5420"/>
        </w:tabs>
        <w:autoSpaceDE w:val="0"/>
        <w:autoSpaceDN w:val="0"/>
        <w:adjustRightInd w:val="0"/>
        <w:snapToGrid w:val="0"/>
        <w:spacing w:line="360" w:lineRule="auto"/>
        <w:ind w:firstLine="812"/>
        <w:jc w:val="center"/>
        <w:rPr>
          <w:rFonts w:ascii="宋体" w:hAnsi="宋体" w:cs="宋体"/>
          <w:b/>
          <w:w w:val="95"/>
          <w:kern w:val="0"/>
          <w:sz w:val="32"/>
          <w:szCs w:val="32"/>
        </w:rPr>
      </w:pPr>
      <w:r>
        <w:rPr>
          <w:rFonts w:hint="eastAsia" w:ascii="宋体" w:hAnsi="宋体" w:cs="宋体"/>
          <w:b/>
          <w:w w:val="95"/>
          <w:kern w:val="0"/>
          <w:sz w:val="32"/>
          <w:szCs w:val="32"/>
        </w:rPr>
        <w:t>商务及商务评分编写</w:t>
      </w:r>
    </w:p>
    <w:p w14:paraId="793C5BEC">
      <w:pPr>
        <w:ind w:firstLine="954"/>
        <w:rPr>
          <w:rFonts w:ascii="宋体" w:hAnsi="宋体" w:cs="宋体"/>
          <w:sz w:val="32"/>
          <w:szCs w:val="32"/>
          <w:u w:val="single"/>
        </w:rPr>
      </w:pPr>
      <w:r>
        <w:rPr>
          <w:rFonts w:hint="eastAsia" w:ascii="宋体" w:hAnsi="宋体" w:cs="宋体"/>
          <w:sz w:val="32"/>
          <w:szCs w:val="32"/>
        </w:rPr>
        <w:t>编制：</w:t>
      </w:r>
      <w:r>
        <w:rPr>
          <w:rFonts w:hint="eastAsia" w:ascii="宋体" w:hAnsi="宋体" w:cs="宋体"/>
          <w:sz w:val="32"/>
          <w:szCs w:val="32"/>
          <w:u w:val="single"/>
        </w:rPr>
        <w:t xml:space="preserve">             </w:t>
      </w:r>
      <w:r>
        <w:rPr>
          <w:rFonts w:hint="eastAsia" w:ascii="宋体" w:hAnsi="宋体" w:cs="宋体"/>
          <w:sz w:val="32"/>
          <w:szCs w:val="32"/>
        </w:rPr>
        <w:t xml:space="preserve">  审核：</w:t>
      </w:r>
      <w:r>
        <w:rPr>
          <w:rFonts w:hint="eastAsia" w:ascii="宋体" w:hAnsi="宋体" w:cs="宋体"/>
          <w:sz w:val="32"/>
          <w:szCs w:val="32"/>
          <w:u w:val="single"/>
        </w:rPr>
        <w:t xml:space="preserve">                </w:t>
      </w:r>
    </w:p>
    <w:p w14:paraId="04E9A664">
      <w:pPr>
        <w:pStyle w:val="61"/>
        <w:jc w:val="center"/>
        <w:rPr>
          <w:rFonts w:ascii="宋体" w:hAnsi="宋体" w:eastAsia="宋体"/>
          <w:color w:val="auto"/>
          <w:sz w:val="44"/>
          <w:szCs w:val="44"/>
          <w:lang w:val="zh-CN"/>
        </w:rPr>
      </w:pPr>
    </w:p>
    <w:p w14:paraId="3622F199">
      <w:pPr>
        <w:pStyle w:val="61"/>
        <w:jc w:val="center"/>
        <w:rPr>
          <w:rFonts w:ascii="宋体" w:hAnsi="宋体" w:eastAsia="宋体"/>
          <w:color w:val="auto"/>
          <w:sz w:val="44"/>
          <w:szCs w:val="44"/>
          <w:lang w:val="zh-CN"/>
        </w:rPr>
      </w:pPr>
    </w:p>
    <w:p w14:paraId="02E62B15">
      <w:pPr>
        <w:pStyle w:val="61"/>
        <w:jc w:val="center"/>
        <w:rPr>
          <w:rFonts w:ascii="宋体" w:hAnsi="宋体" w:eastAsia="宋体"/>
          <w:color w:val="auto"/>
          <w:sz w:val="44"/>
          <w:szCs w:val="44"/>
          <w:lang w:val="zh-CN"/>
        </w:rPr>
      </w:pPr>
    </w:p>
    <w:p w14:paraId="54A3AEAA">
      <w:pPr>
        <w:pStyle w:val="61"/>
        <w:jc w:val="center"/>
        <w:rPr>
          <w:rFonts w:ascii="宋体" w:hAnsi="宋体" w:eastAsia="宋体"/>
          <w:color w:val="auto"/>
          <w:sz w:val="44"/>
          <w:szCs w:val="44"/>
        </w:rPr>
      </w:pPr>
      <w:r>
        <w:rPr>
          <w:rFonts w:ascii="宋体" w:hAnsi="宋体" w:eastAsia="宋体"/>
          <w:color w:val="auto"/>
          <w:sz w:val="44"/>
          <w:szCs w:val="44"/>
          <w:lang w:val="zh-CN"/>
        </w:rPr>
        <w:t>目</w:t>
      </w:r>
      <w:r>
        <w:rPr>
          <w:rFonts w:hint="eastAsia" w:ascii="宋体" w:hAnsi="宋体" w:eastAsia="宋体"/>
          <w:color w:val="auto"/>
          <w:sz w:val="44"/>
          <w:szCs w:val="44"/>
          <w:lang w:val="zh-CN"/>
        </w:rPr>
        <w:t xml:space="preserve"> </w:t>
      </w:r>
      <w:r>
        <w:rPr>
          <w:rFonts w:ascii="宋体" w:hAnsi="宋体" w:eastAsia="宋体"/>
          <w:color w:val="auto"/>
          <w:sz w:val="44"/>
          <w:szCs w:val="44"/>
          <w:lang w:val="zh-CN"/>
        </w:rPr>
        <w:t>录</w:t>
      </w:r>
    </w:p>
    <w:p w14:paraId="07B6BF24">
      <w:pPr>
        <w:pStyle w:val="15"/>
        <w:numPr>
          <w:ilvl w:val="0"/>
          <w:numId w:val="2"/>
        </w:numPr>
        <w:spacing w:line="520" w:lineRule="exact"/>
        <w:rPr>
          <w:rFonts w:ascii="宋体" w:hAnsi="宋体" w:eastAsia="宋体"/>
          <w:b/>
          <w:bCs/>
          <w:sz w:val="28"/>
          <w:szCs w:val="28"/>
        </w:rPr>
      </w:pPr>
      <w:r>
        <w:rPr>
          <w:rFonts w:hint="eastAsia" w:ascii="宋体" w:hAnsi="宋体" w:eastAsia="宋体"/>
          <w:b/>
          <w:bCs/>
          <w:sz w:val="28"/>
          <w:szCs w:val="28"/>
        </w:rPr>
        <w:t>谈判采购公告</w:t>
      </w:r>
      <w:r>
        <w:rPr>
          <w:rFonts w:ascii="宋体" w:hAnsi="宋体" w:eastAsia="宋体"/>
          <w:b/>
          <w:sz w:val="28"/>
          <w:szCs w:val="28"/>
        </w:rPr>
        <w:ptab w:relativeTo="margin" w:alignment="right" w:leader="dot"/>
      </w:r>
      <w:r>
        <w:rPr>
          <w:rFonts w:ascii="宋体" w:hAnsi="宋体" w:eastAsia="宋体"/>
          <w:b/>
          <w:bCs/>
          <w:sz w:val="28"/>
          <w:szCs w:val="28"/>
          <w:lang w:val="zh-CN"/>
        </w:rPr>
        <w:t>3</w:t>
      </w:r>
    </w:p>
    <w:p w14:paraId="17F61BEB">
      <w:pPr>
        <w:pStyle w:val="15"/>
        <w:spacing w:line="520" w:lineRule="exact"/>
        <w:rPr>
          <w:rFonts w:ascii="宋体" w:hAnsi="宋体" w:eastAsia="宋体"/>
          <w:b/>
          <w:sz w:val="28"/>
          <w:szCs w:val="28"/>
        </w:rPr>
      </w:pPr>
      <w:r>
        <w:rPr>
          <w:rFonts w:ascii="宋体" w:hAnsi="宋体" w:eastAsia="宋体"/>
          <w:b/>
          <w:bCs/>
          <w:sz w:val="28"/>
          <w:szCs w:val="28"/>
        </w:rPr>
        <w:t xml:space="preserve">第二章 </w:t>
      </w:r>
      <w:r>
        <w:rPr>
          <w:rFonts w:hint="eastAsia" w:ascii="宋体" w:hAnsi="宋体" w:eastAsia="宋体"/>
          <w:b/>
          <w:bCs/>
          <w:sz w:val="28"/>
          <w:szCs w:val="28"/>
        </w:rPr>
        <w:t>项目内容</w:t>
      </w:r>
      <w:r>
        <w:rPr>
          <w:rFonts w:ascii="宋体" w:hAnsi="宋体" w:eastAsia="宋体"/>
          <w:b/>
          <w:sz w:val="28"/>
          <w:szCs w:val="28"/>
        </w:rPr>
        <w:ptab w:relativeTo="margin" w:alignment="right" w:leader="dot"/>
      </w:r>
      <w:r>
        <w:rPr>
          <w:rFonts w:hint="eastAsia" w:ascii="宋体" w:hAnsi="宋体" w:eastAsia="宋体"/>
          <w:b/>
          <w:bCs/>
          <w:sz w:val="28"/>
          <w:szCs w:val="28"/>
        </w:rPr>
        <w:t>6</w:t>
      </w:r>
    </w:p>
    <w:p w14:paraId="614C7E55">
      <w:pPr>
        <w:spacing w:line="520" w:lineRule="exact"/>
        <w:rPr>
          <w:rFonts w:ascii="宋体" w:hAnsi="宋体"/>
          <w:b/>
          <w:sz w:val="28"/>
          <w:szCs w:val="28"/>
          <w:lang w:val="zh-CN"/>
        </w:rPr>
      </w:pPr>
      <w:r>
        <w:rPr>
          <w:rFonts w:hint="eastAsia" w:ascii="宋体" w:hAnsi="宋体"/>
          <w:b/>
          <w:sz w:val="28"/>
          <w:szCs w:val="28"/>
          <w:lang w:val="zh-CN"/>
        </w:rPr>
        <w:t>第三章 报价人须知</w:t>
      </w:r>
      <w:r>
        <w:rPr>
          <w:rFonts w:ascii="宋体" w:hAnsi="宋体"/>
          <w:b/>
          <w:sz w:val="28"/>
          <w:szCs w:val="28"/>
        </w:rPr>
        <w:ptab w:relativeTo="margin" w:alignment="right" w:leader="dot"/>
      </w:r>
      <w:r>
        <w:rPr>
          <w:rFonts w:hint="eastAsia" w:ascii="宋体" w:hAnsi="宋体"/>
          <w:b/>
          <w:sz w:val="28"/>
          <w:szCs w:val="28"/>
        </w:rPr>
        <w:t>7</w:t>
      </w:r>
    </w:p>
    <w:p w14:paraId="2E1F84D5">
      <w:pPr>
        <w:spacing w:line="520" w:lineRule="exact"/>
        <w:rPr>
          <w:rFonts w:ascii="宋体" w:hAnsi="宋体"/>
          <w:b/>
          <w:sz w:val="28"/>
          <w:szCs w:val="28"/>
        </w:rPr>
      </w:pPr>
      <w:r>
        <w:rPr>
          <w:rFonts w:hint="eastAsia" w:ascii="宋体" w:hAnsi="宋体"/>
          <w:b/>
          <w:sz w:val="28"/>
          <w:szCs w:val="28"/>
          <w:lang w:val="zh-CN"/>
        </w:rPr>
        <w:t>第四章 附件</w:t>
      </w:r>
      <w:r>
        <w:rPr>
          <w:rFonts w:ascii="宋体" w:hAnsi="宋体"/>
          <w:b/>
          <w:sz w:val="28"/>
          <w:szCs w:val="28"/>
          <w:lang w:val="zh-CN"/>
        </w:rPr>
        <w:t>—</w:t>
      </w:r>
      <w:r>
        <w:rPr>
          <w:rFonts w:hint="eastAsia" w:ascii="宋体" w:hAnsi="宋体"/>
          <w:b/>
          <w:sz w:val="28"/>
          <w:szCs w:val="28"/>
          <w:lang w:val="zh-CN"/>
        </w:rPr>
        <w:t>谈判文件</w:t>
      </w:r>
      <w:r>
        <w:rPr>
          <w:rFonts w:ascii="宋体" w:hAnsi="宋体"/>
          <w:b/>
          <w:sz w:val="28"/>
          <w:szCs w:val="28"/>
          <w:lang w:val="zh-CN"/>
        </w:rPr>
        <w:t>格式</w:t>
      </w:r>
      <w:r>
        <w:rPr>
          <w:rFonts w:ascii="宋体" w:hAnsi="宋体"/>
          <w:b/>
          <w:sz w:val="28"/>
          <w:szCs w:val="28"/>
        </w:rPr>
        <w:ptab w:relativeTo="margin" w:alignment="right" w:leader="dot"/>
      </w:r>
      <w:r>
        <w:rPr>
          <w:rFonts w:ascii="宋体" w:hAnsi="宋体"/>
          <w:b/>
          <w:sz w:val="28"/>
          <w:szCs w:val="28"/>
        </w:rPr>
        <w:t>1</w:t>
      </w:r>
      <w:r>
        <w:rPr>
          <w:rFonts w:hint="eastAsia" w:ascii="宋体" w:hAnsi="宋体"/>
          <w:b/>
          <w:sz w:val="28"/>
          <w:szCs w:val="28"/>
        </w:rPr>
        <w:t>4</w:t>
      </w:r>
    </w:p>
    <w:p w14:paraId="2E929064">
      <w:pPr>
        <w:rPr>
          <w:rFonts w:ascii="宋体" w:hAnsi="宋体"/>
          <w:b/>
          <w:sz w:val="28"/>
          <w:szCs w:val="28"/>
        </w:rPr>
      </w:pPr>
    </w:p>
    <w:p w14:paraId="3BEE3766">
      <w:pPr>
        <w:rPr>
          <w:rFonts w:ascii="宋体" w:hAnsi="宋体"/>
          <w:b/>
          <w:sz w:val="28"/>
          <w:szCs w:val="28"/>
        </w:rPr>
      </w:pPr>
    </w:p>
    <w:p w14:paraId="2A8E32E5">
      <w:pPr>
        <w:widowControl/>
        <w:jc w:val="left"/>
        <w:rPr>
          <w:rFonts w:ascii="宋体" w:hAnsi="宋体"/>
          <w:b/>
          <w:sz w:val="28"/>
          <w:szCs w:val="28"/>
        </w:rPr>
      </w:pPr>
      <w:r>
        <w:rPr>
          <w:rFonts w:ascii="宋体" w:hAnsi="宋体"/>
          <w:b/>
          <w:sz w:val="28"/>
          <w:szCs w:val="28"/>
        </w:rPr>
        <w:br w:type="page"/>
      </w:r>
    </w:p>
    <w:bookmarkEnd w:id="5"/>
    <w:p w14:paraId="4834BC35">
      <w:pPr>
        <w:pStyle w:val="2"/>
        <w:spacing w:before="240" w:beforeLines="100" w:after="360" w:afterLines="150" w:line="276" w:lineRule="auto"/>
        <w:jc w:val="center"/>
        <w:rPr>
          <w:rFonts w:ascii="宋体" w:hAnsi="宋体"/>
          <w:b w:val="0"/>
        </w:rPr>
      </w:pPr>
      <w:r>
        <w:rPr>
          <w:rFonts w:ascii="宋体" w:hAnsi="宋体"/>
        </w:rPr>
        <w:t xml:space="preserve">第一章 </w:t>
      </w:r>
      <w:r>
        <w:rPr>
          <w:rFonts w:hint="eastAsia" w:ascii="宋体" w:hAnsi="宋体"/>
        </w:rPr>
        <w:t>谈判采购公告</w:t>
      </w:r>
    </w:p>
    <w:p w14:paraId="62FE4A4C">
      <w:pPr>
        <w:jc w:val="center"/>
        <w:rPr>
          <w:rFonts w:ascii="宋体" w:hAnsi="宋体"/>
          <w:color w:val="000000"/>
          <w:sz w:val="32"/>
          <w:szCs w:val="32"/>
        </w:rPr>
      </w:pPr>
      <w:bookmarkStart w:id="6" w:name="_Toc440556695"/>
      <w:bookmarkStart w:id="7" w:name="OLE_LINK4"/>
      <w:bookmarkStart w:id="8" w:name="OLE_LINK7"/>
      <w:bookmarkStart w:id="9" w:name="OLE_LINK1"/>
      <w:bookmarkStart w:id="10" w:name="_Toc415675120"/>
      <w:bookmarkStart w:id="11" w:name="_Toc415675642"/>
      <w:r>
        <w:rPr>
          <w:rFonts w:hint="eastAsia" w:cs="宋体"/>
          <w:b/>
          <w:bCs/>
          <w:sz w:val="36"/>
          <w:szCs w:val="36"/>
          <w:lang w:eastAsia="zh-CN"/>
        </w:rPr>
        <w:t>AI用特种玻璃项目工艺安装工程</w:t>
      </w:r>
    </w:p>
    <w:p w14:paraId="3FD0E927">
      <w:pPr>
        <w:spacing w:line="360" w:lineRule="auto"/>
        <w:jc w:val="left"/>
        <w:outlineLvl w:val="0"/>
        <w:rPr>
          <w:rFonts w:ascii="宋体" w:hAnsi="宋体"/>
          <w:b/>
          <w:snapToGrid w:val="0"/>
          <w:kern w:val="0"/>
          <w:sz w:val="28"/>
          <w:szCs w:val="28"/>
        </w:rPr>
      </w:pPr>
      <w:bookmarkStart w:id="12" w:name="_Toc26356"/>
      <w:bookmarkStart w:id="13" w:name="_Toc29382"/>
      <w:bookmarkStart w:id="14" w:name="_Toc844"/>
      <w:bookmarkStart w:id="15" w:name="_Toc30279"/>
      <w:bookmarkStart w:id="16" w:name="_Toc16466"/>
      <w:bookmarkStart w:id="17" w:name="_Toc27508"/>
      <w:bookmarkStart w:id="18" w:name="_Toc4962"/>
      <w:bookmarkStart w:id="19" w:name="_Toc14729"/>
      <w:bookmarkStart w:id="20" w:name="_Toc10497"/>
      <w:bookmarkStart w:id="21" w:name="_Toc5554"/>
      <w:r>
        <w:rPr>
          <w:rFonts w:hint="eastAsia" w:ascii="宋体" w:hAnsi="宋体"/>
          <w:b/>
          <w:snapToGrid w:val="0"/>
          <w:kern w:val="0"/>
          <w:sz w:val="28"/>
          <w:szCs w:val="28"/>
        </w:rPr>
        <w:t>1. 谈判采购条件</w:t>
      </w:r>
      <w:bookmarkEnd w:id="12"/>
      <w:bookmarkEnd w:id="13"/>
      <w:bookmarkEnd w:id="14"/>
      <w:bookmarkEnd w:id="15"/>
      <w:bookmarkEnd w:id="16"/>
      <w:bookmarkEnd w:id="17"/>
      <w:bookmarkEnd w:id="18"/>
      <w:bookmarkEnd w:id="19"/>
      <w:bookmarkEnd w:id="20"/>
      <w:bookmarkEnd w:id="21"/>
    </w:p>
    <w:p w14:paraId="044BB4B0">
      <w:pPr>
        <w:spacing w:line="360" w:lineRule="auto"/>
        <w:ind w:firstLine="413" w:firstLineChars="197"/>
        <w:jc w:val="left"/>
        <w:outlineLvl w:val="0"/>
        <w:rPr>
          <w:rFonts w:ascii="宋体" w:hAnsi="宋体"/>
          <w:b/>
          <w:snapToGrid w:val="0"/>
          <w:kern w:val="0"/>
          <w:szCs w:val="21"/>
        </w:rPr>
      </w:pPr>
      <w:r>
        <w:rPr>
          <w:rFonts w:hint="eastAsia" w:ascii="宋体" w:hAnsi="宋体" w:cs="宋体"/>
          <w:kern w:val="0"/>
          <w:szCs w:val="21"/>
        </w:rPr>
        <w:t>本谈判采购项目为重庆国际复合材料股份有限公司“</w:t>
      </w:r>
      <w:r>
        <w:rPr>
          <w:rFonts w:hint="eastAsia" w:ascii="宋体" w:hAnsi="宋体" w:cs="宋体"/>
          <w:b/>
          <w:szCs w:val="21"/>
          <w:u w:val="single"/>
          <w:lang w:eastAsia="zh-CN"/>
        </w:rPr>
        <w:t>AI用特种玻璃项目工艺安装工程</w:t>
      </w:r>
      <w:r>
        <w:rPr>
          <w:rFonts w:hint="eastAsia" w:ascii="宋体" w:hAnsi="宋体" w:cs="宋体"/>
          <w:kern w:val="0"/>
          <w:szCs w:val="21"/>
        </w:rPr>
        <w:t>”，采购人为重庆国际复合材料股份有限公司，资金来源</w:t>
      </w:r>
      <w:r>
        <w:rPr>
          <w:rFonts w:hint="eastAsia" w:ascii="宋体" w:hAnsi="宋体" w:cs="宋体"/>
          <w:kern w:val="0"/>
          <w:szCs w:val="21"/>
          <w:u w:val="single"/>
        </w:rPr>
        <w:t>业主自筹</w:t>
      </w:r>
      <w:r>
        <w:rPr>
          <w:rFonts w:hint="eastAsia" w:ascii="宋体" w:hAnsi="宋体" w:cs="宋体"/>
          <w:kern w:val="0"/>
          <w:szCs w:val="21"/>
        </w:rPr>
        <w:t>，项目出资比例为</w:t>
      </w:r>
      <w:r>
        <w:rPr>
          <w:rFonts w:ascii="宋体" w:hAnsi="宋体" w:cs="宋体"/>
          <w:kern w:val="0"/>
          <w:szCs w:val="21"/>
          <w:u w:val="single"/>
        </w:rPr>
        <w:t>100%</w:t>
      </w:r>
      <w:r>
        <w:rPr>
          <w:rFonts w:hint="eastAsia" w:ascii="宋体" w:hAnsi="宋体" w:cs="宋体"/>
          <w:kern w:val="0"/>
          <w:szCs w:val="21"/>
          <w:u w:val="single"/>
        </w:rPr>
        <w:t>国有资金</w:t>
      </w:r>
      <w:r>
        <w:rPr>
          <w:rFonts w:hint="eastAsia" w:ascii="宋体" w:hAnsi="宋体" w:cs="宋体"/>
          <w:kern w:val="0"/>
          <w:szCs w:val="21"/>
        </w:rPr>
        <w:t>；本项目已具备谈判采购条件，现对重庆国际复合材料股份有限公司</w:t>
      </w:r>
      <w:r>
        <w:rPr>
          <w:rFonts w:hint="eastAsia" w:ascii="宋体" w:hAnsi="宋体" w:cs="宋体"/>
          <w:b/>
          <w:szCs w:val="21"/>
          <w:u w:val="single"/>
          <w:lang w:eastAsia="zh-CN"/>
        </w:rPr>
        <w:t>AI用特种玻璃项目工艺安装工程</w:t>
      </w:r>
      <w:r>
        <w:rPr>
          <w:rFonts w:hint="eastAsia" w:ascii="宋体" w:hAnsi="宋体" w:cs="宋体"/>
          <w:kern w:val="0"/>
          <w:szCs w:val="21"/>
        </w:rPr>
        <w:t>进行公开谈判采购，特邀有兴趣的潜在单位参与谈判采购。</w:t>
      </w:r>
    </w:p>
    <w:p w14:paraId="2EEB3D48">
      <w:pPr>
        <w:spacing w:line="440" w:lineRule="exact"/>
        <w:jc w:val="left"/>
        <w:outlineLvl w:val="0"/>
        <w:rPr>
          <w:rFonts w:ascii="宋体" w:hAnsi="宋体"/>
          <w:b/>
          <w:snapToGrid w:val="0"/>
          <w:kern w:val="0"/>
          <w:szCs w:val="21"/>
        </w:rPr>
      </w:pPr>
      <w:bookmarkStart w:id="22" w:name="_Toc29348"/>
      <w:bookmarkStart w:id="23" w:name="_Toc18911"/>
      <w:bookmarkStart w:id="24" w:name="_Toc17916"/>
      <w:bookmarkStart w:id="25" w:name="_Toc31685"/>
      <w:bookmarkStart w:id="26" w:name="_Toc19590"/>
      <w:bookmarkStart w:id="27" w:name="_Toc6552"/>
      <w:bookmarkStart w:id="28" w:name="_Toc20027"/>
      <w:bookmarkStart w:id="29" w:name="_Toc16188"/>
      <w:bookmarkStart w:id="30" w:name="_Toc24224"/>
      <w:bookmarkStart w:id="31" w:name="_Toc8077"/>
      <w:r>
        <w:rPr>
          <w:rFonts w:hint="eastAsia" w:ascii="宋体" w:hAnsi="宋体"/>
          <w:b/>
          <w:snapToGrid w:val="0"/>
          <w:kern w:val="0"/>
          <w:szCs w:val="21"/>
        </w:rPr>
        <w:t>2. 项目概况与采购范围</w:t>
      </w:r>
      <w:bookmarkEnd w:id="22"/>
      <w:bookmarkEnd w:id="23"/>
      <w:bookmarkEnd w:id="24"/>
      <w:bookmarkEnd w:id="25"/>
      <w:bookmarkEnd w:id="26"/>
      <w:bookmarkEnd w:id="27"/>
      <w:bookmarkEnd w:id="28"/>
      <w:bookmarkEnd w:id="29"/>
      <w:bookmarkEnd w:id="30"/>
      <w:bookmarkEnd w:id="31"/>
    </w:p>
    <w:p w14:paraId="63B1BB77">
      <w:pPr>
        <w:widowControl/>
        <w:tabs>
          <w:tab w:val="left" w:pos="8208"/>
          <w:tab w:val="left" w:pos="9072"/>
        </w:tabs>
        <w:suppressAutoHyphens/>
        <w:spacing w:line="440" w:lineRule="exact"/>
        <w:ind w:firstLine="420" w:firstLineChars="200"/>
        <w:rPr>
          <w:rFonts w:hint="eastAsia" w:ascii="宋体" w:hAnsi="宋体" w:eastAsia="宋体" w:cs="宋体"/>
          <w:bCs/>
          <w:kern w:val="0"/>
          <w:szCs w:val="21"/>
          <w:u w:val="single"/>
          <w:lang w:eastAsia="zh-CN"/>
        </w:rPr>
      </w:pPr>
      <w:r>
        <w:rPr>
          <w:rFonts w:hint="eastAsia" w:ascii="宋体" w:hAnsi="宋体" w:cs="宋体"/>
          <w:kern w:val="0"/>
          <w:szCs w:val="21"/>
        </w:rPr>
        <w:t>2.1 项目名称：</w:t>
      </w:r>
      <w:r>
        <w:rPr>
          <w:rFonts w:hint="eastAsia" w:ascii="宋体" w:hAnsi="宋体" w:cs="宋体"/>
          <w:kern w:val="0"/>
          <w:szCs w:val="21"/>
          <w:u w:val="single"/>
          <w:lang w:eastAsia="zh-CN"/>
        </w:rPr>
        <w:t>AI用特种玻璃项目工艺安装工程</w:t>
      </w:r>
    </w:p>
    <w:p w14:paraId="102B189E">
      <w:pPr>
        <w:topLinePunct/>
        <w:adjustRightInd w:val="0"/>
        <w:snapToGrid w:val="0"/>
        <w:spacing w:line="440" w:lineRule="exact"/>
        <w:ind w:firstLine="420" w:firstLineChars="200"/>
        <w:rPr>
          <w:rFonts w:ascii="宋体" w:hAnsi="宋体" w:cs="宋体"/>
          <w:kern w:val="0"/>
          <w:szCs w:val="21"/>
          <w:u w:val="single"/>
        </w:rPr>
      </w:pPr>
      <w:r>
        <w:rPr>
          <w:rFonts w:hint="eastAsia" w:ascii="宋体" w:hAnsi="宋体"/>
          <w:color w:val="000000"/>
          <w:szCs w:val="21"/>
        </w:rPr>
        <w:t>2.2 采购范围：</w:t>
      </w:r>
      <w:r>
        <w:rPr>
          <w:rFonts w:hint="eastAsia" w:ascii="宋体" w:hAnsi="宋体" w:cs="宋体"/>
          <w:kern w:val="0"/>
          <w:szCs w:val="21"/>
          <w:u w:val="single"/>
        </w:rPr>
        <w:t>详见采购人提供本工程的施工图及工程量清单所明确的全部工程内容。</w:t>
      </w:r>
    </w:p>
    <w:p w14:paraId="78AC6590">
      <w:pPr>
        <w:keepNext w:val="0"/>
        <w:keepLines w:val="0"/>
        <w:pageBreakBefore w:val="0"/>
        <w:widowControl w:val="0"/>
        <w:kinsoku/>
        <w:wordWrap/>
        <w:overflowPunct/>
        <w:topLinePunct/>
        <w:autoSpaceDE/>
        <w:autoSpaceDN/>
        <w:bidi w:val="0"/>
        <w:adjustRightInd w:val="0"/>
        <w:snapToGrid w:val="0"/>
        <w:spacing w:line="440" w:lineRule="exact"/>
        <w:ind w:firstLine="420" w:firstLineChars="200"/>
        <w:textAlignment w:val="auto"/>
        <w:rPr>
          <w:rFonts w:asciiTheme="minorHAnsi" w:hAnsiTheme="minorHAnsi" w:eastAsiaTheme="minorEastAsia" w:cstheme="minorBidi"/>
          <w:highlight w:val="none"/>
        </w:rPr>
      </w:pPr>
      <w:bookmarkStart w:id="32" w:name="_Toc14373"/>
      <w:bookmarkStart w:id="33" w:name="_Toc29166"/>
      <w:bookmarkStart w:id="34" w:name="_Toc9431"/>
      <w:bookmarkStart w:id="35" w:name="_Toc18439"/>
      <w:bookmarkStart w:id="36" w:name="_Toc22086"/>
      <w:bookmarkStart w:id="37" w:name="_Toc25935"/>
      <w:bookmarkStart w:id="38" w:name="_Toc20349"/>
      <w:bookmarkStart w:id="39" w:name="_Toc21527"/>
      <w:bookmarkStart w:id="40" w:name="_Toc8793"/>
      <w:bookmarkStart w:id="41" w:name="_Toc25025"/>
      <w:r>
        <w:rPr>
          <w:rFonts w:hint="eastAsia" w:ascii="宋体" w:hAnsi="宋体"/>
          <w:szCs w:val="21"/>
          <w:highlight w:val="none"/>
        </w:rPr>
        <w:t>2.3 施工时间：</w:t>
      </w:r>
      <w:r>
        <w:rPr>
          <w:rFonts w:hint="eastAsia" w:ascii="宋体" w:hAnsi="宋体" w:cs="宋体"/>
          <w:szCs w:val="21"/>
          <w:highlight w:val="none"/>
          <w:lang w:bidi="ar"/>
        </w:rPr>
        <w:t>工期：</w:t>
      </w:r>
      <w:r>
        <w:rPr>
          <w:rFonts w:hint="eastAsia" w:ascii="宋体" w:hAnsi="宋体" w:cs="宋体"/>
          <w:color w:val="0000FF"/>
          <w:kern w:val="0"/>
          <w:szCs w:val="21"/>
          <w:highlight w:val="none"/>
          <w:u w:val="single"/>
          <w:lang w:val="en-US" w:eastAsia="zh-CN" w:bidi="ar"/>
        </w:rPr>
        <w:t>45</w:t>
      </w:r>
      <w:r>
        <w:rPr>
          <w:rFonts w:hint="eastAsia" w:ascii="宋体" w:hAnsi="宋体" w:cs="宋体"/>
          <w:color w:val="0000FF"/>
          <w:kern w:val="0"/>
          <w:szCs w:val="21"/>
          <w:highlight w:val="none"/>
          <w:u w:val="single"/>
          <w:lang w:bidi="ar"/>
        </w:rPr>
        <w:t>日历天</w:t>
      </w:r>
      <w:r>
        <w:rPr>
          <w:rFonts w:hint="eastAsia" w:ascii="宋体" w:hAnsi="宋体" w:cs="宋体"/>
          <w:kern w:val="0"/>
          <w:szCs w:val="21"/>
          <w:highlight w:val="none"/>
          <w:u w:val="single"/>
          <w:lang w:bidi="ar"/>
        </w:rPr>
        <w:t>，</w:t>
      </w:r>
      <w:r>
        <w:rPr>
          <w:rFonts w:hint="eastAsia" w:ascii="宋体" w:hAnsi="宋体" w:cs="宋体"/>
          <w:kern w:val="0"/>
          <w:szCs w:val="21"/>
          <w:highlight w:val="none"/>
          <w:u w:val="single"/>
          <w:lang w:eastAsia="zh-CN" w:bidi="ar"/>
        </w:rPr>
        <w:t>（</w:t>
      </w:r>
      <w:r>
        <w:rPr>
          <w:rFonts w:hint="eastAsia" w:ascii="宋体" w:hAnsi="宋体" w:cs="宋体"/>
          <w:kern w:val="0"/>
          <w:szCs w:val="21"/>
          <w:highlight w:val="none"/>
          <w:u w:val="single"/>
          <w:lang w:val="en-US" w:eastAsia="zh-CN" w:bidi="ar"/>
        </w:rPr>
        <w:t>其中2026年10月30日达到生产条件</w:t>
      </w:r>
      <w:r>
        <w:rPr>
          <w:rFonts w:hint="eastAsia" w:ascii="宋体" w:hAnsi="宋体" w:cs="宋体"/>
          <w:kern w:val="0"/>
          <w:szCs w:val="21"/>
          <w:highlight w:val="none"/>
          <w:u w:val="single"/>
          <w:lang w:eastAsia="zh-CN" w:bidi="ar"/>
        </w:rPr>
        <w:t>）</w:t>
      </w:r>
      <w:r>
        <w:rPr>
          <w:rFonts w:hint="eastAsia" w:ascii="宋体" w:hAnsi="宋体"/>
          <w:szCs w:val="21"/>
          <w:highlight w:val="none"/>
          <w:lang w:bidi="ar"/>
        </w:rPr>
        <w:t xml:space="preserve"> </w:t>
      </w:r>
      <w:r>
        <w:rPr>
          <w:rFonts w:hint="eastAsia" w:ascii="宋体" w:hAnsi="宋体"/>
          <w:snapToGrid w:val="0"/>
          <w:szCs w:val="21"/>
          <w:highlight w:val="none"/>
          <w:lang w:bidi="ar"/>
        </w:rPr>
        <w:t>缺陷责任期要求：</w:t>
      </w:r>
      <w:r>
        <w:rPr>
          <w:rFonts w:hint="eastAsia" w:ascii="宋体" w:hAnsi="宋体"/>
          <w:szCs w:val="21"/>
          <w:highlight w:val="none"/>
          <w:u w:val="single"/>
          <w:lang w:bidi="ar"/>
        </w:rPr>
        <w:t>24</w:t>
      </w:r>
      <w:r>
        <w:rPr>
          <w:rFonts w:hint="eastAsia" w:ascii="宋体" w:hAnsi="宋体"/>
          <w:snapToGrid w:val="0"/>
          <w:szCs w:val="21"/>
          <w:highlight w:val="none"/>
          <w:u w:val="single"/>
          <w:lang w:bidi="ar"/>
        </w:rPr>
        <w:t>个月</w:t>
      </w:r>
      <w:r>
        <w:rPr>
          <w:rFonts w:hint="eastAsia" w:asciiTheme="minorHAnsi" w:hAnsiTheme="minorHAnsi" w:eastAsiaTheme="minorEastAsia" w:cstheme="minorBidi"/>
          <w:highlight w:val="none"/>
        </w:rPr>
        <w:t>。</w:t>
      </w:r>
    </w:p>
    <w:p w14:paraId="541B175C">
      <w:pPr>
        <w:keepNext w:val="0"/>
        <w:keepLines w:val="0"/>
        <w:pageBreakBefore w:val="0"/>
        <w:widowControl w:val="0"/>
        <w:kinsoku/>
        <w:wordWrap/>
        <w:overflowPunct/>
        <w:topLinePunct/>
        <w:autoSpaceDE/>
        <w:autoSpaceDN/>
        <w:bidi w:val="0"/>
        <w:adjustRightInd w:val="0"/>
        <w:snapToGrid w:val="0"/>
        <w:spacing w:line="440" w:lineRule="exact"/>
        <w:ind w:firstLine="420" w:firstLineChars="200"/>
        <w:textAlignment w:val="auto"/>
        <w:rPr>
          <w:rFonts w:ascii="宋体" w:hAnsi="宋体"/>
          <w:szCs w:val="21"/>
          <w:highlight w:val="none"/>
        </w:rPr>
      </w:pPr>
      <w:r>
        <w:rPr>
          <w:rFonts w:hint="eastAsia" w:ascii="宋体" w:hAnsi="宋体"/>
          <w:szCs w:val="21"/>
          <w:highlight w:val="none"/>
        </w:rPr>
        <w:t>2.</w:t>
      </w:r>
      <w:r>
        <w:rPr>
          <w:rFonts w:ascii="宋体" w:hAnsi="宋体"/>
          <w:szCs w:val="21"/>
          <w:highlight w:val="none"/>
        </w:rPr>
        <w:t xml:space="preserve">4 </w:t>
      </w:r>
      <w:r>
        <w:rPr>
          <w:rFonts w:hint="eastAsia" w:ascii="宋体" w:hAnsi="宋体"/>
          <w:szCs w:val="21"/>
          <w:highlight w:val="none"/>
        </w:rPr>
        <w:t>施工地点：重庆国际复合材料股份有限公司</w:t>
      </w:r>
      <w:r>
        <w:rPr>
          <w:rFonts w:hint="eastAsia" w:ascii="宋体" w:hAnsi="宋体"/>
          <w:szCs w:val="21"/>
          <w:highlight w:val="none"/>
          <w:lang w:val="en-US" w:eastAsia="zh-CN"/>
        </w:rPr>
        <w:t>大渡口生产基地</w:t>
      </w:r>
      <w:r>
        <w:rPr>
          <w:rFonts w:hint="eastAsia" w:ascii="宋体" w:hAnsi="宋体"/>
          <w:szCs w:val="21"/>
          <w:highlight w:val="none"/>
        </w:rPr>
        <w:t>。</w:t>
      </w:r>
    </w:p>
    <w:p w14:paraId="02245204">
      <w:pPr>
        <w:keepNext w:val="0"/>
        <w:keepLines w:val="0"/>
        <w:pageBreakBefore w:val="0"/>
        <w:widowControl w:val="0"/>
        <w:kinsoku/>
        <w:wordWrap/>
        <w:overflowPunct/>
        <w:topLinePunct/>
        <w:autoSpaceDE/>
        <w:autoSpaceDN/>
        <w:bidi w:val="0"/>
        <w:adjustRightInd w:val="0"/>
        <w:snapToGrid w:val="0"/>
        <w:spacing w:line="440" w:lineRule="exact"/>
        <w:ind w:firstLine="420" w:firstLineChars="200"/>
        <w:textAlignment w:val="auto"/>
        <w:rPr>
          <w:rFonts w:hint="eastAsia" w:ascii="宋体" w:hAnsi="宋体" w:eastAsia="宋体"/>
          <w:szCs w:val="21"/>
          <w:highlight w:val="none"/>
          <w:lang w:eastAsia="zh-CN"/>
        </w:rPr>
      </w:pPr>
      <w:r>
        <w:rPr>
          <w:rFonts w:hint="eastAsia" w:ascii="宋体" w:hAnsi="宋体"/>
          <w:szCs w:val="21"/>
          <w:highlight w:val="none"/>
        </w:rPr>
        <w:t xml:space="preserve">2.5 </w:t>
      </w:r>
      <w:r>
        <w:rPr>
          <w:rFonts w:hint="eastAsia" w:ascii="宋体" w:hAnsi="宋体" w:cs="宋体"/>
          <w:kern w:val="0"/>
          <w:szCs w:val="21"/>
          <w:highlight w:val="none"/>
        </w:rPr>
        <w:t>该项目设置最高限价：人民币</w:t>
      </w:r>
      <w:r>
        <w:rPr>
          <w:rFonts w:hint="eastAsia" w:ascii="宋体" w:hAnsi="宋体" w:cs="宋体"/>
          <w:kern w:val="0"/>
          <w:szCs w:val="21"/>
          <w:highlight w:val="none"/>
          <w:u w:val="single"/>
          <w:lang w:val="en-US" w:eastAsia="zh-CN" w:bidi="ar"/>
        </w:rPr>
        <w:t xml:space="preserve"> 2110619.88 </w:t>
      </w:r>
      <w:r>
        <w:rPr>
          <w:rFonts w:hint="eastAsia" w:ascii="宋体" w:hAnsi="宋体" w:cs="宋体"/>
          <w:kern w:val="0"/>
          <w:szCs w:val="21"/>
          <w:highlight w:val="none"/>
        </w:rPr>
        <w:t>元，所有单位报价不得超过最高限价</w:t>
      </w:r>
      <w:r>
        <w:rPr>
          <w:rFonts w:hint="eastAsia" w:ascii="宋体" w:hAnsi="宋体" w:cs="宋体"/>
          <w:kern w:val="0"/>
          <w:szCs w:val="21"/>
          <w:highlight w:val="none"/>
          <w:lang w:eastAsia="zh-CN"/>
        </w:rPr>
        <w:t>。</w:t>
      </w:r>
    </w:p>
    <w:p w14:paraId="1D9A5942">
      <w:pPr>
        <w:keepNext w:val="0"/>
        <w:keepLines w:val="0"/>
        <w:pageBreakBefore w:val="0"/>
        <w:widowControl w:val="0"/>
        <w:kinsoku/>
        <w:wordWrap/>
        <w:overflowPunct/>
        <w:autoSpaceDE/>
        <w:autoSpaceDN/>
        <w:bidi w:val="0"/>
        <w:spacing w:line="440" w:lineRule="exact"/>
        <w:ind w:firstLine="420" w:firstLineChars="200"/>
        <w:jc w:val="left"/>
        <w:textAlignment w:val="auto"/>
        <w:outlineLvl w:val="0"/>
        <w:rPr>
          <w:rFonts w:ascii="宋体" w:hAnsi="宋体"/>
          <w:color w:val="FF0000"/>
          <w:szCs w:val="21"/>
          <w:highlight w:val="none"/>
        </w:rPr>
      </w:pPr>
      <w:r>
        <w:rPr>
          <w:rFonts w:hint="eastAsia" w:ascii="宋体" w:hAnsi="宋体"/>
          <w:szCs w:val="21"/>
          <w:highlight w:val="none"/>
        </w:rPr>
        <w:t>2.6 付款方式：</w:t>
      </w:r>
      <w:r>
        <w:rPr>
          <w:rFonts w:hint="eastAsia" w:ascii="宋体" w:hAnsi="宋体" w:cs="宋体"/>
          <w:szCs w:val="21"/>
          <w:highlight w:val="none"/>
          <w:lang w:bidi="ar"/>
        </w:rPr>
        <w:t>现金电汇或银行承兑汇票</w:t>
      </w:r>
      <w:r>
        <w:rPr>
          <w:rFonts w:hint="eastAsia" w:ascii="宋体" w:hAnsi="宋体" w:cs="宋体"/>
          <w:kern w:val="0"/>
          <w:szCs w:val="21"/>
          <w:highlight w:val="none"/>
          <w:lang w:bidi="ar"/>
        </w:rPr>
        <w:t>。</w:t>
      </w:r>
    </w:p>
    <w:p w14:paraId="0A95D958">
      <w:pPr>
        <w:spacing w:line="440" w:lineRule="exact"/>
        <w:jc w:val="left"/>
        <w:outlineLvl w:val="0"/>
        <w:rPr>
          <w:rFonts w:ascii="宋体" w:hAnsi="宋体"/>
          <w:b/>
          <w:snapToGrid w:val="0"/>
          <w:kern w:val="0"/>
          <w:szCs w:val="21"/>
          <w:highlight w:val="none"/>
        </w:rPr>
      </w:pPr>
      <w:r>
        <w:rPr>
          <w:rFonts w:hint="eastAsia" w:ascii="宋体" w:hAnsi="宋体"/>
          <w:b/>
          <w:snapToGrid w:val="0"/>
          <w:kern w:val="0"/>
          <w:szCs w:val="21"/>
          <w:highlight w:val="none"/>
        </w:rPr>
        <w:t xml:space="preserve">3. </w:t>
      </w:r>
      <w:r>
        <w:rPr>
          <w:rFonts w:hint="eastAsia" w:ascii="宋体" w:hAnsi="宋体"/>
          <w:b/>
          <w:snapToGrid w:val="0"/>
          <w:kern w:val="0"/>
          <w:szCs w:val="21"/>
          <w:highlight w:val="none"/>
          <w:lang w:eastAsia="zh-CN"/>
        </w:rPr>
        <w:t>报价人</w:t>
      </w:r>
      <w:r>
        <w:rPr>
          <w:rFonts w:hint="eastAsia" w:ascii="宋体" w:hAnsi="宋体"/>
          <w:b/>
          <w:snapToGrid w:val="0"/>
          <w:kern w:val="0"/>
          <w:szCs w:val="21"/>
          <w:highlight w:val="none"/>
        </w:rPr>
        <w:t>资格要求</w:t>
      </w:r>
    </w:p>
    <w:p w14:paraId="6DA3B956">
      <w:pPr>
        <w:keepNext w:val="0"/>
        <w:keepLines w:val="0"/>
        <w:pageBreakBefore w:val="0"/>
        <w:kinsoku/>
        <w:overflowPunct/>
        <w:topLinePunct/>
        <w:bidi w:val="0"/>
        <w:adjustRightInd w:val="0"/>
        <w:snapToGrid w:val="0"/>
        <w:spacing w:line="440" w:lineRule="exact"/>
        <w:ind w:firstLine="420" w:firstLineChars="200"/>
        <w:textAlignment w:val="auto"/>
        <w:rPr>
          <w:rFonts w:ascii="宋体" w:hAnsi="宋体"/>
          <w:szCs w:val="21"/>
          <w:highlight w:val="none"/>
        </w:rPr>
      </w:pPr>
      <w:r>
        <w:rPr>
          <w:rFonts w:hint="eastAsia" w:ascii="宋体" w:hAnsi="宋体"/>
          <w:szCs w:val="21"/>
          <w:highlight w:val="none"/>
        </w:rPr>
        <w:t>3.1本次</w:t>
      </w:r>
      <w:r>
        <w:rPr>
          <w:rFonts w:hint="eastAsia" w:ascii="宋体" w:hAnsi="宋体"/>
          <w:szCs w:val="21"/>
          <w:highlight w:val="none"/>
          <w:lang w:eastAsia="zh-CN"/>
        </w:rPr>
        <w:t>谈判采购</w:t>
      </w:r>
      <w:r>
        <w:rPr>
          <w:rFonts w:hint="eastAsia" w:ascii="宋体" w:hAnsi="宋体"/>
          <w:szCs w:val="21"/>
          <w:highlight w:val="none"/>
        </w:rPr>
        <w:t>实行资格后审，</w:t>
      </w:r>
      <w:r>
        <w:rPr>
          <w:rFonts w:hint="eastAsia" w:ascii="宋体" w:hAnsi="宋体"/>
          <w:szCs w:val="21"/>
          <w:highlight w:val="none"/>
          <w:lang w:eastAsia="zh-CN"/>
        </w:rPr>
        <w:t>报价人</w:t>
      </w:r>
      <w:r>
        <w:rPr>
          <w:rFonts w:hint="eastAsia" w:ascii="宋体" w:hAnsi="宋体"/>
          <w:szCs w:val="21"/>
          <w:highlight w:val="none"/>
        </w:rPr>
        <w:t>应满足下列资格条件：</w:t>
      </w:r>
    </w:p>
    <w:p w14:paraId="2B9E7531">
      <w:pPr>
        <w:keepNext w:val="0"/>
        <w:keepLines w:val="0"/>
        <w:pageBreakBefore w:val="0"/>
        <w:kinsoku/>
        <w:overflowPunct/>
        <w:topLinePunct/>
        <w:bidi w:val="0"/>
        <w:adjustRightInd w:val="0"/>
        <w:snapToGrid w:val="0"/>
        <w:spacing w:line="440" w:lineRule="exact"/>
        <w:ind w:firstLine="420" w:firstLineChars="200"/>
        <w:textAlignment w:val="auto"/>
        <w:rPr>
          <w:rFonts w:ascii="宋体" w:hAnsi="宋体"/>
          <w:kern w:val="0"/>
          <w:szCs w:val="21"/>
          <w:highlight w:val="none"/>
        </w:rPr>
      </w:pPr>
      <w:r>
        <w:rPr>
          <w:rFonts w:hint="eastAsia" w:ascii="宋体" w:hAnsi="宋体"/>
          <w:kern w:val="0"/>
          <w:szCs w:val="21"/>
          <w:highlight w:val="none"/>
        </w:rPr>
        <w:t>3.1.1</w:t>
      </w:r>
      <w:r>
        <w:rPr>
          <w:rFonts w:ascii="宋体" w:hAnsi="宋体"/>
          <w:kern w:val="0"/>
          <w:szCs w:val="21"/>
          <w:highlight w:val="none"/>
        </w:rPr>
        <w:t>具备工商行政主管部门颁发的经营期限内的营业执照</w:t>
      </w:r>
      <w:r>
        <w:rPr>
          <w:rFonts w:hint="eastAsia" w:ascii="宋体" w:hAnsi="宋体"/>
          <w:kern w:val="0"/>
          <w:szCs w:val="21"/>
          <w:highlight w:val="none"/>
        </w:rPr>
        <w:t>（统一社会信用代码）提供有效的营业执照复印件，加盖</w:t>
      </w:r>
      <w:r>
        <w:rPr>
          <w:rFonts w:hint="eastAsia" w:ascii="宋体" w:hAnsi="宋体"/>
          <w:kern w:val="0"/>
          <w:szCs w:val="21"/>
          <w:highlight w:val="none"/>
          <w:lang w:eastAsia="zh-CN"/>
        </w:rPr>
        <w:t>报价人</w:t>
      </w:r>
      <w:r>
        <w:rPr>
          <w:rFonts w:hint="eastAsia" w:ascii="宋体" w:hAnsi="宋体"/>
          <w:kern w:val="0"/>
          <w:szCs w:val="21"/>
          <w:highlight w:val="none"/>
        </w:rPr>
        <w:t>公章</w:t>
      </w:r>
      <w:r>
        <w:rPr>
          <w:rFonts w:ascii="宋体" w:hAnsi="宋体"/>
          <w:kern w:val="0"/>
          <w:szCs w:val="21"/>
          <w:highlight w:val="none"/>
        </w:rPr>
        <w:t>。</w:t>
      </w:r>
    </w:p>
    <w:p w14:paraId="1FDB751F">
      <w:pPr>
        <w:pStyle w:val="8"/>
        <w:keepNext w:val="0"/>
        <w:keepLines w:val="0"/>
        <w:pageBreakBefore w:val="0"/>
        <w:kinsoku/>
        <w:overflowPunct/>
        <w:bidi w:val="0"/>
        <w:ind w:firstLine="420" w:firstLineChars="200"/>
        <w:textAlignment w:val="auto"/>
        <w:rPr>
          <w:rFonts w:hint="default" w:eastAsia="宋体"/>
          <w:highlight w:val="none"/>
          <w:lang w:val="en-US" w:eastAsia="zh-CN"/>
        </w:rPr>
      </w:pPr>
      <w:r>
        <w:rPr>
          <w:rFonts w:hint="eastAsia" w:ascii="宋体" w:hAnsi="宋体"/>
          <w:kern w:val="0"/>
          <w:szCs w:val="21"/>
          <w:highlight w:val="none"/>
          <w:lang w:val="en-US" w:eastAsia="zh-CN"/>
        </w:rPr>
        <w:t>3.1.2</w:t>
      </w:r>
      <w:r>
        <w:rPr>
          <w:rFonts w:hint="eastAsia" w:ascii="宋体" w:hAnsi="宋体"/>
          <w:kern w:val="0"/>
          <w:szCs w:val="21"/>
          <w:highlight w:val="none"/>
        </w:rPr>
        <w:t>具备建设行政主管部门颁发的有效的安全生产许可证</w:t>
      </w:r>
      <w:bookmarkStart w:id="584" w:name="_GoBack"/>
      <w:bookmarkEnd w:id="584"/>
    </w:p>
    <w:p w14:paraId="5D24A9F0">
      <w:pPr>
        <w:keepNext w:val="0"/>
        <w:keepLines w:val="0"/>
        <w:pageBreakBefore w:val="0"/>
        <w:kinsoku/>
        <w:overflowPunct/>
        <w:bidi w:val="0"/>
        <w:snapToGrid w:val="0"/>
        <w:spacing w:line="400" w:lineRule="exact"/>
        <w:ind w:firstLine="420" w:firstLineChars="200"/>
        <w:textAlignment w:val="auto"/>
        <w:rPr>
          <w:rFonts w:hint="eastAsia" w:ascii="宋体" w:hAnsi="宋体"/>
          <w:snapToGrid w:val="0"/>
          <w:kern w:val="0"/>
          <w:szCs w:val="21"/>
          <w:highlight w:val="none"/>
        </w:rPr>
      </w:pPr>
      <w:r>
        <w:rPr>
          <w:rFonts w:hint="eastAsia" w:ascii="宋体" w:hAnsi="宋体"/>
          <w:kern w:val="0"/>
          <w:szCs w:val="21"/>
          <w:highlight w:val="none"/>
        </w:rPr>
        <w:t>3</w:t>
      </w:r>
      <w:r>
        <w:rPr>
          <w:rFonts w:ascii="宋体" w:hAnsi="宋体"/>
          <w:kern w:val="0"/>
          <w:szCs w:val="21"/>
          <w:highlight w:val="none"/>
        </w:rPr>
        <w:t>.1.</w:t>
      </w:r>
      <w:r>
        <w:rPr>
          <w:rFonts w:hint="eastAsia" w:ascii="宋体" w:hAnsi="宋体"/>
          <w:kern w:val="0"/>
          <w:szCs w:val="21"/>
          <w:highlight w:val="none"/>
          <w:lang w:val="en-US" w:eastAsia="zh-CN"/>
        </w:rPr>
        <w:t>3</w:t>
      </w:r>
      <w:r>
        <w:rPr>
          <w:rFonts w:ascii="宋体" w:hAnsi="宋体"/>
          <w:kern w:val="0"/>
          <w:szCs w:val="21"/>
          <w:highlight w:val="none"/>
        </w:rPr>
        <w:t xml:space="preserve"> </w:t>
      </w:r>
      <w:r>
        <w:rPr>
          <w:rFonts w:hint="eastAsia" w:cs="宋体"/>
          <w:highlight w:val="none"/>
          <w:lang w:bidi="ar"/>
        </w:rPr>
        <w:t>需具备</w:t>
      </w:r>
      <w:r>
        <w:rPr>
          <w:rFonts w:hint="eastAsia" w:ascii="宋体" w:hAnsi="宋体"/>
          <w:snapToGrid w:val="0"/>
          <w:kern w:val="0"/>
          <w:szCs w:val="21"/>
          <w:highlight w:val="none"/>
        </w:rPr>
        <w:t>建设行政主管部门颁发的有效的机电工程施工总承包三级及以上资质</w:t>
      </w:r>
    </w:p>
    <w:p w14:paraId="3E49A215">
      <w:pPr>
        <w:keepNext w:val="0"/>
        <w:keepLines w:val="0"/>
        <w:pageBreakBefore w:val="0"/>
        <w:kinsoku/>
        <w:overflowPunct/>
        <w:bidi w:val="0"/>
        <w:snapToGrid w:val="0"/>
        <w:spacing w:line="400" w:lineRule="exact"/>
        <w:ind w:firstLine="420" w:firstLineChars="200"/>
        <w:textAlignment w:val="auto"/>
        <w:rPr>
          <w:rFonts w:hint="eastAsia"/>
          <w:highlight w:val="none"/>
        </w:rPr>
      </w:pPr>
      <w:r>
        <w:rPr>
          <w:highlight w:val="none"/>
        </w:rPr>
        <w:t>（</w:t>
      </w:r>
      <w:r>
        <w:rPr>
          <w:rFonts w:hint="eastAsia"/>
          <w:highlight w:val="none"/>
        </w:rPr>
        <w:t>1）项目经理：</w:t>
      </w:r>
    </w:p>
    <w:p w14:paraId="78BF03CA">
      <w:pPr>
        <w:keepNext w:val="0"/>
        <w:keepLines w:val="0"/>
        <w:pageBreakBefore w:val="0"/>
        <w:kinsoku/>
        <w:overflowPunct/>
        <w:bidi w:val="0"/>
        <w:snapToGrid w:val="0"/>
        <w:spacing w:line="400" w:lineRule="exact"/>
        <w:ind w:firstLine="420" w:firstLineChars="200"/>
        <w:textAlignment w:val="auto"/>
        <w:rPr>
          <w:rFonts w:hint="eastAsia" w:ascii="宋体" w:hAnsi="宋体"/>
          <w:kern w:val="0"/>
          <w:szCs w:val="21"/>
          <w:highlight w:val="none"/>
        </w:rPr>
      </w:pPr>
      <w:r>
        <w:rPr>
          <w:rFonts w:hint="eastAsia" w:ascii="宋体" w:hAnsi="宋体"/>
          <w:kern w:val="0"/>
          <w:szCs w:val="21"/>
          <w:highlight w:val="none"/>
        </w:rPr>
        <w:t>提供拟派的项目经理为二级建造师</w:t>
      </w:r>
      <w:r>
        <w:rPr>
          <w:rFonts w:hint="eastAsia" w:ascii="宋体" w:hAnsi="宋体"/>
          <w:kern w:val="0"/>
          <w:szCs w:val="21"/>
          <w:highlight w:val="none"/>
          <w:lang w:eastAsia="zh-CN"/>
        </w:rPr>
        <w:t>（</w:t>
      </w:r>
      <w:r>
        <w:rPr>
          <w:rFonts w:hint="eastAsia" w:ascii="宋体" w:hAnsi="宋体"/>
          <w:kern w:val="0"/>
          <w:szCs w:val="21"/>
          <w:highlight w:val="none"/>
          <w:lang w:val="en-US" w:eastAsia="zh-CN"/>
        </w:rPr>
        <w:t>机电工程）及以上执业资格</w:t>
      </w:r>
      <w:r>
        <w:rPr>
          <w:rFonts w:hint="eastAsia" w:ascii="宋体" w:hAnsi="宋体"/>
          <w:kern w:val="0"/>
          <w:szCs w:val="21"/>
          <w:highlight w:val="none"/>
        </w:rPr>
        <w:t>注册人员的，必须提供建造师电子注册证书</w:t>
      </w:r>
      <w:r>
        <w:rPr>
          <w:rFonts w:hint="eastAsia" w:ascii="宋体" w:hAnsi="宋体"/>
          <w:kern w:val="0"/>
          <w:szCs w:val="21"/>
          <w:highlight w:val="none"/>
          <w:lang w:eastAsia="zh-CN"/>
        </w:rPr>
        <w:t>，具备有效的安全生产考核合格证书（B 证），无在建承诺</w:t>
      </w:r>
      <w:r>
        <w:rPr>
          <w:rFonts w:hint="eastAsia" w:ascii="宋体" w:hAnsi="宋体"/>
          <w:kern w:val="0"/>
          <w:szCs w:val="21"/>
          <w:highlight w:val="none"/>
        </w:rPr>
        <w:t>。</w:t>
      </w:r>
    </w:p>
    <w:p w14:paraId="34A52A67">
      <w:pPr>
        <w:keepNext w:val="0"/>
        <w:keepLines w:val="0"/>
        <w:pageBreakBefore w:val="0"/>
        <w:kinsoku/>
        <w:overflowPunct/>
        <w:bidi w:val="0"/>
        <w:snapToGrid w:val="0"/>
        <w:spacing w:line="400" w:lineRule="exact"/>
        <w:ind w:firstLine="420" w:firstLineChars="200"/>
        <w:textAlignment w:val="auto"/>
        <w:rPr>
          <w:rFonts w:hint="eastAsia" w:ascii="宋体" w:hAnsi="宋体"/>
          <w:kern w:val="0"/>
          <w:szCs w:val="21"/>
          <w:highlight w:val="none"/>
        </w:rPr>
      </w:pPr>
      <w:r>
        <w:rPr>
          <w:rFonts w:hint="eastAsia" w:ascii="宋体" w:hAnsi="宋体"/>
          <w:kern w:val="0"/>
          <w:szCs w:val="21"/>
          <w:highlight w:val="none"/>
          <w:lang w:eastAsia="zh-CN"/>
        </w:rPr>
        <w:t>报价人</w:t>
      </w:r>
      <w:r>
        <w:rPr>
          <w:rFonts w:hint="eastAsia" w:ascii="宋体" w:hAnsi="宋体"/>
          <w:kern w:val="0"/>
          <w:szCs w:val="21"/>
          <w:highlight w:val="none"/>
        </w:rPr>
        <w:t>须在</w:t>
      </w:r>
      <w:r>
        <w:rPr>
          <w:rFonts w:hint="eastAsia" w:ascii="宋体" w:hAnsi="宋体"/>
          <w:kern w:val="0"/>
          <w:szCs w:val="21"/>
          <w:highlight w:val="none"/>
          <w:lang w:eastAsia="zh-CN"/>
        </w:rPr>
        <w:t>谈判文件</w:t>
      </w:r>
      <w:r>
        <w:rPr>
          <w:rFonts w:hint="eastAsia" w:ascii="宋体" w:hAnsi="宋体"/>
          <w:kern w:val="0"/>
          <w:szCs w:val="21"/>
          <w:highlight w:val="none"/>
        </w:rPr>
        <w:t>资格审查部分提供拟派</w:t>
      </w:r>
      <w:r>
        <w:rPr>
          <w:rFonts w:hint="eastAsia" w:ascii="宋体" w:hAnsi="宋体"/>
          <w:kern w:val="0"/>
          <w:szCs w:val="21"/>
          <w:highlight w:val="none"/>
          <w:lang w:val="en-US" w:eastAsia="zh-CN"/>
        </w:rPr>
        <w:t>项目经理</w:t>
      </w:r>
      <w:r>
        <w:rPr>
          <w:rFonts w:hint="eastAsia" w:ascii="宋体" w:hAnsi="宋体"/>
          <w:kern w:val="0"/>
          <w:szCs w:val="21"/>
          <w:highlight w:val="none"/>
        </w:rPr>
        <w:t>身份证、职称证及</w:t>
      </w:r>
      <w:r>
        <w:rPr>
          <w:rFonts w:hint="eastAsia" w:ascii="宋体" w:hAnsi="宋体"/>
          <w:kern w:val="0"/>
          <w:szCs w:val="21"/>
          <w:highlight w:val="none"/>
          <w:lang w:eastAsia="zh-CN"/>
        </w:rPr>
        <w:t>报价人</w:t>
      </w:r>
      <w:r>
        <w:rPr>
          <w:rFonts w:hint="eastAsia" w:ascii="宋体" w:hAnsi="宋体"/>
          <w:kern w:val="0"/>
          <w:szCs w:val="21"/>
          <w:highlight w:val="none"/>
        </w:rPr>
        <w:t>本单位为其缴纳的养老保险证明材料复印件。</w:t>
      </w:r>
    </w:p>
    <w:p w14:paraId="6872233C">
      <w:pPr>
        <w:keepNext w:val="0"/>
        <w:keepLines w:val="0"/>
        <w:pageBreakBefore w:val="0"/>
        <w:kinsoku/>
        <w:overflowPunct/>
        <w:bidi w:val="0"/>
        <w:snapToGrid w:val="0"/>
        <w:spacing w:line="400" w:lineRule="exact"/>
        <w:ind w:firstLine="420" w:firstLineChars="200"/>
        <w:textAlignment w:val="auto"/>
        <w:rPr>
          <w:rFonts w:hint="eastAsia" w:ascii="宋体" w:hAnsi="宋体"/>
          <w:kern w:val="0"/>
          <w:szCs w:val="21"/>
          <w:highlight w:val="none"/>
        </w:rPr>
      </w:pPr>
      <w:r>
        <w:rPr>
          <w:rFonts w:hint="eastAsia" w:ascii="宋体" w:hAnsi="宋体"/>
          <w:kern w:val="0"/>
          <w:szCs w:val="21"/>
          <w:highlight w:val="none"/>
        </w:rPr>
        <w:t>（2）项目技术负责人：</w:t>
      </w:r>
    </w:p>
    <w:p w14:paraId="6604C0B1">
      <w:pPr>
        <w:keepNext w:val="0"/>
        <w:keepLines w:val="0"/>
        <w:pageBreakBefore w:val="0"/>
        <w:kinsoku/>
        <w:overflowPunct/>
        <w:bidi w:val="0"/>
        <w:snapToGrid w:val="0"/>
        <w:spacing w:line="400" w:lineRule="exact"/>
        <w:ind w:firstLine="420" w:firstLineChars="200"/>
        <w:textAlignment w:val="auto"/>
        <w:rPr>
          <w:rFonts w:hint="eastAsia" w:ascii="宋体" w:hAnsi="宋体"/>
          <w:kern w:val="0"/>
          <w:szCs w:val="21"/>
          <w:highlight w:val="none"/>
        </w:rPr>
      </w:pPr>
      <w:r>
        <w:rPr>
          <w:rFonts w:hint="eastAsia" w:ascii="宋体" w:hAnsi="宋体"/>
          <w:kern w:val="0"/>
          <w:szCs w:val="21"/>
          <w:highlight w:val="none"/>
        </w:rPr>
        <w:t>应具有工程类中级及以上职称；</w:t>
      </w:r>
    </w:p>
    <w:p w14:paraId="292F9AF1">
      <w:pPr>
        <w:keepNext w:val="0"/>
        <w:keepLines w:val="0"/>
        <w:pageBreakBefore w:val="0"/>
        <w:kinsoku/>
        <w:overflowPunct/>
        <w:bidi w:val="0"/>
        <w:snapToGrid w:val="0"/>
        <w:spacing w:line="400" w:lineRule="exact"/>
        <w:ind w:firstLine="420" w:firstLineChars="200"/>
        <w:textAlignment w:val="auto"/>
        <w:rPr>
          <w:rFonts w:hint="eastAsia" w:ascii="宋体" w:hAnsi="宋体"/>
          <w:kern w:val="0"/>
          <w:szCs w:val="21"/>
          <w:highlight w:val="none"/>
        </w:rPr>
      </w:pPr>
      <w:r>
        <w:rPr>
          <w:rFonts w:hint="eastAsia" w:ascii="宋体" w:hAnsi="宋体"/>
          <w:kern w:val="0"/>
          <w:szCs w:val="21"/>
          <w:highlight w:val="none"/>
          <w:lang w:eastAsia="zh-CN"/>
        </w:rPr>
        <w:t>报价人</w:t>
      </w:r>
      <w:r>
        <w:rPr>
          <w:rFonts w:hint="eastAsia" w:ascii="宋体" w:hAnsi="宋体"/>
          <w:kern w:val="0"/>
          <w:szCs w:val="21"/>
          <w:highlight w:val="none"/>
        </w:rPr>
        <w:t>须在</w:t>
      </w:r>
      <w:r>
        <w:rPr>
          <w:rFonts w:hint="eastAsia" w:ascii="宋体" w:hAnsi="宋体"/>
          <w:kern w:val="0"/>
          <w:szCs w:val="21"/>
          <w:highlight w:val="none"/>
          <w:lang w:eastAsia="zh-CN"/>
        </w:rPr>
        <w:t>谈判文件</w:t>
      </w:r>
      <w:r>
        <w:rPr>
          <w:rFonts w:hint="eastAsia" w:ascii="宋体" w:hAnsi="宋体"/>
          <w:kern w:val="0"/>
          <w:szCs w:val="21"/>
          <w:highlight w:val="none"/>
        </w:rPr>
        <w:t>资格审查部分提供拟派技术负责人身份证、职称证及</w:t>
      </w:r>
      <w:r>
        <w:rPr>
          <w:rFonts w:hint="eastAsia" w:ascii="宋体" w:hAnsi="宋体"/>
          <w:kern w:val="0"/>
          <w:szCs w:val="21"/>
          <w:highlight w:val="none"/>
          <w:lang w:eastAsia="zh-CN"/>
        </w:rPr>
        <w:t>报价人</w:t>
      </w:r>
      <w:r>
        <w:rPr>
          <w:rFonts w:hint="eastAsia" w:ascii="宋体" w:hAnsi="宋体"/>
          <w:kern w:val="0"/>
          <w:szCs w:val="21"/>
          <w:highlight w:val="none"/>
        </w:rPr>
        <w:t xml:space="preserve">本单位为其缴纳的养老保险证明材料复印件。                                            </w:t>
      </w:r>
    </w:p>
    <w:p w14:paraId="0522D3EA">
      <w:pPr>
        <w:keepNext w:val="0"/>
        <w:keepLines w:val="0"/>
        <w:pageBreakBefore w:val="0"/>
        <w:kinsoku/>
        <w:overflowPunct/>
        <w:bidi w:val="0"/>
        <w:snapToGrid w:val="0"/>
        <w:spacing w:line="400" w:lineRule="exact"/>
        <w:ind w:firstLine="420" w:firstLineChars="200"/>
        <w:textAlignment w:val="auto"/>
        <w:rPr>
          <w:rFonts w:hint="eastAsia" w:ascii="宋体" w:hAnsi="宋体"/>
          <w:kern w:val="0"/>
          <w:szCs w:val="21"/>
          <w:highlight w:val="none"/>
        </w:rPr>
      </w:pPr>
      <w:r>
        <w:rPr>
          <w:rFonts w:hint="eastAsia" w:ascii="宋体" w:hAnsi="宋体"/>
          <w:kern w:val="0"/>
          <w:szCs w:val="21"/>
          <w:highlight w:val="none"/>
        </w:rPr>
        <w:t>（3）委托代理人：</w:t>
      </w:r>
    </w:p>
    <w:p w14:paraId="565EE13A">
      <w:pPr>
        <w:keepNext w:val="0"/>
        <w:keepLines w:val="0"/>
        <w:pageBreakBefore w:val="0"/>
        <w:kinsoku/>
        <w:overflowPunct/>
        <w:bidi w:val="0"/>
        <w:snapToGrid w:val="0"/>
        <w:spacing w:line="400" w:lineRule="exact"/>
        <w:ind w:firstLine="420" w:firstLineChars="200"/>
        <w:textAlignment w:val="auto"/>
        <w:rPr>
          <w:rFonts w:hint="eastAsia" w:ascii="宋体" w:hAnsi="宋体"/>
          <w:kern w:val="0"/>
          <w:szCs w:val="21"/>
          <w:highlight w:val="none"/>
        </w:rPr>
      </w:pPr>
      <w:r>
        <w:rPr>
          <w:rFonts w:hint="eastAsia" w:ascii="宋体" w:hAnsi="宋体"/>
          <w:kern w:val="0"/>
          <w:szCs w:val="21"/>
          <w:highlight w:val="none"/>
        </w:rPr>
        <w:t>委托代理人必须为</w:t>
      </w:r>
      <w:r>
        <w:rPr>
          <w:rFonts w:hint="eastAsia" w:ascii="宋体" w:hAnsi="宋体"/>
          <w:kern w:val="0"/>
          <w:szCs w:val="21"/>
          <w:highlight w:val="none"/>
          <w:lang w:eastAsia="zh-CN"/>
        </w:rPr>
        <w:t>报价人</w:t>
      </w:r>
      <w:r>
        <w:rPr>
          <w:rFonts w:hint="eastAsia" w:ascii="宋体" w:hAnsi="宋体"/>
          <w:kern w:val="0"/>
          <w:szCs w:val="21"/>
          <w:highlight w:val="none"/>
        </w:rPr>
        <w:t>本单位人员。</w:t>
      </w:r>
    </w:p>
    <w:p w14:paraId="0EA92862">
      <w:pPr>
        <w:keepNext w:val="0"/>
        <w:keepLines w:val="0"/>
        <w:pageBreakBefore w:val="0"/>
        <w:kinsoku/>
        <w:overflowPunct/>
        <w:bidi w:val="0"/>
        <w:snapToGrid w:val="0"/>
        <w:spacing w:line="400" w:lineRule="exact"/>
        <w:ind w:firstLine="420" w:firstLineChars="200"/>
        <w:textAlignment w:val="auto"/>
        <w:rPr>
          <w:rFonts w:hint="eastAsia" w:ascii="宋体" w:hAnsi="宋体"/>
          <w:kern w:val="0"/>
          <w:szCs w:val="21"/>
          <w:highlight w:val="none"/>
        </w:rPr>
      </w:pPr>
      <w:r>
        <w:rPr>
          <w:rFonts w:hint="eastAsia" w:ascii="宋体" w:hAnsi="宋体"/>
          <w:kern w:val="0"/>
          <w:szCs w:val="21"/>
          <w:highlight w:val="none"/>
          <w:lang w:eastAsia="zh-CN"/>
        </w:rPr>
        <w:t>报价人</w:t>
      </w:r>
      <w:r>
        <w:rPr>
          <w:rFonts w:hint="eastAsia" w:ascii="宋体" w:hAnsi="宋体"/>
          <w:kern w:val="0"/>
          <w:szCs w:val="21"/>
          <w:highlight w:val="none"/>
        </w:rPr>
        <w:t>须在</w:t>
      </w:r>
      <w:r>
        <w:rPr>
          <w:rFonts w:hint="eastAsia" w:ascii="宋体" w:hAnsi="宋体"/>
          <w:kern w:val="0"/>
          <w:szCs w:val="21"/>
          <w:highlight w:val="none"/>
          <w:lang w:eastAsia="zh-CN"/>
        </w:rPr>
        <w:t>谈判文件</w:t>
      </w:r>
      <w:r>
        <w:rPr>
          <w:rFonts w:hint="eastAsia" w:ascii="宋体" w:hAnsi="宋体"/>
          <w:kern w:val="0"/>
          <w:szCs w:val="21"/>
          <w:highlight w:val="none"/>
        </w:rPr>
        <w:t>资格审查部分提供</w:t>
      </w:r>
      <w:r>
        <w:rPr>
          <w:rFonts w:hint="eastAsia" w:ascii="宋体" w:hAnsi="宋体"/>
          <w:kern w:val="0"/>
          <w:szCs w:val="21"/>
          <w:highlight w:val="none"/>
          <w:lang w:eastAsia="zh-CN"/>
        </w:rPr>
        <w:t>报价人</w:t>
      </w:r>
      <w:r>
        <w:rPr>
          <w:rFonts w:hint="eastAsia" w:ascii="宋体" w:hAnsi="宋体"/>
          <w:kern w:val="0"/>
          <w:szCs w:val="21"/>
          <w:highlight w:val="none"/>
        </w:rPr>
        <w:t>为该委托代理人缴纳的养老保险证明复印件。否则，将由评标委员会作否决投标处理</w:t>
      </w:r>
    </w:p>
    <w:p w14:paraId="241BB5E7">
      <w:pPr>
        <w:keepNext w:val="0"/>
        <w:keepLines w:val="0"/>
        <w:pageBreakBefore w:val="0"/>
        <w:kinsoku/>
        <w:overflowPunct/>
        <w:bidi w:val="0"/>
        <w:spacing w:line="400" w:lineRule="exact"/>
        <w:ind w:firstLine="420" w:firstLineChars="200"/>
        <w:textAlignment w:val="auto"/>
        <w:rPr>
          <w:highlight w:val="none"/>
        </w:rPr>
      </w:pPr>
      <w:r>
        <w:rPr>
          <w:rFonts w:hint="eastAsia"/>
          <w:highlight w:val="none"/>
        </w:rPr>
        <w:t>（</w:t>
      </w:r>
      <w:r>
        <w:rPr>
          <w:highlight w:val="none"/>
        </w:rPr>
        <w:t>4</w:t>
      </w:r>
      <w:r>
        <w:rPr>
          <w:rFonts w:hint="eastAsia"/>
          <w:highlight w:val="none"/>
        </w:rPr>
        <w:t>）</w:t>
      </w:r>
      <w:r>
        <w:rPr>
          <w:highlight w:val="none"/>
        </w:rPr>
        <w:t>本</w:t>
      </w:r>
      <w:r>
        <w:rPr>
          <w:rFonts w:hint="eastAsia"/>
          <w:highlight w:val="none"/>
          <w:lang w:eastAsia="zh-CN"/>
        </w:rPr>
        <w:t>谈判采购文件</w:t>
      </w:r>
      <w:r>
        <w:rPr>
          <w:highlight w:val="none"/>
        </w:rPr>
        <w:t>中所要求的人员</w:t>
      </w:r>
      <w:r>
        <w:rPr>
          <w:rFonts w:hint="eastAsia"/>
          <w:highlight w:val="none"/>
        </w:rPr>
        <w:t>养老保险</w:t>
      </w:r>
      <w:r>
        <w:rPr>
          <w:highlight w:val="none"/>
        </w:rPr>
        <w:t>证明要求如下：</w:t>
      </w:r>
    </w:p>
    <w:p w14:paraId="4DACADAF">
      <w:pPr>
        <w:keepNext w:val="0"/>
        <w:keepLines w:val="0"/>
        <w:pageBreakBefore w:val="0"/>
        <w:kinsoku/>
        <w:overflowPunct/>
        <w:bidi w:val="0"/>
        <w:spacing w:line="400" w:lineRule="exact"/>
        <w:ind w:firstLine="420" w:firstLineChars="200"/>
        <w:textAlignment w:val="auto"/>
        <w:rPr>
          <w:highlight w:val="none"/>
        </w:rPr>
      </w:pPr>
      <w:r>
        <w:rPr>
          <w:highlight w:val="none"/>
        </w:rPr>
        <w:t>①</w:t>
      </w:r>
      <w:r>
        <w:rPr>
          <w:rFonts w:hint="eastAsia"/>
          <w:highlight w:val="none"/>
        </w:rPr>
        <w:t>企业</w:t>
      </w:r>
      <w:r>
        <w:rPr>
          <w:highlight w:val="none"/>
        </w:rPr>
        <w:t>提供</w:t>
      </w:r>
      <w:r>
        <w:rPr>
          <w:rFonts w:hint="eastAsia"/>
          <w:highlight w:val="none"/>
        </w:rPr>
        <w:t>养老保险</w:t>
      </w:r>
      <w:r>
        <w:rPr>
          <w:highlight w:val="none"/>
        </w:rPr>
        <w:t>证明，事业单位提供</w:t>
      </w:r>
      <w:r>
        <w:rPr>
          <w:rFonts w:hint="eastAsia"/>
          <w:highlight w:val="none"/>
        </w:rPr>
        <w:t>养老保险</w:t>
      </w:r>
      <w:r>
        <w:rPr>
          <w:highlight w:val="none"/>
        </w:rPr>
        <w:t>证明或行政主管部门在编证明。</w:t>
      </w:r>
    </w:p>
    <w:p w14:paraId="3FEA23D5">
      <w:pPr>
        <w:keepNext w:val="0"/>
        <w:keepLines w:val="0"/>
        <w:pageBreakBefore w:val="0"/>
        <w:tabs>
          <w:tab w:val="left" w:pos="3840"/>
          <w:tab w:val="left" w:pos="5300"/>
        </w:tabs>
        <w:kinsoku/>
        <w:overflowPunct/>
        <w:autoSpaceDE w:val="0"/>
        <w:autoSpaceDN w:val="0"/>
        <w:bidi w:val="0"/>
        <w:adjustRightInd w:val="0"/>
        <w:snapToGrid w:val="0"/>
        <w:spacing w:line="360" w:lineRule="auto"/>
        <w:ind w:firstLine="420" w:firstLineChars="200"/>
        <w:textAlignment w:val="auto"/>
        <w:rPr>
          <w:rFonts w:ascii="宋体" w:hAnsi="宋体" w:cs="宋体"/>
          <w:szCs w:val="21"/>
          <w:highlight w:val="none"/>
        </w:rPr>
      </w:pPr>
      <w:r>
        <w:rPr>
          <w:highlight w:val="none"/>
        </w:rPr>
        <w:t>②</w:t>
      </w:r>
      <w:r>
        <w:rPr>
          <w:rFonts w:hint="eastAsia"/>
          <w:highlight w:val="none"/>
        </w:rPr>
        <w:t>项目经理、</w:t>
      </w:r>
      <w:r>
        <w:rPr>
          <w:highlight w:val="none"/>
        </w:rPr>
        <w:t>项目技术负责人和委托代理人的</w:t>
      </w:r>
      <w:r>
        <w:rPr>
          <w:rFonts w:hint="eastAsia"/>
          <w:highlight w:val="none"/>
        </w:rPr>
        <w:t>连续养老保险</w:t>
      </w:r>
      <w:r>
        <w:rPr>
          <w:highlight w:val="none"/>
        </w:rPr>
        <w:t>证明期限</w:t>
      </w:r>
      <w:r>
        <w:rPr>
          <w:rFonts w:hint="eastAsia"/>
          <w:highlight w:val="none"/>
        </w:rPr>
        <w:t>须包含202</w:t>
      </w:r>
      <w:r>
        <w:rPr>
          <w:rFonts w:hint="eastAsia"/>
          <w:highlight w:val="none"/>
          <w:lang w:val="en-US" w:eastAsia="zh-CN"/>
        </w:rPr>
        <w:t>6</w:t>
      </w:r>
      <w:r>
        <w:rPr>
          <w:highlight w:val="none"/>
        </w:rPr>
        <w:t>年</w:t>
      </w:r>
      <w:r>
        <w:rPr>
          <w:rFonts w:hint="eastAsia"/>
          <w:highlight w:val="none"/>
          <w:lang w:val="en-US" w:eastAsia="zh-CN"/>
        </w:rPr>
        <w:t>6</w:t>
      </w:r>
      <w:r>
        <w:rPr>
          <w:highlight w:val="none"/>
        </w:rPr>
        <w:t>月至</w:t>
      </w:r>
      <w:r>
        <w:rPr>
          <w:rFonts w:hint="eastAsia"/>
          <w:highlight w:val="none"/>
        </w:rPr>
        <w:t>2026</w:t>
      </w:r>
      <w:r>
        <w:rPr>
          <w:highlight w:val="none"/>
        </w:rPr>
        <w:t>年</w:t>
      </w:r>
      <w:r>
        <w:rPr>
          <w:rFonts w:hint="eastAsia"/>
          <w:highlight w:val="none"/>
          <w:lang w:val="en-US" w:eastAsia="zh-CN"/>
        </w:rPr>
        <w:t>8</w:t>
      </w:r>
      <w:r>
        <w:rPr>
          <w:highlight w:val="none"/>
        </w:rPr>
        <w:t>月</w:t>
      </w:r>
      <w:r>
        <w:rPr>
          <w:rFonts w:hint="eastAsia"/>
          <w:highlight w:val="none"/>
        </w:rPr>
        <w:t>。养老保险证明原件必须加盖社保部门公章，提供的养老保险参保证明须体现上述人员的姓名、身份证号（或社保号）、单位名称、本单位参保时间（或起始参保时间）。</w:t>
      </w:r>
    </w:p>
    <w:p w14:paraId="76393627">
      <w:pPr>
        <w:pStyle w:val="64"/>
        <w:keepNext w:val="0"/>
        <w:keepLines w:val="0"/>
        <w:pageBreakBefore w:val="0"/>
        <w:widowControl/>
        <w:kinsoku/>
        <w:wordWrap w:val="0"/>
        <w:overflowPunct/>
        <w:bidi w:val="0"/>
        <w:spacing w:line="380" w:lineRule="exact"/>
        <w:ind w:firstLine="420" w:firstLineChars="200"/>
        <w:textAlignment w:val="auto"/>
        <w:rPr>
          <w:rFonts w:ascii="宋体" w:hAnsi="宋体" w:cs="宋体"/>
          <w:szCs w:val="21"/>
          <w:highlight w:val="none"/>
        </w:rPr>
      </w:pPr>
      <w:r>
        <w:rPr>
          <w:rFonts w:hint="eastAsia" w:ascii="宋体" w:hAnsi="宋体" w:cs="宋体"/>
          <w:szCs w:val="21"/>
          <w:highlight w:val="none"/>
        </w:rPr>
        <w:t>3.1.</w:t>
      </w:r>
      <w:r>
        <w:rPr>
          <w:rFonts w:hint="eastAsia" w:ascii="宋体" w:hAnsi="宋体" w:cs="宋体"/>
          <w:szCs w:val="21"/>
          <w:highlight w:val="none"/>
          <w:lang w:val="en-US" w:eastAsia="zh-CN"/>
        </w:rPr>
        <w:t>4</w:t>
      </w:r>
      <w:r>
        <w:rPr>
          <w:rFonts w:hint="eastAsia" w:ascii="宋体" w:hAnsi="宋体" w:cs="宋体"/>
          <w:szCs w:val="21"/>
          <w:highlight w:val="none"/>
        </w:rPr>
        <w:t>未被有关行政部门暂停投标资格，或被有关行政部门暂停投标资格期限未满，不得在近两年内申请人或其法定代表人有行贿犯罪行为和不得在国家企业信用信息公示系统“http://www.gsxt.gov.cn/index.html”列入严重违法企业失信名单。</w:t>
      </w:r>
    </w:p>
    <w:p w14:paraId="2AF43A40">
      <w:pPr>
        <w:pStyle w:val="64"/>
        <w:keepNext w:val="0"/>
        <w:keepLines w:val="0"/>
        <w:pageBreakBefore w:val="0"/>
        <w:widowControl/>
        <w:kinsoku/>
        <w:wordWrap w:val="0"/>
        <w:overflowPunct/>
        <w:bidi w:val="0"/>
        <w:spacing w:line="380" w:lineRule="exact"/>
        <w:ind w:firstLine="420" w:firstLineChars="200"/>
        <w:textAlignment w:val="auto"/>
        <w:rPr>
          <w:rFonts w:ascii="宋体" w:hAnsi="宋体" w:cs="宋体"/>
          <w:szCs w:val="21"/>
          <w:highlight w:val="none"/>
        </w:rPr>
      </w:pPr>
      <w:r>
        <w:rPr>
          <w:rFonts w:hint="eastAsia" w:ascii="宋体" w:hAnsi="宋体" w:cs="宋体"/>
          <w:szCs w:val="21"/>
          <w:highlight w:val="none"/>
        </w:rPr>
        <w:t>（申请人网上截图、并承诺无以上情形之一）</w:t>
      </w:r>
    </w:p>
    <w:p w14:paraId="19EAE725">
      <w:pPr>
        <w:pStyle w:val="64"/>
        <w:keepNext w:val="0"/>
        <w:keepLines w:val="0"/>
        <w:pageBreakBefore w:val="0"/>
        <w:widowControl/>
        <w:kinsoku/>
        <w:wordWrap w:val="0"/>
        <w:overflowPunct/>
        <w:bidi w:val="0"/>
        <w:spacing w:line="380" w:lineRule="exact"/>
        <w:ind w:firstLine="420" w:firstLineChars="200"/>
        <w:textAlignment w:val="auto"/>
        <w:rPr>
          <w:rFonts w:ascii="宋体" w:hAnsi="宋体" w:cs="宋体"/>
          <w:szCs w:val="21"/>
          <w:highlight w:val="none"/>
        </w:rPr>
      </w:pPr>
      <w:r>
        <w:rPr>
          <w:rFonts w:hint="eastAsia" w:ascii="宋体" w:hAnsi="宋体" w:cs="宋体"/>
          <w:szCs w:val="21"/>
          <w:highlight w:val="none"/>
        </w:rPr>
        <w:t>3.2 本次</w:t>
      </w:r>
      <w:r>
        <w:rPr>
          <w:rFonts w:hint="eastAsia" w:ascii="宋体" w:hAnsi="宋体" w:cs="宋体"/>
          <w:szCs w:val="21"/>
          <w:highlight w:val="none"/>
          <w:lang w:eastAsia="zh-CN"/>
        </w:rPr>
        <w:t>谈判采购</w:t>
      </w:r>
      <w:r>
        <w:rPr>
          <w:rFonts w:hint="eastAsia" w:ascii="宋体" w:hAnsi="宋体" w:cs="宋体"/>
          <w:szCs w:val="21"/>
          <w:highlight w:val="none"/>
        </w:rPr>
        <w:t>不接受联合体。</w:t>
      </w:r>
    </w:p>
    <w:p w14:paraId="196ED53E">
      <w:pPr>
        <w:pStyle w:val="64"/>
        <w:keepNext w:val="0"/>
        <w:keepLines w:val="0"/>
        <w:pageBreakBefore w:val="0"/>
        <w:widowControl/>
        <w:kinsoku/>
        <w:wordWrap w:val="0"/>
        <w:overflowPunct/>
        <w:bidi w:val="0"/>
        <w:spacing w:line="380" w:lineRule="exact"/>
        <w:ind w:firstLine="420" w:firstLineChars="200"/>
        <w:textAlignment w:val="auto"/>
        <w:rPr>
          <w:rFonts w:ascii="宋体" w:hAnsi="宋体" w:cs="宋体"/>
          <w:szCs w:val="21"/>
          <w:highlight w:val="none"/>
        </w:rPr>
      </w:pPr>
      <w:r>
        <w:rPr>
          <w:rFonts w:hint="eastAsia" w:ascii="宋体" w:hAnsi="宋体" w:cs="宋体"/>
          <w:szCs w:val="21"/>
          <w:highlight w:val="none"/>
        </w:rPr>
        <w:t>3.3本次</w:t>
      </w:r>
      <w:r>
        <w:rPr>
          <w:rFonts w:hint="eastAsia" w:ascii="宋体" w:hAnsi="宋体" w:cs="宋体"/>
          <w:szCs w:val="21"/>
          <w:highlight w:val="none"/>
          <w:lang w:eastAsia="zh-CN"/>
        </w:rPr>
        <w:t>谈判采购</w:t>
      </w:r>
      <w:r>
        <w:rPr>
          <w:rFonts w:hint="eastAsia" w:ascii="宋体" w:hAnsi="宋体" w:cs="宋体"/>
          <w:szCs w:val="21"/>
          <w:highlight w:val="none"/>
        </w:rPr>
        <w:t>不组织踏勘现场</w:t>
      </w:r>
    </w:p>
    <w:p w14:paraId="1B905B30">
      <w:pPr>
        <w:pStyle w:val="64"/>
        <w:keepNext w:val="0"/>
        <w:keepLines w:val="0"/>
        <w:pageBreakBefore w:val="0"/>
        <w:widowControl/>
        <w:kinsoku/>
        <w:wordWrap w:val="0"/>
        <w:overflowPunct/>
        <w:bidi w:val="0"/>
        <w:spacing w:line="380" w:lineRule="exact"/>
        <w:ind w:firstLine="420" w:firstLineChars="200"/>
        <w:textAlignment w:val="auto"/>
        <w:rPr>
          <w:rFonts w:ascii="宋体" w:hAnsi="宋体" w:cs="宋体"/>
          <w:szCs w:val="21"/>
          <w:highlight w:val="none"/>
        </w:rPr>
      </w:pPr>
      <w:r>
        <w:rPr>
          <w:rFonts w:hint="eastAsia" w:ascii="宋体" w:hAnsi="宋体" w:cs="宋体"/>
          <w:szCs w:val="21"/>
          <w:highlight w:val="none"/>
        </w:rPr>
        <w:t>3.4本次</w:t>
      </w:r>
      <w:r>
        <w:rPr>
          <w:rFonts w:hint="eastAsia" w:ascii="宋体" w:hAnsi="宋体" w:cs="宋体"/>
          <w:szCs w:val="21"/>
          <w:highlight w:val="none"/>
          <w:lang w:eastAsia="zh-CN"/>
        </w:rPr>
        <w:t>谈判采购</w:t>
      </w:r>
      <w:r>
        <w:rPr>
          <w:rFonts w:hint="eastAsia" w:ascii="宋体" w:hAnsi="宋体" w:cs="宋体"/>
          <w:szCs w:val="21"/>
          <w:highlight w:val="none"/>
        </w:rPr>
        <w:t>不召开报价预备会</w:t>
      </w:r>
    </w:p>
    <w:p w14:paraId="32FF9485">
      <w:pPr>
        <w:pStyle w:val="64"/>
        <w:keepNext w:val="0"/>
        <w:keepLines w:val="0"/>
        <w:pageBreakBefore w:val="0"/>
        <w:widowControl/>
        <w:kinsoku/>
        <w:wordWrap w:val="0"/>
        <w:overflowPunct/>
        <w:bidi w:val="0"/>
        <w:spacing w:line="38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3.5不允许偏离</w:t>
      </w:r>
    </w:p>
    <w:p w14:paraId="7BA8279C">
      <w:pPr>
        <w:spacing w:line="440" w:lineRule="exact"/>
        <w:jc w:val="left"/>
        <w:outlineLvl w:val="0"/>
        <w:rPr>
          <w:rFonts w:ascii="宋体" w:hAnsi="宋体"/>
          <w:b/>
          <w:snapToGrid w:val="0"/>
          <w:kern w:val="0"/>
          <w:szCs w:val="21"/>
        </w:rPr>
      </w:pPr>
      <w:r>
        <w:rPr>
          <w:rFonts w:hint="eastAsia" w:ascii="宋体" w:hAnsi="宋体"/>
          <w:b/>
          <w:snapToGrid w:val="0"/>
          <w:kern w:val="0"/>
          <w:szCs w:val="21"/>
        </w:rPr>
        <w:t xml:space="preserve">4. </w:t>
      </w:r>
      <w:bookmarkEnd w:id="32"/>
      <w:bookmarkEnd w:id="33"/>
      <w:bookmarkEnd w:id="34"/>
      <w:bookmarkEnd w:id="35"/>
      <w:bookmarkEnd w:id="36"/>
      <w:bookmarkEnd w:id="37"/>
      <w:bookmarkEnd w:id="38"/>
      <w:bookmarkEnd w:id="39"/>
      <w:bookmarkEnd w:id="40"/>
      <w:bookmarkEnd w:id="41"/>
      <w:r>
        <w:rPr>
          <w:rFonts w:hint="eastAsia" w:ascii="宋体" w:hAnsi="宋体"/>
          <w:b/>
          <w:snapToGrid w:val="0"/>
          <w:kern w:val="0"/>
          <w:szCs w:val="21"/>
        </w:rPr>
        <w:t>谈判采购规则</w:t>
      </w:r>
    </w:p>
    <w:p w14:paraId="6ACFDAFD">
      <w:pPr>
        <w:pStyle w:val="64"/>
        <w:keepNext w:val="0"/>
        <w:keepLines w:val="0"/>
        <w:pageBreakBefore w:val="0"/>
        <w:widowControl/>
        <w:kinsoku/>
        <w:wordWrap w:val="0"/>
        <w:overflowPunct/>
        <w:bidi w:val="0"/>
        <w:spacing w:line="380" w:lineRule="exact"/>
        <w:ind w:firstLine="420" w:firstLineChars="200"/>
        <w:textAlignment w:val="auto"/>
        <w:rPr>
          <w:rFonts w:hint="eastAsia" w:ascii="宋体" w:hAnsi="宋体" w:eastAsia="宋体" w:cs="宋体"/>
          <w:szCs w:val="21"/>
          <w:highlight w:val="none"/>
        </w:rPr>
      </w:pPr>
      <w:bookmarkStart w:id="42" w:name="_Toc19904"/>
      <w:bookmarkStart w:id="43" w:name="_Toc22256"/>
      <w:bookmarkStart w:id="44" w:name="_Toc23380"/>
      <w:bookmarkStart w:id="45" w:name="_Toc7273"/>
      <w:bookmarkStart w:id="46" w:name="_Toc27438"/>
      <w:bookmarkStart w:id="47" w:name="_Toc19404"/>
      <w:bookmarkStart w:id="48" w:name="_Toc1277"/>
      <w:bookmarkStart w:id="49" w:name="_Toc11777"/>
      <w:bookmarkStart w:id="50" w:name="_Toc5540"/>
      <w:bookmarkStart w:id="51" w:name="_Toc14186"/>
      <w:r>
        <w:rPr>
          <w:rFonts w:hint="eastAsia" w:ascii="宋体" w:hAnsi="宋体" w:eastAsia="宋体" w:cs="宋体"/>
          <w:szCs w:val="21"/>
          <w:highlight w:val="none"/>
        </w:rPr>
        <w:t>4.1</w:t>
      </w:r>
      <w:r>
        <w:rPr>
          <w:rFonts w:hint="eastAsia" w:ascii="宋体" w:hAnsi="宋体" w:eastAsia="宋体" w:cs="宋体"/>
          <w:szCs w:val="21"/>
          <w:highlight w:val="none"/>
          <w:lang w:eastAsia="zh-CN"/>
        </w:rPr>
        <w:t>谈判文件</w:t>
      </w:r>
      <w:r>
        <w:rPr>
          <w:rFonts w:hint="eastAsia" w:ascii="宋体" w:hAnsi="宋体" w:eastAsia="宋体" w:cs="宋体"/>
          <w:szCs w:val="21"/>
          <w:highlight w:val="none"/>
        </w:rPr>
        <w:t>要求密封，并加盖</w:t>
      </w:r>
      <w:r>
        <w:rPr>
          <w:rFonts w:hint="eastAsia" w:ascii="宋体" w:hAnsi="宋体" w:eastAsia="宋体" w:cs="宋体"/>
          <w:szCs w:val="21"/>
          <w:highlight w:val="none"/>
          <w:lang w:eastAsia="zh-CN"/>
        </w:rPr>
        <w:t>报价人</w:t>
      </w:r>
      <w:r>
        <w:rPr>
          <w:rFonts w:hint="eastAsia" w:ascii="宋体" w:hAnsi="宋体" w:eastAsia="宋体" w:cs="宋体"/>
          <w:szCs w:val="21"/>
          <w:highlight w:val="none"/>
        </w:rPr>
        <w:t>单位公章。</w:t>
      </w:r>
    </w:p>
    <w:p w14:paraId="417197D4">
      <w:pPr>
        <w:pStyle w:val="64"/>
        <w:keepNext w:val="0"/>
        <w:keepLines w:val="0"/>
        <w:pageBreakBefore w:val="0"/>
        <w:widowControl/>
        <w:kinsoku/>
        <w:wordWrap w:val="0"/>
        <w:overflowPunct/>
        <w:bidi w:val="0"/>
        <w:spacing w:line="38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4.2</w:t>
      </w:r>
      <w:r>
        <w:rPr>
          <w:rFonts w:hint="eastAsia" w:ascii="宋体" w:hAnsi="宋体" w:eastAsia="宋体" w:cs="宋体"/>
          <w:szCs w:val="21"/>
          <w:highlight w:val="none"/>
          <w:lang w:eastAsia="zh-CN"/>
        </w:rPr>
        <w:t>报价人</w:t>
      </w:r>
      <w:r>
        <w:rPr>
          <w:rFonts w:hint="eastAsia" w:ascii="宋体" w:hAnsi="宋体" w:eastAsia="宋体" w:cs="宋体"/>
          <w:szCs w:val="21"/>
          <w:highlight w:val="none"/>
        </w:rPr>
        <w:t>应根据自身实力和对</w:t>
      </w:r>
      <w:r>
        <w:rPr>
          <w:rFonts w:hint="eastAsia" w:ascii="宋体" w:hAnsi="宋体" w:eastAsia="宋体" w:cs="宋体"/>
          <w:szCs w:val="21"/>
          <w:highlight w:val="none"/>
          <w:lang w:eastAsia="zh-CN"/>
        </w:rPr>
        <w:t>谈判采购文件</w:t>
      </w:r>
      <w:r>
        <w:rPr>
          <w:rFonts w:hint="eastAsia" w:ascii="宋体" w:hAnsi="宋体" w:eastAsia="宋体" w:cs="宋体"/>
          <w:szCs w:val="21"/>
          <w:highlight w:val="none"/>
        </w:rPr>
        <w:t>技术参数的理解，结合市场行情自主报价。</w:t>
      </w:r>
    </w:p>
    <w:p w14:paraId="59291591">
      <w:pPr>
        <w:pStyle w:val="64"/>
        <w:keepNext w:val="0"/>
        <w:keepLines w:val="0"/>
        <w:pageBreakBefore w:val="0"/>
        <w:widowControl/>
        <w:kinsoku/>
        <w:wordWrap w:val="0"/>
        <w:overflowPunct/>
        <w:bidi w:val="0"/>
        <w:spacing w:line="38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4.3</w:t>
      </w:r>
      <w:r>
        <w:rPr>
          <w:rFonts w:hint="eastAsia" w:ascii="宋体" w:hAnsi="宋体" w:eastAsia="宋体" w:cs="宋体"/>
          <w:szCs w:val="21"/>
          <w:highlight w:val="none"/>
          <w:lang w:val="en-US" w:eastAsia="zh-CN"/>
        </w:rPr>
        <w:t>谈判报价</w:t>
      </w:r>
      <w:r>
        <w:rPr>
          <w:rFonts w:hint="eastAsia" w:ascii="宋体" w:hAnsi="宋体" w:eastAsia="宋体" w:cs="宋体"/>
          <w:szCs w:val="21"/>
          <w:highlight w:val="none"/>
        </w:rPr>
        <w:t>货币为人民币(RMB)，应包含备件款、税金、运费、保险费、管理费等一切费用。</w:t>
      </w:r>
    </w:p>
    <w:p w14:paraId="4EBB7BB8">
      <w:pPr>
        <w:pStyle w:val="64"/>
        <w:keepNext w:val="0"/>
        <w:keepLines w:val="0"/>
        <w:pageBreakBefore w:val="0"/>
        <w:widowControl/>
        <w:kinsoku/>
        <w:wordWrap w:val="0"/>
        <w:overflowPunct/>
        <w:bidi w:val="0"/>
        <w:spacing w:line="38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4.4</w:t>
      </w:r>
      <w:r>
        <w:rPr>
          <w:rFonts w:hint="eastAsia" w:ascii="宋体" w:hAnsi="宋体" w:eastAsia="宋体" w:cs="宋体"/>
          <w:szCs w:val="21"/>
          <w:highlight w:val="none"/>
          <w:lang w:eastAsia="zh-CN"/>
        </w:rPr>
        <w:t>谈判采购</w:t>
      </w:r>
      <w:r>
        <w:rPr>
          <w:rFonts w:hint="eastAsia" w:ascii="宋体" w:hAnsi="宋体" w:eastAsia="宋体" w:cs="宋体"/>
          <w:szCs w:val="21"/>
          <w:highlight w:val="none"/>
        </w:rPr>
        <w:t>资料包括但不限于：</w:t>
      </w:r>
      <w:r>
        <w:rPr>
          <w:rFonts w:hint="eastAsia" w:ascii="宋体" w:hAnsi="宋体" w:eastAsia="宋体" w:cs="宋体"/>
          <w:szCs w:val="21"/>
          <w:highlight w:val="none"/>
          <w:lang w:eastAsia="zh-CN"/>
        </w:rPr>
        <w:t>谈判采购</w:t>
      </w:r>
      <w:r>
        <w:rPr>
          <w:rFonts w:hint="eastAsia" w:ascii="宋体" w:hAnsi="宋体" w:eastAsia="宋体" w:cs="宋体"/>
          <w:szCs w:val="21"/>
          <w:highlight w:val="none"/>
        </w:rPr>
        <w:t>报价函、营业执照、法人委托书。</w:t>
      </w:r>
    </w:p>
    <w:p w14:paraId="36FC0E3B">
      <w:pPr>
        <w:pStyle w:val="64"/>
        <w:keepNext w:val="0"/>
        <w:keepLines w:val="0"/>
        <w:pageBreakBefore w:val="0"/>
        <w:widowControl/>
        <w:kinsoku/>
        <w:wordWrap w:val="0"/>
        <w:overflowPunct/>
        <w:bidi w:val="0"/>
        <w:spacing w:line="38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4.5</w:t>
      </w:r>
      <w:r>
        <w:rPr>
          <w:rFonts w:hint="eastAsia" w:ascii="宋体" w:hAnsi="宋体" w:eastAsia="宋体" w:cs="宋体"/>
          <w:szCs w:val="21"/>
          <w:highlight w:val="none"/>
          <w:lang w:val="en-US" w:eastAsia="zh-CN"/>
        </w:rPr>
        <w:t>谈判文件</w:t>
      </w:r>
      <w:r>
        <w:rPr>
          <w:rFonts w:hint="eastAsia" w:ascii="宋体" w:hAnsi="宋体" w:eastAsia="宋体" w:cs="宋体"/>
          <w:szCs w:val="21"/>
          <w:highlight w:val="none"/>
        </w:rPr>
        <w:t>附件电子表格顺序和项目不能颠倒顺序及删减，不按照要求报价采购方可以做否决处理。</w:t>
      </w:r>
    </w:p>
    <w:p w14:paraId="0FFB8283">
      <w:pPr>
        <w:pStyle w:val="64"/>
        <w:keepNext w:val="0"/>
        <w:keepLines w:val="0"/>
        <w:pageBreakBefore w:val="0"/>
        <w:widowControl/>
        <w:kinsoku/>
        <w:wordWrap w:val="0"/>
        <w:overflowPunct/>
        <w:bidi w:val="0"/>
        <w:spacing w:line="38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4.6报价说明：</w:t>
      </w:r>
    </w:p>
    <w:p w14:paraId="54A06F0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lang w:val="en-US" w:eastAsia="zh-CN"/>
        </w:rPr>
        <w:t>4.6.</w:t>
      </w:r>
      <w:r>
        <w:rPr>
          <w:rFonts w:hint="eastAsia" w:ascii="宋体" w:hAnsi="宋体" w:cs="宋体"/>
          <w:color w:val="333333"/>
          <w:kern w:val="0"/>
          <w:szCs w:val="21"/>
          <w:highlight w:val="none"/>
          <w:shd w:val="clear" w:color="auto" w:fill="FFFFFF"/>
        </w:rPr>
        <w:t>1报价范围：本次采购范围内规定的所有工程内容，具体详见相关工程量清单。</w:t>
      </w:r>
    </w:p>
    <w:p w14:paraId="2C19EE16">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lang w:val="en-US" w:eastAsia="zh-CN"/>
        </w:rPr>
        <w:t>4.6.2</w:t>
      </w:r>
      <w:r>
        <w:rPr>
          <w:rFonts w:hint="eastAsia" w:ascii="宋体" w:hAnsi="宋体" w:cs="宋体"/>
          <w:color w:val="333333"/>
          <w:kern w:val="0"/>
          <w:szCs w:val="21"/>
          <w:highlight w:val="none"/>
          <w:shd w:val="clear" w:color="auto" w:fill="FFFFFF"/>
          <w:lang w:eastAsia="zh-CN"/>
        </w:rPr>
        <w:t>谈判报价</w:t>
      </w:r>
      <w:r>
        <w:rPr>
          <w:rFonts w:hint="eastAsia" w:ascii="宋体" w:hAnsi="宋体" w:cs="宋体"/>
          <w:color w:val="333333"/>
          <w:kern w:val="0"/>
          <w:szCs w:val="21"/>
          <w:highlight w:val="none"/>
          <w:shd w:val="clear" w:color="auto" w:fill="FFFFFF"/>
        </w:rPr>
        <w:t>编制依据：《建设工程工程量清单计价规范》（GB50500—2013）、《重庆市建设工程工程量清单计价规则》（CQJJGZ-2013）、《重庆市建设工程工程量计算规则》CQJLGZ-2013、《重庆市住房和城乡建设委员会关于适用增值税新税率调整建设工程计价依据的通知》（渝建〔2019〕143号）、2018年的重庆市相关定额以及配套文件、国家及地方的技术标准、规范及规程等。</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结合本企业的经营情况、自身实力、现场踏勘所获取的相关信息资料和企业发展策略以及市场行情和</w:t>
      </w:r>
      <w:r>
        <w:rPr>
          <w:rFonts w:hint="eastAsia" w:ascii="宋体" w:hAnsi="宋体" w:cs="宋体"/>
          <w:color w:val="333333"/>
          <w:kern w:val="0"/>
          <w:szCs w:val="21"/>
          <w:highlight w:val="none"/>
          <w:shd w:val="clear" w:color="auto" w:fill="FFFFFF"/>
          <w:lang w:eastAsia="zh-CN"/>
        </w:rPr>
        <w:t>谈判采购文件</w:t>
      </w:r>
      <w:r>
        <w:rPr>
          <w:rFonts w:hint="eastAsia" w:ascii="宋体" w:hAnsi="宋体" w:cs="宋体"/>
          <w:color w:val="333333"/>
          <w:kern w:val="0"/>
          <w:szCs w:val="21"/>
          <w:highlight w:val="none"/>
          <w:shd w:val="clear" w:color="auto" w:fill="FFFFFF"/>
        </w:rPr>
        <w:t>对工程质量、工期的要求自主进行报价。</w:t>
      </w:r>
    </w:p>
    <w:p w14:paraId="5BDDDF5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lang w:val="en-US" w:eastAsia="zh-CN"/>
        </w:rPr>
        <w:t>4.6.3</w:t>
      </w:r>
      <w:r>
        <w:rPr>
          <w:rFonts w:hint="eastAsia" w:ascii="宋体" w:hAnsi="宋体" w:cs="宋体"/>
          <w:color w:val="333333"/>
          <w:kern w:val="0"/>
          <w:szCs w:val="21"/>
          <w:highlight w:val="none"/>
          <w:shd w:val="clear" w:color="auto" w:fill="FFFFFF"/>
        </w:rPr>
        <w:t>编制说明：</w:t>
      </w:r>
    </w:p>
    <w:p w14:paraId="1C39F77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i.本工程量清单中的“项目特征”及“工程内容”描述不作为</w:t>
      </w:r>
      <w:r>
        <w:rPr>
          <w:rFonts w:hint="eastAsia" w:ascii="宋体" w:hAnsi="宋体" w:cs="宋体"/>
          <w:color w:val="333333"/>
          <w:kern w:val="0"/>
          <w:szCs w:val="21"/>
          <w:highlight w:val="none"/>
          <w:shd w:val="clear" w:color="auto" w:fill="FFFFFF"/>
          <w:lang w:eastAsia="zh-CN"/>
        </w:rPr>
        <w:t>谈判报价</w:t>
      </w:r>
      <w:r>
        <w:rPr>
          <w:rFonts w:hint="eastAsia" w:ascii="宋体" w:hAnsi="宋体" w:cs="宋体"/>
          <w:color w:val="333333"/>
          <w:kern w:val="0"/>
          <w:szCs w:val="21"/>
          <w:highlight w:val="none"/>
          <w:shd w:val="clear" w:color="auto" w:fill="FFFFFF"/>
        </w:rPr>
        <w:t>的唯一依据，</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应根据分部分项工程项目清单计价表中“项目特征”及“工程内容”的描述结合</w:t>
      </w:r>
      <w:r>
        <w:rPr>
          <w:rFonts w:hint="eastAsia" w:ascii="宋体" w:hAnsi="宋体" w:cs="宋体"/>
          <w:color w:val="333333"/>
          <w:kern w:val="0"/>
          <w:szCs w:val="21"/>
          <w:highlight w:val="none"/>
          <w:shd w:val="clear" w:color="auto" w:fill="FFFFFF"/>
          <w:lang w:eastAsia="zh-CN"/>
        </w:rPr>
        <w:t>谈判采购文件</w:t>
      </w:r>
      <w:r>
        <w:rPr>
          <w:rFonts w:hint="eastAsia" w:ascii="宋体" w:hAnsi="宋体" w:cs="宋体"/>
          <w:color w:val="333333"/>
          <w:kern w:val="0"/>
          <w:szCs w:val="21"/>
          <w:highlight w:val="none"/>
          <w:shd w:val="clear" w:color="auto" w:fill="FFFFFF"/>
        </w:rPr>
        <w:t>、工程量清单、相关规范和对现场的勘察情况等确定报价。不论其对应的项目特征是否描述完整，都将被认为已包括《建设工程工程量清单计价规范》（GB50500-2013）、《重庆市建设工程工程量清单计价规则》（CQJJGZ-2013）、《重庆市建设工程工程量计算规则》CQJLGZ-2013中相应项目编码和项目名称及相关规范、标准、政策性文件、规定、限制和禁止使用通告等所有工程内容及完成此工作内容而必须的各种主要、辅助工作</w:t>
      </w:r>
    </w:p>
    <w:p w14:paraId="06C30287">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ii.除非合同中另有规定，</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在分部分项工程项目清单计价表中所报的综合单价和合价，以及</w:t>
      </w:r>
      <w:r>
        <w:rPr>
          <w:rFonts w:hint="eastAsia" w:ascii="宋体" w:hAnsi="宋体" w:cs="宋体"/>
          <w:color w:val="333333"/>
          <w:kern w:val="0"/>
          <w:szCs w:val="21"/>
          <w:highlight w:val="none"/>
          <w:shd w:val="clear" w:color="auto" w:fill="FFFFFF"/>
          <w:lang w:eastAsia="zh-CN"/>
        </w:rPr>
        <w:t>谈判总报价</w:t>
      </w:r>
      <w:r>
        <w:rPr>
          <w:rFonts w:hint="eastAsia" w:ascii="宋体" w:hAnsi="宋体" w:cs="宋体"/>
          <w:color w:val="333333"/>
          <w:kern w:val="0"/>
          <w:szCs w:val="21"/>
          <w:highlight w:val="none"/>
          <w:shd w:val="clear" w:color="auto" w:fill="FFFFFF"/>
        </w:rPr>
        <w:t>均包括了</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为实施和完成该工程采购范围所确定的全部工程内容所需的直接费、间接费、管理费、工伤保险费、利润、税金（含销项税额）、措施费、配合费、大型机械进出场费、排污费、二次或多次转运费、安全文明施工费、建设工程竣工档案编制费、风险费、规费、政策性文件规定费用等所有与本工程建设相关的费用，以及施工合同明示或暗示的所有责任、义务和风险。</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的</w:t>
      </w:r>
      <w:r>
        <w:rPr>
          <w:rFonts w:hint="eastAsia" w:ascii="宋体" w:hAnsi="宋体" w:cs="宋体"/>
          <w:color w:val="333333"/>
          <w:kern w:val="0"/>
          <w:szCs w:val="21"/>
          <w:highlight w:val="none"/>
          <w:shd w:val="clear" w:color="auto" w:fill="FFFFFF"/>
          <w:lang w:eastAsia="zh-CN"/>
        </w:rPr>
        <w:t>谈判报价</w:t>
      </w:r>
      <w:r>
        <w:rPr>
          <w:rFonts w:hint="eastAsia" w:ascii="宋体" w:hAnsi="宋体" w:cs="宋体"/>
          <w:color w:val="333333"/>
          <w:kern w:val="0"/>
          <w:szCs w:val="21"/>
          <w:highlight w:val="none"/>
          <w:shd w:val="clear" w:color="auto" w:fill="FFFFFF"/>
        </w:rPr>
        <w:t>视为是一个有经验的</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，在对工程充分了解及对风险充分估计后所作的完备报价。</w:t>
      </w:r>
    </w:p>
    <w:p w14:paraId="3707DD26">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iii.工程量清单所列的工程量系估算的和暂定的数量，仅作为</w:t>
      </w:r>
      <w:r>
        <w:rPr>
          <w:rFonts w:hint="eastAsia" w:ascii="宋体" w:hAnsi="宋体" w:cs="宋体"/>
          <w:color w:val="333333"/>
          <w:kern w:val="0"/>
          <w:szCs w:val="21"/>
          <w:highlight w:val="none"/>
          <w:shd w:val="clear" w:color="auto" w:fill="FFFFFF"/>
          <w:lang w:eastAsia="zh-CN"/>
        </w:rPr>
        <w:t>谈判报价</w:t>
      </w:r>
      <w:r>
        <w:rPr>
          <w:rFonts w:hint="eastAsia" w:ascii="宋体" w:hAnsi="宋体" w:cs="宋体"/>
          <w:color w:val="333333"/>
          <w:kern w:val="0"/>
          <w:szCs w:val="21"/>
          <w:highlight w:val="none"/>
          <w:shd w:val="clear" w:color="auto" w:fill="FFFFFF"/>
        </w:rPr>
        <w:t>的共同基础。付款以实际完成的合格工程量为依据。由成交人计量，采购人核实的实际完成工程量，按具有标价的工程量清单中所报的综合单价结算和支付。</w:t>
      </w:r>
    </w:p>
    <w:p w14:paraId="7602B92B">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iv.</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在编制</w:t>
      </w:r>
      <w:r>
        <w:rPr>
          <w:rFonts w:hint="eastAsia" w:ascii="宋体" w:hAnsi="宋体" w:cs="宋体"/>
          <w:color w:val="333333"/>
          <w:kern w:val="0"/>
          <w:szCs w:val="21"/>
          <w:highlight w:val="none"/>
          <w:shd w:val="clear" w:color="auto" w:fill="FFFFFF"/>
          <w:lang w:eastAsia="zh-CN"/>
        </w:rPr>
        <w:t>谈判报价</w:t>
      </w:r>
      <w:r>
        <w:rPr>
          <w:rFonts w:hint="eastAsia" w:ascii="宋体" w:hAnsi="宋体" w:cs="宋体"/>
          <w:color w:val="333333"/>
          <w:kern w:val="0"/>
          <w:szCs w:val="21"/>
          <w:highlight w:val="none"/>
          <w:shd w:val="clear" w:color="auto" w:fill="FFFFFF"/>
        </w:rPr>
        <w:t>时不得改变采购人提供的分部分项工程项目清单中的项目编码、项目名称、项目特征、工程内容、计量单位、工程量，否则其</w:t>
      </w:r>
      <w:r>
        <w:rPr>
          <w:rFonts w:hint="eastAsia" w:ascii="宋体" w:hAnsi="宋体" w:cs="宋体"/>
          <w:color w:val="333333"/>
          <w:kern w:val="0"/>
          <w:szCs w:val="21"/>
          <w:highlight w:val="none"/>
          <w:shd w:val="clear" w:color="auto" w:fill="FFFFFF"/>
          <w:lang w:eastAsia="zh-CN"/>
        </w:rPr>
        <w:t>谈判文件</w:t>
      </w:r>
      <w:r>
        <w:rPr>
          <w:rFonts w:hint="eastAsia" w:ascii="宋体" w:hAnsi="宋体" w:cs="宋体"/>
          <w:color w:val="333333"/>
          <w:kern w:val="0"/>
          <w:szCs w:val="21"/>
          <w:highlight w:val="none"/>
          <w:shd w:val="clear" w:color="auto" w:fill="FFFFFF"/>
        </w:rPr>
        <w:t>按否决报价处理。</w:t>
      </w:r>
    </w:p>
    <w:p w14:paraId="7B00756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v.除非</w:t>
      </w:r>
      <w:r>
        <w:rPr>
          <w:rFonts w:hint="eastAsia" w:ascii="宋体" w:hAnsi="宋体" w:cs="宋体"/>
          <w:color w:val="333333"/>
          <w:kern w:val="0"/>
          <w:szCs w:val="21"/>
          <w:highlight w:val="none"/>
          <w:shd w:val="clear" w:color="auto" w:fill="FFFFFF"/>
          <w:lang w:eastAsia="zh-CN"/>
        </w:rPr>
        <w:t>谈判采购文件</w:t>
      </w:r>
      <w:r>
        <w:rPr>
          <w:rFonts w:hint="eastAsia" w:ascii="宋体" w:hAnsi="宋体" w:cs="宋体"/>
          <w:color w:val="333333"/>
          <w:kern w:val="0"/>
          <w:szCs w:val="21"/>
          <w:highlight w:val="none"/>
          <w:shd w:val="clear" w:color="auto" w:fill="FFFFFF"/>
        </w:rPr>
        <w:t>予以修改，</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应按采购人提供的工程量清单填报《分部分项工程项目清单计价表》；填报《分部分项工程项目清单计价表》时，工程项目和工程量应逐项填报单价和合价，《分部分项工程项目清单计价表》中若有不报价或零报价或负报价的，</w:t>
      </w:r>
      <w:r>
        <w:rPr>
          <w:rFonts w:hint="eastAsia" w:ascii="宋体" w:hAnsi="宋体" w:cs="宋体"/>
          <w:color w:val="333333"/>
          <w:kern w:val="0"/>
          <w:szCs w:val="21"/>
          <w:highlight w:val="none"/>
          <w:shd w:val="clear" w:color="auto" w:fill="FFFFFF"/>
          <w:lang w:eastAsia="zh-CN"/>
        </w:rPr>
        <w:t>谈判文件</w:t>
      </w:r>
      <w:r>
        <w:rPr>
          <w:rFonts w:hint="eastAsia" w:ascii="宋体" w:hAnsi="宋体" w:cs="宋体"/>
          <w:color w:val="333333"/>
          <w:kern w:val="0"/>
          <w:szCs w:val="21"/>
          <w:highlight w:val="none"/>
          <w:shd w:val="clear" w:color="auto" w:fill="FFFFFF"/>
        </w:rPr>
        <w:t>按否决报价处理。每一个项目只允许有一个报价，</w:t>
      </w:r>
      <w:r>
        <w:rPr>
          <w:rFonts w:hint="eastAsia" w:ascii="宋体" w:hAnsi="宋体" w:cs="宋体"/>
          <w:color w:val="333333"/>
          <w:kern w:val="0"/>
          <w:szCs w:val="21"/>
          <w:highlight w:val="none"/>
          <w:shd w:val="clear" w:color="auto" w:fill="FFFFFF"/>
          <w:lang w:eastAsia="zh-CN"/>
        </w:rPr>
        <w:t>谈判文件</w:t>
      </w:r>
      <w:r>
        <w:rPr>
          <w:rFonts w:hint="eastAsia" w:ascii="宋体" w:hAnsi="宋体" w:cs="宋体"/>
          <w:color w:val="333333"/>
          <w:kern w:val="0"/>
          <w:szCs w:val="21"/>
          <w:highlight w:val="none"/>
          <w:shd w:val="clear" w:color="auto" w:fill="FFFFFF"/>
        </w:rPr>
        <w:t>中任何有选择的报价将不予接受。</w:t>
      </w:r>
    </w:p>
    <w:p w14:paraId="179987EB">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vi.除非合同中另有规定，</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的</w:t>
      </w:r>
      <w:r>
        <w:rPr>
          <w:rFonts w:hint="eastAsia" w:ascii="宋体" w:hAnsi="宋体" w:cs="宋体"/>
          <w:color w:val="333333"/>
          <w:kern w:val="0"/>
          <w:szCs w:val="21"/>
          <w:highlight w:val="none"/>
          <w:shd w:val="clear" w:color="auto" w:fill="FFFFFF"/>
          <w:lang w:eastAsia="zh-CN"/>
        </w:rPr>
        <w:t>谈判总报价</w:t>
      </w:r>
      <w:r>
        <w:rPr>
          <w:rFonts w:hint="eastAsia" w:ascii="宋体" w:hAnsi="宋体" w:cs="宋体"/>
          <w:color w:val="333333"/>
          <w:kern w:val="0"/>
          <w:szCs w:val="21"/>
          <w:highlight w:val="none"/>
          <w:shd w:val="clear" w:color="auto" w:fill="FFFFFF"/>
        </w:rPr>
        <w:t>均包括完成该合同工程项目的全部费用，在工程实施时，必须按工程量清单中的项、量和监理工程师指令完成该项目工程内容。</w:t>
      </w:r>
    </w:p>
    <w:p w14:paraId="4C5D927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vii.</w:t>
      </w:r>
      <w:r>
        <w:rPr>
          <w:rFonts w:hint="eastAsia" w:ascii="宋体" w:hAnsi="宋体" w:cs="宋体"/>
          <w:color w:val="333333"/>
          <w:kern w:val="0"/>
          <w:szCs w:val="21"/>
          <w:highlight w:val="none"/>
          <w:shd w:val="clear" w:color="auto" w:fill="FFFFFF"/>
          <w:lang w:eastAsia="zh-CN"/>
        </w:rPr>
        <w:t>谈判总报价</w:t>
      </w:r>
      <w:r>
        <w:rPr>
          <w:rFonts w:hint="eastAsia" w:ascii="宋体" w:hAnsi="宋体" w:cs="宋体"/>
          <w:color w:val="333333"/>
          <w:kern w:val="0"/>
          <w:szCs w:val="21"/>
          <w:highlight w:val="none"/>
          <w:shd w:val="clear" w:color="auto" w:fill="FFFFFF"/>
        </w:rPr>
        <w:t>为</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在</w:t>
      </w:r>
      <w:r>
        <w:rPr>
          <w:rFonts w:hint="eastAsia" w:ascii="宋体" w:hAnsi="宋体" w:cs="宋体"/>
          <w:color w:val="333333"/>
          <w:kern w:val="0"/>
          <w:szCs w:val="21"/>
          <w:highlight w:val="none"/>
          <w:shd w:val="clear" w:color="auto" w:fill="FFFFFF"/>
          <w:lang w:eastAsia="zh-CN"/>
        </w:rPr>
        <w:t>谈判文件</w:t>
      </w:r>
      <w:r>
        <w:rPr>
          <w:rFonts w:hint="eastAsia" w:ascii="宋体" w:hAnsi="宋体" w:cs="宋体"/>
          <w:color w:val="333333"/>
          <w:kern w:val="0"/>
          <w:szCs w:val="21"/>
          <w:highlight w:val="none"/>
          <w:shd w:val="clear" w:color="auto" w:fill="FFFFFF"/>
        </w:rPr>
        <w:t>中提出的各项支付金额的总和。分部分项工程项目清单中所列的工程量仅是提供</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作为报价的基础，报价函上的报价必须与商务部分所对应的报价一致，否则其</w:t>
      </w:r>
      <w:r>
        <w:rPr>
          <w:rFonts w:hint="eastAsia" w:ascii="宋体" w:hAnsi="宋体" w:cs="宋体"/>
          <w:color w:val="333333"/>
          <w:kern w:val="0"/>
          <w:szCs w:val="21"/>
          <w:highlight w:val="none"/>
          <w:shd w:val="clear" w:color="auto" w:fill="FFFFFF"/>
          <w:lang w:eastAsia="zh-CN"/>
        </w:rPr>
        <w:t>谈判文件</w:t>
      </w:r>
      <w:r>
        <w:rPr>
          <w:rFonts w:hint="eastAsia" w:ascii="宋体" w:hAnsi="宋体" w:cs="宋体"/>
          <w:color w:val="333333"/>
          <w:kern w:val="0"/>
          <w:szCs w:val="21"/>
          <w:highlight w:val="none"/>
          <w:shd w:val="clear" w:color="auto" w:fill="FFFFFF"/>
        </w:rPr>
        <w:t>按否决报价处理。</w:t>
      </w:r>
    </w:p>
    <w:p w14:paraId="365F4316">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viii.措施项目费清单包括施工组织措施项目清单和施工技术措施项目清单两部分。①施工组织措施项目清单：采购人给出的施工组织措施项目清单仅供</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参考，</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在</w:t>
      </w:r>
      <w:r>
        <w:rPr>
          <w:rFonts w:hint="eastAsia" w:ascii="宋体" w:hAnsi="宋体" w:cs="宋体"/>
          <w:color w:val="333333"/>
          <w:kern w:val="0"/>
          <w:szCs w:val="21"/>
          <w:highlight w:val="none"/>
          <w:shd w:val="clear" w:color="auto" w:fill="FFFFFF"/>
          <w:lang w:eastAsia="zh-CN"/>
        </w:rPr>
        <w:t>谈判报价</w:t>
      </w:r>
      <w:r>
        <w:rPr>
          <w:rFonts w:hint="eastAsia" w:ascii="宋体" w:hAnsi="宋体" w:cs="宋体"/>
          <w:color w:val="333333"/>
          <w:kern w:val="0"/>
          <w:szCs w:val="21"/>
          <w:highlight w:val="none"/>
          <w:shd w:val="clear" w:color="auto" w:fill="FFFFFF"/>
        </w:rPr>
        <w:t>时可参照采购人给出的施工组织措施项目清单并结合本工程的实际情况和国家及重庆市相关管理规定自行增减项目，并进行报价。如果漏项或不报价，视为已包含在其他项目清单综合单价内。②施工技术措施项目清单:技术措施清单中以项计列的项目，由</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根据现场踏勘情况及本工程的实际情况结合自身施工组织设计，以项为单位自行报价。技术措施清单中以项目编码、项目名称、项目特征、工程内容、工程量及计量单位列项的项目，</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必须按采购人给出的施工技术措施项目清单进行报价，不得擅自变改采购人提供的施工技术措施项目清单中的序号、项目编码、项目名称、项目特征、工程内容、工程量及计量单位，否则视为对</w:t>
      </w:r>
      <w:r>
        <w:rPr>
          <w:rFonts w:hint="eastAsia" w:ascii="宋体" w:hAnsi="宋体" w:cs="宋体"/>
          <w:color w:val="333333"/>
          <w:kern w:val="0"/>
          <w:szCs w:val="21"/>
          <w:highlight w:val="none"/>
          <w:shd w:val="clear" w:color="auto" w:fill="FFFFFF"/>
          <w:lang w:eastAsia="zh-CN"/>
        </w:rPr>
        <w:t>谈判采购文件</w:t>
      </w:r>
      <w:r>
        <w:rPr>
          <w:rFonts w:hint="eastAsia" w:ascii="宋体" w:hAnsi="宋体" w:cs="宋体"/>
          <w:color w:val="333333"/>
          <w:kern w:val="0"/>
          <w:szCs w:val="21"/>
          <w:highlight w:val="none"/>
          <w:shd w:val="clear" w:color="auto" w:fill="FFFFFF"/>
        </w:rPr>
        <w:t>不作实质性响应，其</w:t>
      </w:r>
      <w:r>
        <w:rPr>
          <w:rFonts w:hint="eastAsia" w:ascii="宋体" w:hAnsi="宋体" w:cs="宋体"/>
          <w:color w:val="333333"/>
          <w:kern w:val="0"/>
          <w:szCs w:val="21"/>
          <w:highlight w:val="none"/>
          <w:shd w:val="clear" w:color="auto" w:fill="FFFFFF"/>
          <w:lang w:eastAsia="zh-CN"/>
        </w:rPr>
        <w:t>谈判文件</w:t>
      </w:r>
      <w:r>
        <w:rPr>
          <w:rFonts w:hint="eastAsia" w:ascii="宋体" w:hAnsi="宋体" w:cs="宋体"/>
          <w:color w:val="333333"/>
          <w:kern w:val="0"/>
          <w:szCs w:val="21"/>
          <w:highlight w:val="none"/>
          <w:shd w:val="clear" w:color="auto" w:fill="FFFFFF"/>
        </w:rPr>
        <w:t>按否决报价处理。但</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可根据本工程的实际情况增加技术措施项目（增加项目均以“项”报价）并进行报价。如果漏项或不报价，视为已包含在其他项目清单综合单价内，结算时不作调整。成交后不论何种因素影响，相应的综合单价不作调整，工程量按《建设工程工程量清单计价规范》（GB50500-2013）规定的计量规则及工程量清单说明按实计量。</w:t>
      </w:r>
    </w:p>
    <w:p w14:paraId="5DD7F86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cs="宋体"/>
          <w:color w:val="FF0000"/>
          <w:kern w:val="0"/>
          <w:szCs w:val="21"/>
          <w:highlight w:val="none"/>
          <w:u w:val="single"/>
          <w:shd w:val="clear" w:color="auto" w:fill="FFFFFF"/>
        </w:rPr>
      </w:pPr>
      <w:r>
        <w:rPr>
          <w:rFonts w:hint="eastAsia" w:ascii="宋体" w:hAnsi="宋体" w:cs="宋体"/>
          <w:color w:val="333333"/>
          <w:kern w:val="0"/>
          <w:szCs w:val="21"/>
          <w:highlight w:val="none"/>
          <w:shd w:val="clear" w:color="auto" w:fill="FFFFFF"/>
        </w:rPr>
        <w:t>ix.安全文明施工费：安全文明施工费由安全施工费、文明施工费、环境保护费及临时设施费组成。</w:t>
      </w:r>
      <w:r>
        <w:rPr>
          <w:rFonts w:hint="eastAsia" w:ascii="宋体" w:hAnsi="宋体" w:cs="宋体"/>
          <w:color w:val="FF0000"/>
          <w:kern w:val="0"/>
          <w:szCs w:val="21"/>
          <w:highlight w:val="none"/>
          <w:u w:val="single"/>
          <w:shd w:val="clear" w:color="auto" w:fill="FFFFFF"/>
        </w:rPr>
        <w:t>本项目安全文明施工费</w:t>
      </w:r>
      <w:r>
        <w:rPr>
          <w:rFonts w:hint="eastAsia" w:ascii="宋体" w:hAnsi="宋体" w:cs="宋体"/>
          <w:color w:val="FF0000"/>
          <w:kern w:val="0"/>
          <w:szCs w:val="21"/>
          <w:highlight w:val="none"/>
          <w:u w:val="single"/>
          <w:shd w:val="clear" w:color="auto" w:fill="FFFFFF"/>
          <w:lang w:eastAsia="zh-CN"/>
        </w:rPr>
        <w:t>报价人</w:t>
      </w:r>
      <w:r>
        <w:rPr>
          <w:rFonts w:hint="eastAsia" w:ascii="宋体" w:hAnsi="宋体" w:cs="宋体"/>
          <w:color w:val="FF0000"/>
          <w:kern w:val="0"/>
          <w:szCs w:val="21"/>
          <w:highlight w:val="none"/>
          <w:u w:val="single"/>
          <w:shd w:val="clear" w:color="auto" w:fill="FFFFFF"/>
        </w:rPr>
        <w:t>统一暂按</w:t>
      </w:r>
      <w:r>
        <w:rPr>
          <w:rFonts w:hint="eastAsia" w:ascii="宋体" w:hAnsi="宋体" w:cs="宋体"/>
          <w:color w:val="FF0000"/>
          <w:kern w:val="0"/>
          <w:szCs w:val="21"/>
          <w:highlight w:val="none"/>
          <w:u w:val="single"/>
          <w:shd w:val="clear" w:color="auto" w:fill="FFFFFF"/>
          <w:lang w:val="en-US" w:eastAsia="zh-CN"/>
        </w:rPr>
        <w:t>124401.87</w:t>
      </w:r>
      <w:r>
        <w:rPr>
          <w:rFonts w:hint="eastAsia" w:ascii="宋体" w:hAnsi="宋体" w:cs="宋体"/>
          <w:color w:val="FF0000"/>
          <w:kern w:val="0"/>
          <w:szCs w:val="21"/>
          <w:highlight w:val="none"/>
          <w:u w:val="single"/>
          <w:shd w:val="clear" w:color="auto" w:fill="FFFFFF"/>
        </w:rPr>
        <w:t>元</w:t>
      </w:r>
      <w:r>
        <w:rPr>
          <w:rFonts w:hint="eastAsia" w:ascii="宋体" w:hAnsi="宋体" w:cs="宋体"/>
          <w:color w:val="FF0000"/>
          <w:szCs w:val="21"/>
          <w:highlight w:val="none"/>
        </w:rPr>
        <w:t>（大写：</w:t>
      </w:r>
      <w:r>
        <w:rPr>
          <w:rFonts w:hint="eastAsia" w:ascii="宋体" w:hAnsi="宋体" w:cs="宋体"/>
          <w:color w:val="FF0000"/>
          <w:szCs w:val="21"/>
          <w:highlight w:val="none"/>
          <w:u w:val="single"/>
          <w:lang w:val="en-US" w:eastAsia="zh-CN"/>
        </w:rPr>
        <w:t xml:space="preserve">壹拾贰万肆仟肆佰零壹元捌角柒分  </w:t>
      </w:r>
      <w:r>
        <w:rPr>
          <w:rFonts w:hint="eastAsia" w:ascii="宋体" w:hAnsi="宋体" w:cs="宋体"/>
          <w:color w:val="FF0000"/>
          <w:szCs w:val="21"/>
          <w:highlight w:val="none"/>
        </w:rPr>
        <w:t>）</w:t>
      </w:r>
      <w:r>
        <w:rPr>
          <w:rFonts w:hint="eastAsia" w:ascii="宋体" w:hAnsi="宋体" w:cs="宋体"/>
          <w:color w:val="FF0000"/>
          <w:kern w:val="0"/>
          <w:szCs w:val="21"/>
          <w:highlight w:val="none"/>
          <w:u w:val="single"/>
          <w:shd w:val="clear" w:color="auto" w:fill="FFFFFF"/>
        </w:rPr>
        <w:t>计取</w:t>
      </w:r>
      <w:r>
        <w:rPr>
          <w:rFonts w:hint="eastAsia" w:ascii="宋体" w:hAnsi="宋体" w:cs="宋体"/>
          <w:color w:val="FF0000"/>
          <w:kern w:val="0"/>
          <w:szCs w:val="21"/>
          <w:highlight w:val="none"/>
          <w:shd w:val="clear" w:color="auto" w:fill="FFFFFF"/>
        </w:rPr>
        <w:t>，</w:t>
      </w:r>
      <w:r>
        <w:rPr>
          <w:rFonts w:hint="eastAsia" w:ascii="宋体" w:hAnsi="宋体" w:cs="宋体"/>
          <w:color w:val="FF0000"/>
          <w:kern w:val="0"/>
          <w:szCs w:val="21"/>
          <w:highlight w:val="none"/>
          <w:u w:val="single"/>
          <w:shd w:val="clear" w:color="auto" w:fill="FFFFFF"/>
        </w:rPr>
        <w:t>否则，其</w:t>
      </w:r>
      <w:r>
        <w:rPr>
          <w:rFonts w:hint="eastAsia" w:ascii="宋体" w:hAnsi="宋体" w:cs="宋体"/>
          <w:color w:val="FF0000"/>
          <w:kern w:val="0"/>
          <w:szCs w:val="21"/>
          <w:highlight w:val="none"/>
          <w:u w:val="single"/>
          <w:shd w:val="clear" w:color="auto" w:fill="FFFFFF"/>
          <w:lang w:eastAsia="zh-CN"/>
        </w:rPr>
        <w:t>谈判文件</w:t>
      </w:r>
      <w:r>
        <w:rPr>
          <w:rFonts w:hint="eastAsia" w:ascii="宋体" w:hAnsi="宋体" w:cs="宋体"/>
          <w:color w:val="FF0000"/>
          <w:kern w:val="0"/>
          <w:szCs w:val="21"/>
          <w:highlight w:val="none"/>
          <w:u w:val="single"/>
          <w:shd w:val="clear" w:color="auto" w:fill="FFFFFF"/>
        </w:rPr>
        <w:t>作否决报价处理。</w:t>
      </w:r>
    </w:p>
    <w:p w14:paraId="22FD1E7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cs="宋体"/>
          <w:color w:val="333333"/>
          <w:kern w:val="0"/>
          <w:szCs w:val="21"/>
          <w:highlight w:val="none"/>
          <w:shd w:val="clear" w:color="auto" w:fill="FFFFFF"/>
        </w:rPr>
      </w:pPr>
      <w:r>
        <w:rPr>
          <w:rFonts w:hint="eastAsia" w:ascii="宋体" w:hAnsi="宋体" w:cs="宋体"/>
          <w:color w:val="FF0000"/>
          <w:kern w:val="0"/>
          <w:szCs w:val="21"/>
          <w:highlight w:val="none"/>
          <w:u w:val="single"/>
          <w:shd w:val="clear" w:color="auto" w:fill="FFFFFF"/>
        </w:rPr>
        <w:t>《报价函》中的安全文明施工费必须填报，填报金额必须</w:t>
      </w:r>
      <w:r>
        <w:rPr>
          <w:rFonts w:hint="eastAsia" w:ascii="宋体" w:hAnsi="宋体" w:cs="宋体"/>
          <w:color w:val="FF0000"/>
          <w:kern w:val="0"/>
          <w:szCs w:val="21"/>
          <w:highlight w:val="none"/>
          <w:u w:val="single"/>
          <w:shd w:val="clear" w:color="auto" w:fill="FFFFFF"/>
          <w:lang w:val="en-US" w:eastAsia="zh-CN"/>
        </w:rPr>
        <w:t xml:space="preserve">124401.87元（大写：壹拾贰万肆仟肆佰零壹元捌角柒分  </w:t>
      </w:r>
      <w:r>
        <w:rPr>
          <w:rFonts w:hint="eastAsia" w:ascii="宋体" w:hAnsi="宋体" w:cs="宋体"/>
          <w:color w:val="FF0000"/>
          <w:szCs w:val="21"/>
          <w:highlight w:val="none"/>
        </w:rPr>
        <w:t>）</w:t>
      </w:r>
      <w:r>
        <w:rPr>
          <w:rFonts w:hint="eastAsia" w:ascii="宋体" w:hAnsi="宋体" w:cs="宋体"/>
          <w:color w:val="FF0000"/>
          <w:kern w:val="0"/>
          <w:szCs w:val="21"/>
          <w:highlight w:val="none"/>
          <w:u w:val="single"/>
          <w:shd w:val="clear" w:color="auto" w:fill="FFFFFF"/>
        </w:rPr>
        <w:t>否则，</w:t>
      </w:r>
      <w:r>
        <w:rPr>
          <w:rFonts w:hint="eastAsia" w:ascii="宋体" w:hAnsi="宋体" w:cs="宋体"/>
          <w:color w:val="FF0000"/>
          <w:kern w:val="0"/>
          <w:szCs w:val="21"/>
          <w:highlight w:val="none"/>
          <w:u w:val="single"/>
          <w:shd w:val="clear" w:color="auto" w:fill="FFFFFF"/>
          <w:lang w:eastAsia="zh-CN"/>
        </w:rPr>
        <w:t>谈判文件</w:t>
      </w:r>
      <w:r>
        <w:rPr>
          <w:rFonts w:hint="eastAsia" w:ascii="宋体" w:hAnsi="宋体" w:cs="宋体"/>
          <w:color w:val="FF0000"/>
          <w:kern w:val="0"/>
          <w:szCs w:val="21"/>
          <w:highlight w:val="none"/>
          <w:u w:val="single"/>
          <w:shd w:val="clear" w:color="auto" w:fill="FFFFFF"/>
        </w:rPr>
        <w:t>作否决报价处理。</w:t>
      </w:r>
      <w:r>
        <w:rPr>
          <w:rFonts w:hint="eastAsia" w:ascii="宋体" w:hAnsi="宋体" w:cs="宋体"/>
          <w:color w:val="333333"/>
          <w:kern w:val="0"/>
          <w:szCs w:val="21"/>
          <w:highlight w:val="none"/>
          <w:shd w:val="clear" w:color="auto" w:fill="FFFFFF"/>
        </w:rPr>
        <w:t>结算时，安全文明施工费按《关于印发&lt;重庆市建设工程安全文明施工费计取及使用管理规定&gt;的通知》（渝建发[2014]25号）、《重庆市住房和城乡建设委员会关于适用增值税新税率调整建设工程计价依据的通知》（渝建〔2019〕143号）及2018年重庆市建设工程费用定额规定计取。安全文明施工的要求与内容、提取支付方法以及违反约定造成损失的赔偿等条款，按照现行文件要求执行，做到专款专用。根据渝建发【2011】607号文规定，成交人在施工过程中必须按《建筑工程施工围挡（Ⅱ）》（编号为 DJBT-062，图集号为11J03）标准设置施工围挡</w:t>
      </w:r>
    </w:p>
    <w:p w14:paraId="2F57094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x.本工程建设工程竣工档案编制费以及企业管理费和组织措施费分别按（渝建发[2014]26号）、《重庆市住房和城乡建设委员会关于适用增值税新税率调整建设工程计价依据的通知》（渝建〔2019〕143号）、《重庆市住房和城乡建设委员会关于调整企业管理费和组织措施费内容及费用标准的通知》（渝建发[2014]27号）文件要求结合企业实力自主进行报价</w:t>
      </w:r>
    </w:p>
    <w:p w14:paraId="3BAFABB4">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xi.本工程规费按2018年《重庆市建设工程费用定额》的标准计取否则视为对</w:t>
      </w:r>
      <w:r>
        <w:rPr>
          <w:rFonts w:hint="eastAsia" w:ascii="宋体" w:hAnsi="宋体" w:cs="宋体"/>
          <w:color w:val="333333"/>
          <w:kern w:val="0"/>
          <w:szCs w:val="21"/>
          <w:highlight w:val="none"/>
          <w:shd w:val="clear" w:color="auto" w:fill="FFFFFF"/>
          <w:lang w:eastAsia="zh-CN"/>
        </w:rPr>
        <w:t>谈判采购文件</w:t>
      </w:r>
      <w:r>
        <w:rPr>
          <w:rFonts w:hint="eastAsia" w:ascii="宋体" w:hAnsi="宋体" w:cs="宋体"/>
          <w:color w:val="333333"/>
          <w:kern w:val="0"/>
          <w:szCs w:val="21"/>
          <w:highlight w:val="none"/>
          <w:shd w:val="clear" w:color="auto" w:fill="FFFFFF"/>
        </w:rPr>
        <w:t>不作实质性响应，其</w:t>
      </w:r>
      <w:r>
        <w:rPr>
          <w:rFonts w:hint="eastAsia" w:ascii="宋体" w:hAnsi="宋体" w:cs="宋体"/>
          <w:color w:val="333333"/>
          <w:kern w:val="0"/>
          <w:szCs w:val="21"/>
          <w:highlight w:val="none"/>
          <w:shd w:val="clear" w:color="auto" w:fill="FFFFFF"/>
          <w:lang w:eastAsia="zh-CN"/>
        </w:rPr>
        <w:t>谈判文件</w:t>
      </w:r>
      <w:r>
        <w:rPr>
          <w:rFonts w:hint="eastAsia" w:ascii="宋体" w:hAnsi="宋体" w:cs="宋体"/>
          <w:color w:val="333333"/>
          <w:kern w:val="0"/>
          <w:szCs w:val="21"/>
          <w:highlight w:val="none"/>
          <w:shd w:val="clear" w:color="auto" w:fill="FFFFFF"/>
        </w:rPr>
        <w:t>按否决报价处理</w:t>
      </w:r>
    </w:p>
    <w:p w14:paraId="6DCC377D">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xii.工伤保险费按渝人社发［2015］197号文件执行</w:t>
      </w:r>
    </w:p>
    <w:p w14:paraId="2C810FD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xiii.</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在其</w:t>
      </w:r>
      <w:r>
        <w:rPr>
          <w:rFonts w:hint="eastAsia" w:ascii="宋体" w:hAnsi="宋体" w:cs="宋体"/>
          <w:color w:val="333333"/>
          <w:kern w:val="0"/>
          <w:szCs w:val="21"/>
          <w:highlight w:val="none"/>
          <w:shd w:val="clear" w:color="auto" w:fill="FFFFFF"/>
          <w:lang w:eastAsia="zh-CN"/>
        </w:rPr>
        <w:t>谈判报价</w:t>
      </w:r>
      <w:r>
        <w:rPr>
          <w:rFonts w:hint="eastAsia" w:ascii="宋体" w:hAnsi="宋体" w:cs="宋体"/>
          <w:color w:val="333333"/>
          <w:kern w:val="0"/>
          <w:szCs w:val="21"/>
          <w:highlight w:val="none"/>
          <w:shd w:val="clear" w:color="auto" w:fill="FFFFFF"/>
        </w:rPr>
        <w:t>中应充分考虑各项措施费用包括但不限于：临时水、电、脚手架和仓储用地、用房、人员食宿、建筑垃圾清运、排污费、材料及半成品的二次或多次转运、成品保护、所拆除的建筑构件及材料场内二次或多次转运等所引起的费用纳入</w:t>
      </w:r>
      <w:r>
        <w:rPr>
          <w:rFonts w:hint="eastAsia" w:ascii="宋体" w:hAnsi="宋体" w:cs="宋体"/>
          <w:color w:val="333333"/>
          <w:kern w:val="0"/>
          <w:szCs w:val="21"/>
          <w:highlight w:val="none"/>
          <w:shd w:val="clear" w:color="auto" w:fill="FFFFFF"/>
          <w:lang w:eastAsia="zh-CN"/>
        </w:rPr>
        <w:t>谈判报价</w:t>
      </w:r>
      <w:r>
        <w:rPr>
          <w:rFonts w:hint="eastAsia" w:ascii="宋体" w:hAnsi="宋体" w:cs="宋体"/>
          <w:color w:val="333333"/>
          <w:kern w:val="0"/>
          <w:szCs w:val="21"/>
          <w:highlight w:val="none"/>
          <w:shd w:val="clear" w:color="auto" w:fill="FFFFFF"/>
        </w:rPr>
        <w:t>中，采购人对此类费用不另行支付，施工现场不具备堆放物资、材料的条件，</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应根据采购人要求地点搭设临设，同时</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应将从临设至施工地点的材料、半成品、成品、设备等转运及其他可能产生的相关费用纳入</w:t>
      </w:r>
      <w:r>
        <w:rPr>
          <w:rFonts w:hint="eastAsia" w:ascii="宋体" w:hAnsi="宋体" w:cs="宋体"/>
          <w:color w:val="333333"/>
          <w:kern w:val="0"/>
          <w:szCs w:val="21"/>
          <w:highlight w:val="none"/>
          <w:shd w:val="clear" w:color="auto" w:fill="FFFFFF"/>
          <w:lang w:eastAsia="zh-CN"/>
        </w:rPr>
        <w:t>谈判报价</w:t>
      </w:r>
      <w:r>
        <w:rPr>
          <w:rFonts w:hint="eastAsia" w:ascii="宋体" w:hAnsi="宋体" w:cs="宋体"/>
          <w:color w:val="333333"/>
          <w:kern w:val="0"/>
          <w:szCs w:val="21"/>
          <w:highlight w:val="none"/>
          <w:shd w:val="clear" w:color="auto" w:fill="FFFFFF"/>
        </w:rPr>
        <w:t>中，采购人对此不再另行支付费用。</w:t>
      </w:r>
    </w:p>
    <w:p w14:paraId="68DB566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xiv.成交人自行负责施工用水（含水源）、用电（含电源）及其接口，其费用由</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纳入</w:t>
      </w:r>
      <w:r>
        <w:rPr>
          <w:rFonts w:hint="eastAsia" w:ascii="宋体" w:hAnsi="宋体" w:cs="宋体"/>
          <w:color w:val="333333"/>
          <w:kern w:val="0"/>
          <w:szCs w:val="21"/>
          <w:highlight w:val="none"/>
          <w:shd w:val="clear" w:color="auto" w:fill="FFFFFF"/>
          <w:lang w:eastAsia="zh-CN"/>
        </w:rPr>
        <w:t>谈判报价</w:t>
      </w:r>
      <w:r>
        <w:rPr>
          <w:rFonts w:hint="eastAsia" w:ascii="宋体" w:hAnsi="宋体" w:cs="宋体"/>
          <w:color w:val="333333"/>
          <w:kern w:val="0"/>
          <w:szCs w:val="21"/>
          <w:highlight w:val="none"/>
          <w:shd w:val="clear" w:color="auto" w:fill="FFFFFF"/>
        </w:rPr>
        <w:t>中，结算时采购人不支付此类费用。成交人必须结合施工场地供水、供电的实际情况，负责接至各施工点并对安全负责，并根据实际情况配备必要发电设备和水压增压设备等。由此发生的所有费用（包括搭接费、水电费、协调费、设备设施费等）已包含在</w:t>
      </w:r>
      <w:r>
        <w:rPr>
          <w:rFonts w:hint="eastAsia" w:ascii="宋体" w:hAnsi="宋体" w:cs="宋体"/>
          <w:color w:val="333333"/>
          <w:kern w:val="0"/>
          <w:szCs w:val="21"/>
          <w:highlight w:val="none"/>
          <w:shd w:val="clear" w:color="auto" w:fill="FFFFFF"/>
          <w:lang w:eastAsia="zh-CN"/>
        </w:rPr>
        <w:t>谈判报价</w:t>
      </w:r>
      <w:r>
        <w:rPr>
          <w:rFonts w:hint="eastAsia" w:ascii="宋体" w:hAnsi="宋体" w:cs="宋体"/>
          <w:color w:val="333333"/>
          <w:kern w:val="0"/>
          <w:szCs w:val="21"/>
          <w:highlight w:val="none"/>
          <w:shd w:val="clear" w:color="auto" w:fill="FFFFFF"/>
        </w:rPr>
        <w:t>中，工程结算时采购人不另行支付该费用。</w:t>
      </w:r>
    </w:p>
    <w:p w14:paraId="1ADDC296">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xv.包括但不限于建筑垃圾、余土石方、淤泥、混凝土浆、机械生产所需的汽油（机油）等按环保要求进行处理，并由成交人自行外运，由此所发生的一切费用（包括但不限于建筑垃圾的收集处理、弃土场道路的修建和维护、弃渣费、运输道路沿线的清扫、易撒漏物资密闭运输费以及措施费等）由</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纳入</w:t>
      </w:r>
      <w:r>
        <w:rPr>
          <w:rFonts w:hint="eastAsia" w:ascii="宋体" w:hAnsi="宋体" w:cs="宋体"/>
          <w:color w:val="333333"/>
          <w:kern w:val="0"/>
          <w:szCs w:val="21"/>
          <w:highlight w:val="none"/>
          <w:shd w:val="clear" w:color="auto" w:fill="FFFFFF"/>
          <w:lang w:eastAsia="zh-CN"/>
        </w:rPr>
        <w:t>谈判报价</w:t>
      </w:r>
      <w:r>
        <w:rPr>
          <w:rFonts w:hint="eastAsia" w:ascii="宋体" w:hAnsi="宋体" w:cs="宋体"/>
          <w:color w:val="333333"/>
          <w:kern w:val="0"/>
          <w:szCs w:val="21"/>
          <w:highlight w:val="none"/>
          <w:shd w:val="clear" w:color="auto" w:fill="FFFFFF"/>
        </w:rPr>
        <w:t>中，成交后采购人不作任何调整。成交人由于余土石方及建筑垃圾的弃置所造成的一切赔偿由成交人自行负责并承担费用。</w:t>
      </w:r>
    </w:p>
    <w:p w14:paraId="0D6D719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xvi.成交单位必须注意安全防范，建筑材料不得乱堆乱放，充分考虑采取措施保护施工人员、过往行人等安全，按规定设置围墙、护栏、安全警示标志、警示照明、警示语等。由此而采取的一切措施所发生的费用已含在综合单价、合价中，</w:t>
      </w:r>
      <w:r>
        <w:rPr>
          <w:rFonts w:hint="eastAsia" w:ascii="宋体" w:hAnsi="宋体" w:cs="宋体"/>
          <w:color w:val="333333"/>
          <w:kern w:val="0"/>
          <w:szCs w:val="21"/>
          <w:highlight w:val="none"/>
          <w:shd w:val="clear" w:color="auto" w:fill="FFFFFF"/>
          <w:lang w:eastAsia="zh-CN"/>
        </w:rPr>
        <w:t>采购人</w:t>
      </w:r>
      <w:r>
        <w:rPr>
          <w:rFonts w:hint="eastAsia" w:ascii="宋体" w:hAnsi="宋体" w:cs="宋体"/>
          <w:color w:val="333333"/>
          <w:kern w:val="0"/>
          <w:szCs w:val="21"/>
          <w:highlight w:val="none"/>
          <w:shd w:val="clear" w:color="auto" w:fill="FFFFFF"/>
        </w:rPr>
        <w:t>不再另行支付该项费用。若在施工期间由于施工措施或防护措施不当而造成的一切安全事故的，其全部安全责任和经济责任均由成交人自行承担，采购人不承担连带责任。</w:t>
      </w:r>
    </w:p>
    <w:p w14:paraId="7495ED2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xvii.成交人应保持施工区域内及周边现有道路、周边企业建设的进出道路的畅通，以及对相关设施的保护等，请</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充分考虑，其费用全部纳入</w:t>
      </w:r>
      <w:r>
        <w:rPr>
          <w:rFonts w:hint="eastAsia" w:ascii="宋体" w:hAnsi="宋体" w:cs="宋体"/>
          <w:color w:val="333333"/>
          <w:kern w:val="0"/>
          <w:szCs w:val="21"/>
          <w:highlight w:val="none"/>
          <w:shd w:val="clear" w:color="auto" w:fill="FFFFFF"/>
          <w:lang w:eastAsia="zh-CN"/>
        </w:rPr>
        <w:t>谈判报价</w:t>
      </w:r>
      <w:r>
        <w:rPr>
          <w:rFonts w:hint="eastAsia" w:ascii="宋体" w:hAnsi="宋体" w:cs="宋体"/>
          <w:color w:val="333333"/>
          <w:kern w:val="0"/>
          <w:szCs w:val="21"/>
          <w:highlight w:val="none"/>
          <w:shd w:val="clear" w:color="auto" w:fill="FFFFFF"/>
        </w:rPr>
        <w:t>中。因本工程场地受限，红线范围内不提供现场办公和生活区的搭建场地，</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应充分考虑现场实际情况，选址由</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自行解决，采购人不提供使用场地，所发生费用由</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综合考虑进入</w:t>
      </w:r>
      <w:r>
        <w:rPr>
          <w:rFonts w:hint="eastAsia" w:ascii="宋体" w:hAnsi="宋体" w:cs="宋体"/>
          <w:color w:val="333333"/>
          <w:kern w:val="0"/>
          <w:szCs w:val="21"/>
          <w:highlight w:val="none"/>
          <w:shd w:val="clear" w:color="auto" w:fill="FFFFFF"/>
          <w:lang w:eastAsia="zh-CN"/>
        </w:rPr>
        <w:t>谈判报价</w:t>
      </w:r>
      <w:r>
        <w:rPr>
          <w:rFonts w:hint="eastAsia" w:ascii="宋体" w:hAnsi="宋体" w:cs="宋体"/>
          <w:color w:val="333333"/>
          <w:kern w:val="0"/>
          <w:szCs w:val="21"/>
          <w:highlight w:val="none"/>
          <w:shd w:val="clear" w:color="auto" w:fill="FFFFFF"/>
        </w:rPr>
        <w:t>中，不再另行计价。</w:t>
      </w:r>
    </w:p>
    <w:p w14:paraId="31DB5DAB">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xviii.本工程施工期间成交人须保护施工场地范围内地上（地下）各种管线、施工现场周边的建、构筑物，成交单位所采取保护措施而发生的相关费用（包括人、材、机停窝工、管线保护费、作业方式的调整等）由成交人承担，若成交人对管线和建、构筑物造成损坏或破坏的，由成交人负责修复并承担所有经济责任和法律责任，采购人不承担任何连带责任。</w:t>
      </w:r>
    </w:p>
    <w:p w14:paraId="66360CB7">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xix.</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应充分了解工地位置，若多家施工单位现场交叉作业时，成交人须无条件的服从采购人统一安排，否则立即无条件清离现场。一切损失由</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自行承担，因此给采购人造成的损失，</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必须承担赔偿。由于交叉作业增加的各种费用由</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纳入</w:t>
      </w:r>
      <w:r>
        <w:rPr>
          <w:rFonts w:hint="eastAsia" w:ascii="宋体" w:hAnsi="宋体" w:cs="宋体"/>
          <w:color w:val="333333"/>
          <w:kern w:val="0"/>
          <w:szCs w:val="21"/>
          <w:highlight w:val="none"/>
          <w:shd w:val="clear" w:color="auto" w:fill="FFFFFF"/>
          <w:lang w:eastAsia="zh-CN"/>
        </w:rPr>
        <w:t>谈判报价</w:t>
      </w:r>
      <w:r>
        <w:rPr>
          <w:rFonts w:hint="eastAsia" w:ascii="宋体" w:hAnsi="宋体" w:cs="宋体"/>
          <w:color w:val="333333"/>
          <w:kern w:val="0"/>
          <w:szCs w:val="21"/>
          <w:highlight w:val="none"/>
          <w:shd w:val="clear" w:color="auto" w:fill="FFFFFF"/>
        </w:rPr>
        <w:t>中，采购人不另支付其它费用和调整成交价。</w:t>
      </w:r>
    </w:p>
    <w:p w14:paraId="473B940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xx.若因采购人原因（如:工程设计变更、项目增减或征地拆迁不及时等）造成人、材、机停（窝）工、工期延长等，其相关费用由</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纳入</w:t>
      </w:r>
      <w:r>
        <w:rPr>
          <w:rFonts w:hint="eastAsia" w:ascii="宋体" w:hAnsi="宋体" w:cs="宋体"/>
          <w:color w:val="333333"/>
          <w:kern w:val="0"/>
          <w:szCs w:val="21"/>
          <w:highlight w:val="none"/>
          <w:shd w:val="clear" w:color="auto" w:fill="FFFFFF"/>
          <w:lang w:eastAsia="zh-CN"/>
        </w:rPr>
        <w:t>谈判报价</w:t>
      </w:r>
      <w:r>
        <w:rPr>
          <w:rFonts w:hint="eastAsia" w:ascii="宋体" w:hAnsi="宋体" w:cs="宋体"/>
          <w:color w:val="333333"/>
          <w:kern w:val="0"/>
          <w:szCs w:val="21"/>
          <w:highlight w:val="none"/>
          <w:shd w:val="clear" w:color="auto" w:fill="FFFFFF"/>
        </w:rPr>
        <w:t>中，采购人不另行支付其它费用或调整成交单价，但影响的工期，采购人同意顺延。</w:t>
      </w:r>
    </w:p>
    <w:p w14:paraId="074061C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xxi.若因成交人原因，造成总工期延误的，每延误一日历天则向采购人支付违约金</w:t>
      </w:r>
      <w:r>
        <w:rPr>
          <w:rFonts w:hint="eastAsia" w:ascii="宋体" w:hAnsi="宋体" w:cs="宋体"/>
          <w:color w:val="FF0000"/>
          <w:kern w:val="0"/>
          <w:szCs w:val="21"/>
          <w:highlight w:val="none"/>
          <w:u w:val="single"/>
          <w:shd w:val="clear" w:color="auto" w:fill="FFFFFF"/>
          <w:lang w:val="en-US" w:eastAsia="zh-CN"/>
        </w:rPr>
        <w:t>10000</w:t>
      </w:r>
      <w:r>
        <w:rPr>
          <w:rFonts w:hint="eastAsia" w:ascii="宋体" w:hAnsi="宋体" w:cs="宋体"/>
          <w:color w:val="FF0000"/>
          <w:kern w:val="0"/>
          <w:szCs w:val="21"/>
          <w:highlight w:val="none"/>
          <w:u w:val="single"/>
          <w:shd w:val="clear" w:color="auto" w:fill="FFFFFF"/>
        </w:rPr>
        <w:t>元</w:t>
      </w:r>
      <w:r>
        <w:rPr>
          <w:rFonts w:hint="eastAsia" w:ascii="宋体" w:hAnsi="宋体" w:cs="宋体"/>
          <w:color w:val="333333"/>
          <w:kern w:val="0"/>
          <w:szCs w:val="21"/>
          <w:highlight w:val="none"/>
          <w:shd w:val="clear" w:color="auto" w:fill="FFFFFF"/>
        </w:rPr>
        <w:t>，依此类推，</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在报价时充分考虑此因素。</w:t>
      </w:r>
    </w:p>
    <w:p w14:paraId="6C8670D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xxii.本工程因工期紧，任务重，成交人应根据工期要求，合理安排机械设备及人员的投入，所发生的一切费用由</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纳入</w:t>
      </w:r>
      <w:r>
        <w:rPr>
          <w:rFonts w:hint="eastAsia" w:ascii="宋体" w:hAnsi="宋体" w:cs="宋体"/>
          <w:color w:val="333333"/>
          <w:kern w:val="0"/>
          <w:szCs w:val="21"/>
          <w:highlight w:val="none"/>
          <w:shd w:val="clear" w:color="auto" w:fill="FFFFFF"/>
          <w:lang w:eastAsia="zh-CN"/>
        </w:rPr>
        <w:t>谈判报价</w:t>
      </w:r>
      <w:r>
        <w:rPr>
          <w:rFonts w:hint="eastAsia" w:ascii="宋体" w:hAnsi="宋体" w:cs="宋体"/>
          <w:color w:val="333333"/>
          <w:kern w:val="0"/>
          <w:szCs w:val="21"/>
          <w:highlight w:val="none"/>
          <w:shd w:val="clear" w:color="auto" w:fill="FFFFFF"/>
        </w:rPr>
        <w:t>中 。</w:t>
      </w:r>
    </w:p>
    <w:p w14:paraId="3D67015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xxiii.材料：除</w:t>
      </w:r>
      <w:r>
        <w:rPr>
          <w:rFonts w:hint="eastAsia" w:ascii="宋体" w:hAnsi="宋体" w:cs="宋体"/>
          <w:color w:val="333333"/>
          <w:kern w:val="0"/>
          <w:szCs w:val="21"/>
          <w:highlight w:val="none"/>
          <w:shd w:val="clear" w:color="auto" w:fill="FFFFFF"/>
          <w:lang w:eastAsia="zh-CN"/>
        </w:rPr>
        <w:t>谈判采购文件</w:t>
      </w:r>
      <w:r>
        <w:rPr>
          <w:rFonts w:hint="eastAsia" w:ascii="宋体" w:hAnsi="宋体" w:cs="宋体"/>
          <w:color w:val="333333"/>
          <w:kern w:val="0"/>
          <w:szCs w:val="21"/>
          <w:highlight w:val="none"/>
          <w:shd w:val="clear" w:color="auto" w:fill="FFFFFF"/>
        </w:rPr>
        <w:t>及其附件内明确的甲供材以外，其余材料为成交人供应。</w:t>
      </w:r>
    </w:p>
    <w:p w14:paraId="64AF6BE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（1）材料价格按不含税价格确定，其进项税额按《重庆市住房和城乡建设委员会关于适用增值税新税率调整建设工程计价依据的通知》（渝建〔2019〕143号）执行。</w:t>
      </w:r>
    </w:p>
    <w:p w14:paraId="4220A31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（2）本工程的所有材料须先检测合格后方可施工，本项目建筑工程部分的质量检测按渝建 [2015]420 号文件规定执行；施工单位应为取样送检单位在施工现场开展有关工作提供条件，相关费用由</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自行考虑并包含在</w:t>
      </w:r>
      <w:r>
        <w:rPr>
          <w:rFonts w:hint="eastAsia" w:ascii="宋体" w:hAnsi="宋体" w:cs="宋体"/>
          <w:color w:val="333333"/>
          <w:kern w:val="0"/>
          <w:szCs w:val="21"/>
          <w:highlight w:val="none"/>
          <w:shd w:val="clear" w:color="auto" w:fill="FFFFFF"/>
          <w:lang w:eastAsia="zh-CN"/>
        </w:rPr>
        <w:t>谈判报价</w:t>
      </w:r>
      <w:r>
        <w:rPr>
          <w:rFonts w:hint="eastAsia" w:ascii="宋体" w:hAnsi="宋体" w:cs="宋体"/>
          <w:color w:val="333333"/>
          <w:kern w:val="0"/>
          <w:szCs w:val="21"/>
          <w:highlight w:val="none"/>
          <w:shd w:val="clear" w:color="auto" w:fill="FFFFFF"/>
        </w:rPr>
        <w:t>中，不再调整。</w:t>
      </w:r>
    </w:p>
    <w:p w14:paraId="2FCBDA33">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（3）</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在报价时应充分考虑整个施工期内材料、设备的涨价因素，根据重庆市城乡建设委员会关于进一步加强建筑安装材料价格风险管控的指导意见（渝建〔2018〕61 号文件）的精神，对施工期间主要材料价格变化幅度超过5%以上的部分的结算价格进行调整。主要材料价格变化幅度未超过（含）5%，主要材料结算价格按成交材料价确定；除主要材料外的其余材料及设备均由</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自主报价并采购，</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在报价时应充分考虑整个施工期内材料、设备的涨价因素，不因市场价格的变化而调整。</w:t>
      </w:r>
    </w:p>
    <w:p w14:paraId="4B70FC23">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a.主要材料范围界定：《重庆工程造价信息》中各区县主要材料信息价中公布的主城区全部材料和重庆市材料信息价中公布的钢材。</w:t>
      </w:r>
    </w:p>
    <w:p w14:paraId="56D3905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b.主要材料价格依据：以《重庆工程造价信息》中各区县主要材料信息价中公布的主城区材料价格和重庆市材料信息价中公布的钢材价格为准。</w:t>
      </w:r>
    </w:p>
    <w:p w14:paraId="2043D30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c.主要材料价格变化幅度 D=（施工期间材料价格算术平均值 B―2026年</w:t>
      </w:r>
      <w:r>
        <w:rPr>
          <w:rFonts w:hint="eastAsia" w:ascii="宋体" w:hAnsi="宋体" w:cs="宋体"/>
          <w:color w:val="333333"/>
          <w:kern w:val="0"/>
          <w:szCs w:val="21"/>
          <w:highlight w:val="none"/>
          <w:shd w:val="clear" w:color="auto" w:fill="FFFFFF"/>
          <w:lang w:val="en-US" w:eastAsia="zh-CN"/>
        </w:rPr>
        <w:t>8</w:t>
      </w:r>
      <w:r>
        <w:rPr>
          <w:rFonts w:hint="eastAsia" w:ascii="宋体" w:hAnsi="宋体" w:cs="宋体"/>
          <w:color w:val="333333"/>
          <w:kern w:val="0"/>
          <w:szCs w:val="21"/>
          <w:highlight w:val="none"/>
          <w:shd w:val="clear" w:color="auto" w:fill="FFFFFF"/>
        </w:rPr>
        <w:t>月公布的主要材料价格 C）÷2026年</w:t>
      </w:r>
      <w:r>
        <w:rPr>
          <w:rFonts w:hint="eastAsia" w:ascii="宋体" w:hAnsi="宋体" w:cs="宋体"/>
          <w:color w:val="333333"/>
          <w:kern w:val="0"/>
          <w:szCs w:val="21"/>
          <w:highlight w:val="none"/>
          <w:shd w:val="clear" w:color="auto" w:fill="FFFFFF"/>
          <w:lang w:val="en-US" w:eastAsia="zh-CN"/>
        </w:rPr>
        <w:t>8</w:t>
      </w:r>
      <w:r>
        <w:rPr>
          <w:rFonts w:hint="eastAsia" w:ascii="宋体" w:hAnsi="宋体" w:cs="宋体"/>
          <w:color w:val="333333"/>
          <w:kern w:val="0"/>
          <w:szCs w:val="21"/>
          <w:highlight w:val="none"/>
          <w:shd w:val="clear" w:color="auto" w:fill="FFFFFF"/>
        </w:rPr>
        <w:t>月公布的主要材料价格 C×100%。施工期间是指在合同协议书约定的承包人完成工程所需的期限，包括按照合同约定所作的期限变更；</w:t>
      </w:r>
    </w:p>
    <w:p w14:paraId="6976A4C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d.主要材料结算价格调整：D&gt;5%，调整后的主要材料结算价格=调差基准价 A＋C×（D―5%）；D＜-5%，调整后的主要材料结算价格=调差基准价 A＋C×（D＋5%）</w:t>
      </w:r>
    </w:p>
    <w:p w14:paraId="1B435A7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注： （1）调差基准价 A：成交材料价格与 2026年</w:t>
      </w:r>
      <w:r>
        <w:rPr>
          <w:rFonts w:hint="eastAsia" w:ascii="宋体" w:hAnsi="宋体" w:cs="宋体"/>
          <w:color w:val="333333"/>
          <w:kern w:val="0"/>
          <w:szCs w:val="21"/>
          <w:highlight w:val="none"/>
          <w:shd w:val="clear" w:color="auto" w:fill="FFFFFF"/>
          <w:lang w:val="en-US" w:eastAsia="zh-CN"/>
        </w:rPr>
        <w:t>8</w:t>
      </w:r>
      <w:r>
        <w:rPr>
          <w:rFonts w:hint="eastAsia" w:ascii="宋体" w:hAnsi="宋体" w:cs="宋体"/>
          <w:color w:val="333333"/>
          <w:kern w:val="0"/>
          <w:szCs w:val="21"/>
          <w:highlight w:val="none"/>
          <w:shd w:val="clear" w:color="auto" w:fill="FFFFFF"/>
        </w:rPr>
        <w:t>月公布的主要材料价格比较，取较小值</w:t>
      </w:r>
    </w:p>
    <w:p w14:paraId="5058768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（2）承包人的</w:t>
      </w:r>
      <w:r>
        <w:rPr>
          <w:rFonts w:hint="eastAsia" w:ascii="宋体" w:hAnsi="宋体" w:cs="宋体"/>
          <w:color w:val="333333"/>
          <w:kern w:val="0"/>
          <w:szCs w:val="21"/>
          <w:highlight w:val="none"/>
          <w:shd w:val="clear" w:color="auto" w:fill="FFFFFF"/>
          <w:lang w:eastAsia="zh-CN"/>
        </w:rPr>
        <w:t>谈判文件</w:t>
      </w:r>
      <w:r>
        <w:rPr>
          <w:rFonts w:hint="eastAsia" w:ascii="宋体" w:hAnsi="宋体" w:cs="宋体"/>
          <w:color w:val="333333"/>
          <w:kern w:val="0"/>
          <w:szCs w:val="21"/>
          <w:highlight w:val="none"/>
          <w:shd w:val="clear" w:color="auto" w:fill="FFFFFF"/>
        </w:rPr>
        <w:t>中同一规格型号的材料出现不同价格的，取较低值</w:t>
      </w:r>
    </w:p>
    <w:p w14:paraId="15AE185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（3）主要材料消耗量：成交人</w:t>
      </w:r>
      <w:r>
        <w:rPr>
          <w:rFonts w:hint="eastAsia" w:ascii="宋体" w:hAnsi="宋体" w:cs="宋体"/>
          <w:color w:val="333333"/>
          <w:kern w:val="0"/>
          <w:szCs w:val="21"/>
          <w:highlight w:val="none"/>
          <w:shd w:val="clear" w:color="auto" w:fill="FFFFFF"/>
          <w:lang w:eastAsia="zh-CN"/>
        </w:rPr>
        <w:t>谈判文件</w:t>
      </w:r>
      <w:r>
        <w:rPr>
          <w:rFonts w:hint="eastAsia" w:ascii="宋体" w:hAnsi="宋体" w:cs="宋体"/>
          <w:color w:val="333333"/>
          <w:kern w:val="0"/>
          <w:szCs w:val="21"/>
          <w:highlight w:val="none"/>
          <w:shd w:val="clear" w:color="auto" w:fill="FFFFFF"/>
        </w:rPr>
        <w:t>中的主要材料消耗量与重庆市 2018计价定额及配套文件中的主要材料消耗量相比，取较小值</w:t>
      </w:r>
    </w:p>
    <w:p w14:paraId="18EC7C6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（4）因承包人原因导致工期延误的，在合同原定竣工时间之后，材料价格相比2026年</w:t>
      </w:r>
      <w:r>
        <w:rPr>
          <w:rFonts w:hint="eastAsia" w:ascii="宋体" w:hAnsi="宋体" w:cs="宋体"/>
          <w:color w:val="333333"/>
          <w:kern w:val="0"/>
          <w:szCs w:val="21"/>
          <w:highlight w:val="none"/>
          <w:shd w:val="clear" w:color="auto" w:fill="FFFFFF"/>
          <w:lang w:val="en-US" w:eastAsia="zh-CN"/>
        </w:rPr>
        <w:t>8</w:t>
      </w:r>
      <w:r>
        <w:rPr>
          <w:rFonts w:hint="eastAsia" w:ascii="宋体" w:hAnsi="宋体" w:cs="宋体"/>
          <w:color w:val="333333"/>
          <w:kern w:val="0"/>
          <w:szCs w:val="21"/>
          <w:highlight w:val="none"/>
          <w:shd w:val="clear" w:color="auto" w:fill="FFFFFF"/>
        </w:rPr>
        <w:t>月公布的材料价格增加的，不予纳入施工期间材料价格算术平均值的计算；材料价格相比2026年</w:t>
      </w:r>
      <w:r>
        <w:rPr>
          <w:rFonts w:hint="eastAsia" w:ascii="宋体" w:hAnsi="宋体" w:cs="宋体"/>
          <w:color w:val="333333"/>
          <w:kern w:val="0"/>
          <w:szCs w:val="21"/>
          <w:highlight w:val="none"/>
          <w:shd w:val="clear" w:color="auto" w:fill="FFFFFF"/>
          <w:lang w:val="en-US" w:eastAsia="zh-CN"/>
        </w:rPr>
        <w:t>8</w:t>
      </w:r>
      <w:r>
        <w:rPr>
          <w:rFonts w:hint="eastAsia" w:ascii="宋体" w:hAnsi="宋体" w:cs="宋体"/>
          <w:color w:val="333333"/>
          <w:kern w:val="0"/>
          <w:szCs w:val="21"/>
          <w:highlight w:val="none"/>
          <w:shd w:val="clear" w:color="auto" w:fill="FFFFFF"/>
        </w:rPr>
        <w:t>月公布的材料价格降低的，纳入施工期间材料价格算术平均值的计算</w:t>
      </w:r>
    </w:p>
    <w:p w14:paraId="66DCE7A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xxiv.本工程风险：①</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应先到工地踏勘以充分了解工地位置、道路、储存空间、装卸限制等任何其它足以影响报价的情况，任何因忽视或误解工地情况而导致的索赔或工期延长申请将不获批准；②</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的</w:t>
      </w:r>
      <w:r>
        <w:rPr>
          <w:rFonts w:hint="eastAsia" w:ascii="宋体" w:hAnsi="宋体" w:cs="宋体"/>
          <w:color w:val="333333"/>
          <w:kern w:val="0"/>
          <w:szCs w:val="21"/>
          <w:highlight w:val="none"/>
          <w:shd w:val="clear" w:color="auto" w:fill="FFFFFF"/>
          <w:lang w:eastAsia="zh-CN"/>
        </w:rPr>
        <w:t>谈判报价</w:t>
      </w:r>
      <w:r>
        <w:rPr>
          <w:rFonts w:hint="eastAsia" w:ascii="宋体" w:hAnsi="宋体" w:cs="宋体"/>
          <w:color w:val="333333"/>
          <w:kern w:val="0"/>
          <w:szCs w:val="21"/>
          <w:highlight w:val="none"/>
          <w:shd w:val="clear" w:color="auto" w:fill="FFFFFF"/>
        </w:rPr>
        <w:t>应结合当地市场价格，充分考虑本工程的施工条件、踏勘现场的实际情况及本工程的相关潜在风险（本工程施工期间若人工费、机械费价格上涨，结算时人工费、机械费价格均不作调整），依据本企业自身实力、技术及管理水平等自主报价；③本工程在施工过程中，采购人有权修改该工程的量、项等相关内容，成交人必须无条件接受，并不得因此要求采购人在</w:t>
      </w:r>
      <w:r>
        <w:rPr>
          <w:rFonts w:hint="eastAsia" w:ascii="宋体" w:hAnsi="宋体" w:cs="宋体"/>
          <w:color w:val="333333"/>
          <w:kern w:val="0"/>
          <w:szCs w:val="21"/>
          <w:highlight w:val="none"/>
          <w:shd w:val="clear" w:color="auto" w:fill="FFFFFF"/>
          <w:lang w:eastAsia="zh-CN"/>
        </w:rPr>
        <w:t>谈判采购文件</w:t>
      </w:r>
      <w:r>
        <w:rPr>
          <w:rFonts w:hint="eastAsia" w:ascii="宋体" w:hAnsi="宋体" w:cs="宋体"/>
          <w:color w:val="333333"/>
          <w:kern w:val="0"/>
          <w:szCs w:val="21"/>
          <w:highlight w:val="none"/>
          <w:shd w:val="clear" w:color="auto" w:fill="FFFFFF"/>
        </w:rPr>
        <w:t>规定以外的计价原则另行计价，各</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须充分考虑由此产生的风险及费用</w:t>
      </w:r>
    </w:p>
    <w:p w14:paraId="00B1840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xxv.税金：①进项税额计算方法：按《重庆市住房和城乡建设委员会关于适用增值税新税率调整建设工程计价依据的通知》（渝建〔2019〕143号）文件规定执行；②销项税额计算方法：按《重庆市住房和城乡建设委员会关于适用增值税新税率调整建设工程计价依据的通知》（渝建〔2019〕143号）文件规定执行；③如有最新相关文件出台，按最新文件执行</w:t>
      </w:r>
    </w:p>
    <w:p w14:paraId="60F1F4D4">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cs="宋体"/>
          <w:color w:val="FF0000"/>
          <w:kern w:val="0"/>
          <w:szCs w:val="21"/>
          <w:highlight w:val="none"/>
          <w:shd w:val="clear" w:color="auto" w:fill="FFFFFF"/>
        </w:rPr>
      </w:pPr>
      <w:r>
        <w:rPr>
          <w:rFonts w:hint="eastAsia" w:ascii="宋体" w:hAnsi="宋体" w:cs="宋体"/>
          <w:color w:val="333333"/>
          <w:kern w:val="0"/>
          <w:szCs w:val="21"/>
          <w:highlight w:val="none"/>
          <w:shd w:val="clear" w:color="auto" w:fill="FFFFFF"/>
        </w:rPr>
        <w:t>xxvi.本工程设置</w:t>
      </w:r>
      <w:r>
        <w:rPr>
          <w:rFonts w:hint="eastAsia" w:ascii="宋体" w:hAnsi="宋体" w:cs="宋体"/>
          <w:color w:val="333333"/>
          <w:kern w:val="0"/>
          <w:szCs w:val="21"/>
          <w:highlight w:val="none"/>
          <w:shd w:val="clear" w:color="auto" w:fill="FFFFFF"/>
          <w:lang w:eastAsia="zh-CN"/>
        </w:rPr>
        <w:t>谈判总报价</w:t>
      </w:r>
      <w:r>
        <w:rPr>
          <w:rFonts w:hint="eastAsia" w:ascii="宋体" w:hAnsi="宋体" w:cs="宋体"/>
          <w:color w:val="333333"/>
          <w:kern w:val="0"/>
          <w:szCs w:val="21"/>
          <w:highlight w:val="none"/>
          <w:shd w:val="clear" w:color="auto" w:fill="FFFFFF"/>
        </w:rPr>
        <w:t>最高限价，本工程</w:t>
      </w:r>
      <w:r>
        <w:rPr>
          <w:rFonts w:hint="eastAsia" w:ascii="宋体" w:hAnsi="宋体" w:cs="宋体"/>
          <w:color w:val="333333"/>
          <w:kern w:val="0"/>
          <w:szCs w:val="21"/>
          <w:highlight w:val="none"/>
          <w:shd w:val="clear" w:color="auto" w:fill="FFFFFF"/>
          <w:lang w:eastAsia="zh-CN"/>
        </w:rPr>
        <w:t>谈判总报价</w:t>
      </w:r>
      <w:r>
        <w:rPr>
          <w:rFonts w:hint="eastAsia" w:ascii="宋体" w:hAnsi="宋体" w:cs="宋体"/>
          <w:color w:val="333333"/>
          <w:kern w:val="0"/>
          <w:szCs w:val="21"/>
          <w:highlight w:val="none"/>
          <w:shd w:val="clear" w:color="auto" w:fill="FFFFFF"/>
        </w:rPr>
        <w:t>最高限价为：</w:t>
      </w:r>
      <w:r>
        <w:rPr>
          <w:rFonts w:hint="eastAsia" w:ascii="宋体" w:hAnsi="宋体" w:cs="宋体"/>
          <w:color w:val="FF0000"/>
          <w:kern w:val="0"/>
          <w:szCs w:val="21"/>
          <w:highlight w:val="none"/>
          <w:u w:val="single"/>
          <w:shd w:val="clear" w:color="auto" w:fill="FFFFFF"/>
        </w:rPr>
        <w:t xml:space="preserve"> </w:t>
      </w:r>
      <w:r>
        <w:rPr>
          <w:rFonts w:hint="eastAsia" w:ascii="宋体" w:hAnsi="宋体" w:cs="宋体"/>
          <w:color w:val="FF0000"/>
          <w:kern w:val="0"/>
          <w:szCs w:val="21"/>
          <w:highlight w:val="none"/>
          <w:u w:val="single"/>
          <w:shd w:val="clear" w:color="auto" w:fill="FFFFFF"/>
          <w:lang w:val="en-US" w:eastAsia="zh-CN"/>
        </w:rPr>
        <w:t xml:space="preserve">2110619.88 </w:t>
      </w:r>
      <w:r>
        <w:rPr>
          <w:rFonts w:hint="eastAsia" w:ascii="宋体" w:hAnsi="宋体" w:cs="宋体"/>
          <w:color w:val="FF0000"/>
          <w:kern w:val="0"/>
          <w:szCs w:val="21"/>
          <w:highlight w:val="none"/>
          <w:u w:val="single"/>
          <w:shd w:val="clear" w:color="auto" w:fill="FFFFFF"/>
        </w:rPr>
        <w:t>元（大写：</w:t>
      </w:r>
      <w:r>
        <w:rPr>
          <w:rFonts w:hint="eastAsia" w:ascii="宋体" w:hAnsi="宋体" w:cs="宋体"/>
          <w:color w:val="FF0000"/>
          <w:kern w:val="0"/>
          <w:szCs w:val="21"/>
          <w:highlight w:val="none"/>
          <w:u w:val="single"/>
          <w:shd w:val="clear" w:color="auto" w:fill="FFFFFF"/>
          <w:lang w:val="en-US" w:eastAsia="zh-CN"/>
        </w:rPr>
        <w:t xml:space="preserve">贰佰壹拾壹万零陆佰壹拾玖元捌角捌分 </w:t>
      </w:r>
      <w:r>
        <w:rPr>
          <w:rFonts w:hint="eastAsia" w:ascii="宋体" w:hAnsi="宋体" w:cs="宋体"/>
          <w:color w:val="FF0000"/>
          <w:kern w:val="0"/>
          <w:szCs w:val="21"/>
          <w:highlight w:val="none"/>
          <w:u w:val="single"/>
          <w:shd w:val="clear" w:color="auto" w:fill="FFFFFF"/>
        </w:rPr>
        <w:t>）</w:t>
      </w:r>
      <w:r>
        <w:rPr>
          <w:rFonts w:hint="eastAsia" w:ascii="宋体" w:hAnsi="宋体" w:cs="宋体"/>
          <w:color w:val="333333"/>
          <w:kern w:val="0"/>
          <w:szCs w:val="21"/>
          <w:highlight w:val="none"/>
          <w:shd w:val="clear" w:color="auto" w:fill="FFFFFF"/>
        </w:rPr>
        <w:t>。</w:t>
      </w:r>
      <w:r>
        <w:rPr>
          <w:rFonts w:hint="eastAsia" w:ascii="宋体" w:hAnsi="宋体" w:cs="宋体"/>
          <w:color w:val="FF0000"/>
          <w:kern w:val="0"/>
          <w:szCs w:val="21"/>
          <w:highlight w:val="none"/>
          <w:shd w:val="clear" w:color="auto" w:fill="FFFFFF"/>
        </w:rPr>
        <w:t>大于</w:t>
      </w:r>
      <w:r>
        <w:rPr>
          <w:rFonts w:hint="eastAsia" w:ascii="宋体" w:hAnsi="宋体" w:cs="宋体"/>
          <w:color w:val="FF0000"/>
          <w:kern w:val="0"/>
          <w:szCs w:val="21"/>
          <w:highlight w:val="none"/>
          <w:shd w:val="clear" w:color="auto" w:fill="FFFFFF"/>
          <w:lang w:eastAsia="zh-CN"/>
        </w:rPr>
        <w:t>竞价</w:t>
      </w:r>
      <w:r>
        <w:rPr>
          <w:rFonts w:hint="eastAsia" w:ascii="宋体" w:hAnsi="宋体" w:cs="宋体"/>
          <w:color w:val="FF0000"/>
          <w:kern w:val="0"/>
          <w:szCs w:val="21"/>
          <w:highlight w:val="none"/>
          <w:shd w:val="clear" w:color="auto" w:fill="FFFFFF"/>
        </w:rPr>
        <w:t>最高限价的为无效报价，其</w:t>
      </w:r>
      <w:r>
        <w:rPr>
          <w:rFonts w:hint="eastAsia" w:ascii="宋体" w:hAnsi="宋体" w:cs="宋体"/>
          <w:color w:val="FF0000"/>
          <w:kern w:val="0"/>
          <w:szCs w:val="21"/>
          <w:highlight w:val="none"/>
          <w:shd w:val="clear" w:color="auto" w:fill="FFFFFF"/>
          <w:lang w:eastAsia="zh-CN"/>
        </w:rPr>
        <w:t>谈判文件</w:t>
      </w:r>
      <w:r>
        <w:rPr>
          <w:rFonts w:hint="eastAsia" w:ascii="宋体" w:hAnsi="宋体" w:cs="宋体"/>
          <w:color w:val="FF0000"/>
          <w:kern w:val="0"/>
          <w:szCs w:val="21"/>
          <w:highlight w:val="none"/>
          <w:shd w:val="clear" w:color="auto" w:fill="FFFFFF"/>
        </w:rPr>
        <w:t>作否决报价处理。</w:t>
      </w:r>
    </w:p>
    <w:p w14:paraId="32E1003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本工程将设置全部工程量清单综合单价最高限价，</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的每项清单综合单价报价不得超过每项清单综合单价最高限价，所有分部分项工程量清单综合单价报价最高限价详见附件。</w:t>
      </w:r>
    </w:p>
    <w:p w14:paraId="02F657B2">
      <w:pPr>
        <w:numPr>
          <w:ilvl w:val="0"/>
          <w:numId w:val="3"/>
        </w:numPr>
        <w:spacing w:line="440" w:lineRule="exact"/>
        <w:jc w:val="left"/>
        <w:outlineLvl w:val="0"/>
        <w:rPr>
          <w:rFonts w:ascii="宋体" w:hAnsi="宋体"/>
          <w:b/>
          <w:snapToGrid w:val="0"/>
          <w:kern w:val="0"/>
          <w:szCs w:val="21"/>
        </w:rPr>
      </w:pPr>
      <w:r>
        <w:rPr>
          <w:rFonts w:hint="eastAsia" w:ascii="宋体" w:hAnsi="宋体"/>
          <w:b/>
          <w:snapToGrid w:val="0"/>
          <w:kern w:val="0"/>
          <w:szCs w:val="21"/>
        </w:rPr>
        <w:t>谈判采购办法</w:t>
      </w:r>
    </w:p>
    <w:p w14:paraId="22B908E4">
      <w:pPr>
        <w:spacing w:after="24" w:afterLines="10" w:line="400" w:lineRule="exact"/>
        <w:ind w:firstLine="420" w:firstLineChars="200"/>
        <w:jc w:val="left"/>
        <w:rPr>
          <w:rStyle w:val="24"/>
          <w:rFonts w:ascii="宋体" w:hAnsi="宋体" w:cs="宋体"/>
          <w:color w:val="auto"/>
          <w:kern w:val="0"/>
          <w:highlight w:val="none"/>
        </w:rPr>
      </w:pPr>
      <w:r>
        <w:rPr>
          <w:rFonts w:hint="eastAsia" w:ascii="宋体" w:hAnsi="宋体" w:cs="宋体"/>
          <w:color w:val="auto"/>
          <w:szCs w:val="21"/>
          <w:highlight w:val="none"/>
        </w:rPr>
        <w:t>5.1</w:t>
      </w:r>
      <w:r>
        <w:rPr>
          <w:rFonts w:hint="eastAsia" w:ascii="宋体" w:hAnsi="宋体" w:cs="Tahoma"/>
          <w:color w:val="auto"/>
          <w:szCs w:val="21"/>
          <w:highlight w:val="none"/>
        </w:rPr>
        <w:t>本次谈判采购采取</w:t>
      </w:r>
      <w:r>
        <w:rPr>
          <w:rStyle w:val="24"/>
          <w:rFonts w:ascii="宋体" w:hAnsi="宋体" w:cs="宋体"/>
          <w:color w:val="auto"/>
          <w:kern w:val="0"/>
          <w:highlight w:val="none"/>
        </w:rPr>
        <w:t>综合评分法</w:t>
      </w:r>
      <w:r>
        <w:rPr>
          <w:rStyle w:val="24"/>
          <w:rFonts w:hint="eastAsia" w:ascii="宋体" w:hAnsi="宋体" w:cs="宋体"/>
          <w:color w:val="auto"/>
          <w:kern w:val="0"/>
          <w:highlight w:val="none"/>
        </w:rPr>
        <w:t>。</w:t>
      </w:r>
    </w:p>
    <w:p w14:paraId="0B96ECC3">
      <w:pPr>
        <w:numPr>
          <w:ilvl w:val="0"/>
          <w:numId w:val="4"/>
        </w:numPr>
        <w:spacing w:after="24" w:afterLines="10" w:line="400" w:lineRule="exact"/>
        <w:ind w:firstLine="420" w:firstLineChars="200"/>
        <w:jc w:val="left"/>
        <w:rPr>
          <w:rFonts w:ascii="宋体" w:hAnsi="宋体"/>
          <w:color w:val="auto"/>
          <w:kern w:val="0"/>
          <w:szCs w:val="21"/>
          <w:highlight w:val="none"/>
        </w:rPr>
      </w:pPr>
      <w:r>
        <w:rPr>
          <w:rFonts w:hint="eastAsia" w:ascii="宋体" w:hAnsi="宋体"/>
          <w:color w:val="auto"/>
          <w:kern w:val="0"/>
          <w:szCs w:val="21"/>
          <w:highlight w:val="none"/>
        </w:rPr>
        <w:t>对报价不高于最高限价的所有竞选人的谈判文件，进入符合性审查。</w:t>
      </w:r>
    </w:p>
    <w:p w14:paraId="4411C264">
      <w:pPr>
        <w:numPr>
          <w:ilvl w:val="0"/>
          <w:numId w:val="4"/>
        </w:numPr>
        <w:spacing w:after="24" w:afterLines="10" w:line="400" w:lineRule="exact"/>
        <w:ind w:firstLine="420" w:firstLineChars="200"/>
        <w:jc w:val="left"/>
        <w:rPr>
          <w:rFonts w:ascii="宋体" w:hAnsi="宋体"/>
          <w:color w:val="auto"/>
          <w:kern w:val="0"/>
          <w:szCs w:val="21"/>
          <w:highlight w:val="none"/>
        </w:rPr>
      </w:pPr>
      <w:r>
        <w:rPr>
          <w:rFonts w:hint="eastAsia" w:ascii="宋体" w:hAnsi="宋体"/>
          <w:color w:val="auto"/>
          <w:kern w:val="0"/>
          <w:szCs w:val="21"/>
          <w:highlight w:val="none"/>
        </w:rPr>
        <w:t>符合性审查合格的竞选人中，综合评分最高的成为第一成交候选人，综合评分次高的成为第二成交候选人，依次类推。</w:t>
      </w:r>
    </w:p>
    <w:p w14:paraId="5A2CF5C8">
      <w:pPr>
        <w:numPr>
          <w:ilvl w:val="0"/>
          <w:numId w:val="4"/>
        </w:numPr>
        <w:spacing w:after="24" w:afterLines="10" w:line="400" w:lineRule="exact"/>
        <w:ind w:firstLine="420" w:firstLineChars="200"/>
        <w:jc w:val="left"/>
        <w:rPr>
          <w:rFonts w:ascii="宋体" w:hAnsi="宋体"/>
          <w:color w:val="auto"/>
          <w:kern w:val="0"/>
          <w:szCs w:val="21"/>
          <w:highlight w:val="none"/>
        </w:rPr>
      </w:pPr>
      <w:r>
        <w:rPr>
          <w:rFonts w:hint="eastAsia" w:ascii="宋体" w:hAnsi="宋体"/>
          <w:color w:val="auto"/>
          <w:kern w:val="0"/>
          <w:szCs w:val="21"/>
          <w:highlight w:val="none"/>
        </w:rPr>
        <w:t>因谈判小组作否决处理，导致有效</w:t>
      </w:r>
      <w:r>
        <w:rPr>
          <w:rFonts w:hint="eastAsia" w:ascii="宋体" w:hAnsi="宋体"/>
          <w:color w:val="auto"/>
          <w:kern w:val="0"/>
          <w:szCs w:val="21"/>
          <w:highlight w:val="none"/>
          <w:lang w:eastAsia="zh-CN"/>
        </w:rPr>
        <w:t>报价人</w:t>
      </w:r>
      <w:r>
        <w:rPr>
          <w:rFonts w:hint="eastAsia" w:ascii="宋体" w:hAnsi="宋体"/>
          <w:color w:val="auto"/>
          <w:kern w:val="0"/>
          <w:szCs w:val="21"/>
          <w:highlight w:val="none"/>
        </w:rPr>
        <w:t>不足三个的，谈判小组应当否决所有谈判文件。</w:t>
      </w:r>
    </w:p>
    <w:p w14:paraId="699A52AB">
      <w:pPr>
        <w:spacing w:line="440" w:lineRule="exact"/>
        <w:jc w:val="left"/>
        <w:outlineLvl w:val="0"/>
        <w:rPr>
          <w:rFonts w:ascii="宋体" w:hAnsi="宋体"/>
          <w:b/>
          <w:snapToGrid w:val="0"/>
          <w:kern w:val="0"/>
          <w:szCs w:val="21"/>
        </w:rPr>
      </w:pPr>
      <w:r>
        <w:rPr>
          <w:rFonts w:hint="eastAsia" w:ascii="宋体" w:hAnsi="宋体"/>
          <w:b/>
          <w:snapToGrid w:val="0"/>
          <w:kern w:val="0"/>
          <w:szCs w:val="21"/>
        </w:rPr>
        <w:t>6.谈判采购文件的获取</w:t>
      </w:r>
      <w:bookmarkEnd w:id="42"/>
      <w:bookmarkEnd w:id="43"/>
      <w:bookmarkEnd w:id="44"/>
      <w:bookmarkEnd w:id="45"/>
      <w:bookmarkEnd w:id="46"/>
      <w:bookmarkEnd w:id="47"/>
      <w:bookmarkEnd w:id="48"/>
      <w:bookmarkEnd w:id="49"/>
      <w:bookmarkEnd w:id="50"/>
      <w:bookmarkEnd w:id="51"/>
    </w:p>
    <w:p w14:paraId="007176A6">
      <w:pPr>
        <w:keepNext w:val="0"/>
        <w:keepLines w:val="0"/>
        <w:pageBreakBefore w:val="0"/>
        <w:widowControl w:val="0"/>
        <w:tabs>
          <w:tab w:val="left" w:pos="3850"/>
          <w:tab w:val="left" w:pos="3980"/>
          <w:tab w:val="left" w:pos="4100"/>
          <w:tab w:val="left" w:pos="4600"/>
          <w:tab w:val="left" w:pos="5360"/>
          <w:tab w:val="left" w:pos="5460"/>
          <w:tab w:val="left" w:pos="6200"/>
          <w:tab w:val="left" w:pos="6327"/>
          <w:tab w:val="left" w:pos="6901"/>
        </w:tabs>
        <w:kinsoku/>
        <w:wordWrap/>
        <w:overflowPunct/>
        <w:topLinePunct w:val="0"/>
        <w:autoSpaceDE w:val="0"/>
        <w:autoSpaceDN w:val="0"/>
        <w:bidi w:val="0"/>
        <w:adjustRightInd/>
        <w:snapToGrid/>
        <w:spacing w:line="440" w:lineRule="exact"/>
        <w:ind w:firstLine="420" w:firstLineChars="200"/>
        <w:textAlignment w:val="auto"/>
        <w:rPr>
          <w:rFonts w:ascii="宋体" w:hAnsi="宋体" w:cs="宋体"/>
          <w:szCs w:val="21"/>
        </w:rPr>
      </w:pPr>
      <w:bookmarkStart w:id="52" w:name="_Toc21446"/>
      <w:bookmarkStart w:id="53" w:name="_Toc5692"/>
      <w:bookmarkStart w:id="54" w:name="_Toc24060"/>
      <w:bookmarkStart w:id="55" w:name="_Toc4653"/>
      <w:bookmarkStart w:id="56" w:name="_Toc1075"/>
      <w:bookmarkStart w:id="57" w:name="_Toc784"/>
      <w:r>
        <w:rPr>
          <w:rFonts w:hint="eastAsia" w:ascii="宋体" w:hAnsi="宋体" w:cs="宋体"/>
          <w:szCs w:val="21"/>
        </w:rPr>
        <w:t>6.1 凡有意参加谈判采购者，请于北京时间</w:t>
      </w:r>
      <w:r>
        <w:rPr>
          <w:rFonts w:hint="eastAsia" w:ascii="宋体" w:hAnsi="宋体" w:cs="宋体"/>
          <w:szCs w:val="21"/>
          <w:u w:val="single"/>
        </w:rPr>
        <w:t xml:space="preserve"> 　</w:t>
      </w:r>
      <w:r>
        <w:rPr>
          <w:rFonts w:hint="eastAsia" w:ascii="宋体" w:hAnsi="宋体" w:cs="宋体"/>
          <w:szCs w:val="21"/>
          <w:u w:val="single"/>
          <w:lang w:val="en-US" w:eastAsia="zh-CN"/>
        </w:rPr>
        <w:t>2026</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u w:val="single"/>
          <w:lang w:val="en-US" w:eastAsia="zh-CN"/>
        </w:rPr>
        <w:t>9</w:t>
      </w:r>
      <w:r>
        <w:rPr>
          <w:rFonts w:hint="eastAsia" w:ascii="宋体" w:hAnsi="宋体" w:cs="宋体"/>
          <w:szCs w:val="21"/>
          <w:u w:val="single"/>
        </w:rPr>
        <w:t>　</w:t>
      </w:r>
      <w:r>
        <w:rPr>
          <w:rFonts w:hint="eastAsia" w:ascii="宋体" w:hAnsi="宋体" w:cs="宋体"/>
          <w:szCs w:val="21"/>
        </w:rPr>
        <w:t xml:space="preserve">月 </w:t>
      </w:r>
      <w:r>
        <w:rPr>
          <w:rFonts w:hint="eastAsia" w:ascii="宋体" w:hAnsi="宋体" w:cs="宋体"/>
          <w:szCs w:val="21"/>
          <w:u w:val="single"/>
        </w:rPr>
        <w:t>　</w:t>
      </w:r>
      <w:r>
        <w:rPr>
          <w:rFonts w:hint="eastAsia" w:ascii="宋体" w:hAnsi="宋体" w:cs="宋体"/>
          <w:szCs w:val="21"/>
          <w:u w:val="single"/>
          <w:lang w:val="en-US" w:eastAsia="zh-CN"/>
        </w:rPr>
        <w:t xml:space="preserve">19  </w:t>
      </w:r>
      <w:r>
        <w:rPr>
          <w:rFonts w:hint="eastAsia" w:ascii="宋体" w:hAnsi="宋体" w:cs="宋体"/>
          <w:szCs w:val="21"/>
        </w:rPr>
        <w:t>日至</w:t>
      </w:r>
      <w:r>
        <w:rPr>
          <w:rFonts w:hint="eastAsia" w:ascii="宋体" w:hAnsi="宋体" w:cs="宋体"/>
          <w:szCs w:val="21"/>
          <w:u w:val="single"/>
        </w:rPr>
        <w:t xml:space="preserve"> 　</w:t>
      </w:r>
      <w:r>
        <w:rPr>
          <w:rFonts w:hint="eastAsia" w:ascii="宋体" w:hAnsi="宋体" w:cs="宋体"/>
          <w:szCs w:val="21"/>
          <w:u w:val="single"/>
          <w:lang w:val="en-US" w:eastAsia="zh-CN"/>
        </w:rPr>
        <w:t>2026</w:t>
      </w:r>
      <w:r>
        <w:rPr>
          <w:rFonts w:hint="eastAsia" w:ascii="宋体" w:hAnsi="宋体" w:cs="宋体"/>
          <w:szCs w:val="21"/>
          <w:u w:val="single"/>
        </w:rPr>
        <w:t xml:space="preserve"> </w:t>
      </w:r>
      <w:r>
        <w:rPr>
          <w:rFonts w:hint="eastAsia" w:ascii="宋体" w:hAnsi="宋体" w:cs="宋体"/>
          <w:szCs w:val="21"/>
        </w:rPr>
        <w:t xml:space="preserve">年 </w:t>
      </w:r>
      <w:r>
        <w:rPr>
          <w:rFonts w:hint="eastAsia" w:ascii="宋体" w:hAnsi="宋体" w:cs="宋体"/>
          <w:szCs w:val="21"/>
          <w:u w:val="single"/>
        </w:rPr>
        <w:t xml:space="preserve"> 　</w:t>
      </w:r>
      <w:r>
        <w:rPr>
          <w:rFonts w:ascii="宋体" w:hAnsi="宋体" w:cs="宋体"/>
          <w:szCs w:val="21"/>
          <w:u w:val="single"/>
        </w:rPr>
        <w:t xml:space="preserve"> </w:t>
      </w:r>
      <w:r>
        <w:rPr>
          <w:rFonts w:hint="eastAsia" w:ascii="宋体" w:hAnsi="宋体" w:cs="宋体"/>
          <w:szCs w:val="21"/>
          <w:u w:val="single"/>
          <w:lang w:val="en-US" w:eastAsia="zh-CN"/>
        </w:rPr>
        <w:t>9</w:t>
      </w:r>
      <w:r>
        <w:rPr>
          <w:rFonts w:hint="eastAsia" w:ascii="宋体" w:hAnsi="宋体" w:cs="宋体"/>
          <w:szCs w:val="21"/>
        </w:rPr>
        <w:t>月</w:t>
      </w:r>
      <w:r>
        <w:rPr>
          <w:rFonts w:hint="eastAsia" w:ascii="宋体" w:hAnsi="宋体" w:cs="宋体"/>
          <w:szCs w:val="21"/>
          <w:u w:val="single"/>
        </w:rPr>
        <w:t>　</w:t>
      </w:r>
      <w:r>
        <w:rPr>
          <w:rFonts w:hint="eastAsia" w:ascii="宋体" w:hAnsi="宋体" w:cs="宋体"/>
          <w:szCs w:val="21"/>
          <w:u w:val="single"/>
          <w:lang w:val="en-US" w:eastAsia="zh-CN"/>
        </w:rPr>
        <w:t xml:space="preserve">21 </w:t>
      </w:r>
      <w:r>
        <w:rPr>
          <w:rFonts w:hint="eastAsia" w:ascii="宋体" w:hAnsi="宋体" w:cs="宋体"/>
          <w:szCs w:val="21"/>
          <w:u w:val="single"/>
        </w:rPr>
        <w:t>　</w:t>
      </w:r>
      <w:r>
        <w:rPr>
          <w:rFonts w:hint="eastAsia" w:ascii="宋体" w:hAnsi="宋体" w:cs="宋体"/>
          <w:szCs w:val="21"/>
        </w:rPr>
        <w:t>日，每日9:00时至17:00时通过6.2载明的方式获谈判采购文件。</w:t>
      </w:r>
    </w:p>
    <w:p w14:paraId="7EC75D33">
      <w:pPr>
        <w:keepNext w:val="0"/>
        <w:keepLines w:val="0"/>
        <w:pageBreakBefore w:val="0"/>
        <w:widowControl w:val="0"/>
        <w:tabs>
          <w:tab w:val="left" w:pos="3850"/>
          <w:tab w:val="left" w:pos="3980"/>
          <w:tab w:val="left" w:pos="4100"/>
          <w:tab w:val="left" w:pos="4600"/>
          <w:tab w:val="left" w:pos="5360"/>
          <w:tab w:val="left" w:pos="5460"/>
          <w:tab w:val="left" w:pos="6200"/>
          <w:tab w:val="left" w:pos="6327"/>
          <w:tab w:val="left" w:pos="6901"/>
        </w:tabs>
        <w:kinsoku/>
        <w:wordWrap/>
        <w:overflowPunct/>
        <w:topLinePunct w:val="0"/>
        <w:autoSpaceDE w:val="0"/>
        <w:autoSpaceDN w:val="0"/>
        <w:bidi w:val="0"/>
        <w:adjustRightInd/>
        <w:snapToGrid/>
        <w:spacing w:line="440" w:lineRule="exact"/>
        <w:ind w:firstLine="420" w:firstLineChars="200"/>
        <w:textAlignment w:val="auto"/>
        <w:rPr>
          <w:rFonts w:ascii="宋体" w:hAnsi="宋体" w:cs="宋体"/>
          <w:szCs w:val="21"/>
        </w:rPr>
      </w:pPr>
      <w:r>
        <w:rPr>
          <w:rFonts w:hint="eastAsia" w:ascii="宋体" w:hAnsi="宋体" w:cs="宋体"/>
          <w:szCs w:val="21"/>
        </w:rPr>
        <w:t>6.2</w:t>
      </w:r>
      <w:r>
        <w:rPr>
          <w:rFonts w:ascii="宋体" w:hAnsi="宋体" w:cs="宋体"/>
          <w:szCs w:val="21"/>
        </w:rPr>
        <w:t xml:space="preserve"> </w:t>
      </w:r>
      <w:r>
        <w:rPr>
          <w:rFonts w:hint="eastAsia" w:ascii="宋体" w:hAnsi="宋体" w:cs="宋体"/>
          <w:szCs w:val="21"/>
        </w:rPr>
        <w:t>取得谈判采购文件的方式：</w:t>
      </w:r>
    </w:p>
    <w:p w14:paraId="0853133D">
      <w:pPr>
        <w:keepNext w:val="0"/>
        <w:keepLines w:val="0"/>
        <w:pageBreakBefore w:val="0"/>
        <w:widowControl w:val="0"/>
        <w:kinsoku/>
        <w:wordWrap/>
        <w:overflowPunct/>
        <w:topLinePunct w:val="0"/>
        <w:bidi w:val="0"/>
        <w:adjustRightInd/>
        <w:snapToGrid/>
        <w:spacing w:line="440" w:lineRule="exact"/>
        <w:ind w:firstLine="420" w:firstLineChars="200"/>
        <w:textAlignment w:val="auto"/>
        <w:rPr>
          <w:rFonts w:ascii="宋体" w:hAnsi="宋体"/>
          <w:szCs w:val="21"/>
        </w:rPr>
      </w:pPr>
      <w:r>
        <w:rPr>
          <w:rFonts w:hint="eastAsia" w:ascii="宋体" w:hAnsi="宋体"/>
          <w:szCs w:val="21"/>
        </w:rPr>
        <w:t>采   购</w:t>
      </w:r>
      <w:r>
        <w:rPr>
          <w:rFonts w:ascii="宋体" w:hAnsi="宋体"/>
          <w:szCs w:val="21"/>
        </w:rPr>
        <w:t xml:space="preserve">   人：</w:t>
      </w:r>
      <w:r>
        <w:rPr>
          <w:rFonts w:hint="eastAsia" w:ascii="宋体" w:hAnsi="宋体"/>
          <w:szCs w:val="21"/>
        </w:rPr>
        <w:t>重庆国际复合材料股份有限公司</w:t>
      </w:r>
    </w:p>
    <w:p w14:paraId="1DB61F6C">
      <w:pPr>
        <w:keepNext w:val="0"/>
        <w:keepLines w:val="0"/>
        <w:pageBreakBefore w:val="0"/>
        <w:widowControl w:val="0"/>
        <w:kinsoku/>
        <w:wordWrap/>
        <w:overflowPunct/>
        <w:topLinePunct w:val="0"/>
        <w:bidi w:val="0"/>
        <w:adjustRightInd/>
        <w:snapToGrid/>
        <w:spacing w:line="440" w:lineRule="exact"/>
        <w:ind w:firstLine="420" w:firstLineChars="200"/>
        <w:textAlignment w:val="auto"/>
        <w:rPr>
          <w:rFonts w:ascii="宋体" w:hAnsi="宋体"/>
          <w:szCs w:val="21"/>
        </w:rPr>
      </w:pPr>
      <w:r>
        <w:rPr>
          <w:rFonts w:ascii="宋体" w:hAnsi="宋体"/>
          <w:szCs w:val="21"/>
        </w:rPr>
        <w:t xml:space="preserve">办 </w:t>
      </w:r>
      <w:r>
        <w:rPr>
          <w:rFonts w:hint="eastAsia" w:ascii="宋体" w:hAnsi="宋体"/>
          <w:szCs w:val="21"/>
        </w:rPr>
        <w:t xml:space="preserve"> </w:t>
      </w:r>
      <w:r>
        <w:rPr>
          <w:rFonts w:ascii="宋体" w:hAnsi="宋体"/>
          <w:szCs w:val="21"/>
        </w:rPr>
        <w:t>公 地 址：</w:t>
      </w:r>
      <w:r>
        <w:rPr>
          <w:rFonts w:hint="eastAsia" w:ascii="宋体" w:hAnsi="宋体"/>
          <w:szCs w:val="21"/>
        </w:rPr>
        <w:t>重庆市大渡口区建桥工业园</w:t>
      </w:r>
      <w:r>
        <w:rPr>
          <w:rFonts w:ascii="宋体" w:hAnsi="宋体"/>
          <w:szCs w:val="21"/>
        </w:rPr>
        <w:t>B</w:t>
      </w:r>
      <w:r>
        <w:rPr>
          <w:rFonts w:hint="eastAsia" w:ascii="宋体" w:hAnsi="宋体"/>
          <w:szCs w:val="21"/>
        </w:rPr>
        <w:t>区</w:t>
      </w:r>
    </w:p>
    <w:p w14:paraId="21E5C45F">
      <w:pPr>
        <w:keepNext w:val="0"/>
        <w:keepLines w:val="0"/>
        <w:pageBreakBefore w:val="0"/>
        <w:widowControl w:val="0"/>
        <w:kinsoku/>
        <w:wordWrap/>
        <w:overflowPunct/>
        <w:topLinePunct w:val="0"/>
        <w:bidi w:val="0"/>
        <w:adjustRightInd/>
        <w:snapToGrid/>
        <w:spacing w:line="440" w:lineRule="exact"/>
        <w:ind w:firstLine="420" w:firstLineChars="200"/>
        <w:textAlignment w:val="auto"/>
        <w:rPr>
          <w:rFonts w:ascii="宋体" w:hAnsi="宋体" w:cs="宋体"/>
          <w:szCs w:val="21"/>
        </w:rPr>
      </w:pPr>
      <w:r>
        <w:rPr>
          <w:rFonts w:ascii="宋体" w:hAnsi="宋体"/>
          <w:szCs w:val="21"/>
        </w:rPr>
        <w:t>联   系   人：</w:t>
      </w:r>
      <w:r>
        <w:rPr>
          <w:rFonts w:hint="eastAsia" w:ascii="宋体" w:hAnsi="宋体"/>
          <w:szCs w:val="21"/>
          <w:u w:val="single"/>
        </w:rPr>
        <w:t xml:space="preserve">     杨老师    </w:t>
      </w:r>
      <w:r>
        <w:rPr>
          <w:rFonts w:hint="eastAsia" w:ascii="宋体" w:hAnsi="宋体"/>
          <w:szCs w:val="21"/>
        </w:rPr>
        <w:t xml:space="preserve"> </w:t>
      </w:r>
      <w:r>
        <w:rPr>
          <w:rFonts w:ascii="宋体" w:hAnsi="宋体"/>
          <w:szCs w:val="21"/>
        </w:rPr>
        <w:t>联系电话：</w:t>
      </w:r>
      <w:r>
        <w:rPr>
          <w:rFonts w:hint="eastAsia" w:ascii="宋体" w:hAnsi="宋体"/>
          <w:szCs w:val="21"/>
          <w:u w:val="single"/>
        </w:rPr>
        <w:t xml:space="preserve"> 18983993055</w:t>
      </w:r>
    </w:p>
    <w:p w14:paraId="29E727FE">
      <w:pPr>
        <w:keepNext w:val="0"/>
        <w:keepLines w:val="0"/>
        <w:pageBreakBefore w:val="0"/>
        <w:widowControl w:val="0"/>
        <w:kinsoku/>
        <w:wordWrap/>
        <w:overflowPunct/>
        <w:topLinePunct w:val="0"/>
        <w:bidi w:val="0"/>
        <w:adjustRightInd/>
        <w:snapToGrid/>
        <w:spacing w:line="440" w:lineRule="exact"/>
        <w:ind w:firstLine="420" w:firstLineChars="200"/>
        <w:textAlignment w:val="auto"/>
        <w:rPr>
          <w:rFonts w:ascii="宋体" w:hAnsi="宋体" w:cs="宋体"/>
          <w:szCs w:val="21"/>
          <w:highlight w:val="none"/>
        </w:rPr>
      </w:pPr>
      <w:r>
        <w:rPr>
          <w:rFonts w:hint="eastAsia" w:ascii="宋体" w:hAnsi="宋体" w:cs="宋体"/>
          <w:szCs w:val="21"/>
          <w:highlight w:val="none"/>
        </w:rPr>
        <w:t>技 术 联系人：</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张老师  </w:t>
      </w:r>
      <w:r>
        <w:rPr>
          <w:rFonts w:hint="eastAsia" w:ascii="宋体" w:hAnsi="宋体"/>
          <w:szCs w:val="21"/>
          <w:highlight w:val="none"/>
          <w:u w:val="single"/>
        </w:rPr>
        <w:t xml:space="preserve">  </w:t>
      </w:r>
      <w:r>
        <w:rPr>
          <w:rFonts w:hint="eastAsia" w:ascii="宋体" w:hAnsi="宋体"/>
          <w:szCs w:val="21"/>
          <w:highlight w:val="none"/>
        </w:rPr>
        <w:t xml:space="preserve"> </w:t>
      </w:r>
      <w:r>
        <w:rPr>
          <w:rFonts w:ascii="宋体" w:hAnsi="宋体"/>
          <w:szCs w:val="21"/>
          <w:highlight w:val="none"/>
        </w:rPr>
        <w:t>联系电话</w:t>
      </w:r>
      <w:r>
        <w:rPr>
          <w:rFonts w:hint="eastAsia" w:ascii="宋体" w:hAnsi="宋体"/>
          <w:szCs w:val="21"/>
          <w:highlight w:val="none"/>
        </w:rPr>
        <w:t>：</w:t>
      </w:r>
      <w:r>
        <w:rPr>
          <w:rFonts w:hint="eastAsia" w:ascii="宋体" w:hAnsi="宋体"/>
          <w:szCs w:val="21"/>
          <w:highlight w:val="none"/>
          <w:u w:val="single"/>
        </w:rPr>
        <w:t xml:space="preserve">  </w:t>
      </w:r>
      <w:r>
        <w:rPr>
          <w:rFonts w:hint="eastAsia" w:ascii="宋体" w:hAnsi="宋体"/>
          <w:szCs w:val="21"/>
          <w:highlight w:val="none"/>
          <w:u w:val="single"/>
          <w:lang w:val="en-US" w:eastAsia="zh-CN"/>
        </w:rPr>
        <w:t>17782278355</w:t>
      </w:r>
      <w:r>
        <w:rPr>
          <w:rFonts w:hint="eastAsia" w:ascii="宋体" w:hAnsi="宋体"/>
          <w:szCs w:val="21"/>
          <w:highlight w:val="none"/>
          <w:u w:val="single"/>
        </w:rPr>
        <w:t xml:space="preserve"> </w:t>
      </w:r>
    </w:p>
    <w:p w14:paraId="590DC936">
      <w:pPr>
        <w:spacing w:line="440" w:lineRule="exact"/>
        <w:jc w:val="left"/>
        <w:outlineLvl w:val="0"/>
        <w:rPr>
          <w:rFonts w:ascii="宋体" w:hAnsi="宋体"/>
          <w:b/>
          <w:snapToGrid w:val="0"/>
          <w:kern w:val="0"/>
          <w:szCs w:val="21"/>
        </w:rPr>
      </w:pPr>
      <w:bookmarkStart w:id="58" w:name="_Toc1637"/>
      <w:bookmarkStart w:id="59" w:name="_Toc4279"/>
      <w:bookmarkStart w:id="60" w:name="_Toc4674"/>
      <w:bookmarkStart w:id="61" w:name="_Toc20721"/>
      <w:r>
        <w:rPr>
          <w:rFonts w:hint="eastAsia" w:ascii="宋体" w:hAnsi="宋体"/>
          <w:b/>
          <w:snapToGrid w:val="0"/>
          <w:kern w:val="0"/>
          <w:szCs w:val="21"/>
        </w:rPr>
        <w:t>7. 谈判文件的递交</w:t>
      </w:r>
      <w:bookmarkEnd w:id="52"/>
      <w:bookmarkEnd w:id="53"/>
      <w:bookmarkEnd w:id="54"/>
      <w:bookmarkEnd w:id="55"/>
      <w:bookmarkEnd w:id="56"/>
      <w:bookmarkEnd w:id="57"/>
      <w:bookmarkEnd w:id="58"/>
      <w:bookmarkEnd w:id="59"/>
      <w:bookmarkEnd w:id="60"/>
      <w:bookmarkEnd w:id="61"/>
    </w:p>
    <w:p w14:paraId="5C07186C">
      <w:pPr>
        <w:keepNext w:val="0"/>
        <w:keepLines w:val="0"/>
        <w:pageBreakBefore w:val="0"/>
        <w:widowControl w:val="0"/>
        <w:tabs>
          <w:tab w:val="left" w:pos="1425"/>
        </w:tabs>
        <w:kinsoku/>
        <w:wordWrap/>
        <w:overflowPunct/>
        <w:topLinePunct w:val="0"/>
        <w:bidi w:val="0"/>
        <w:adjustRightInd/>
        <w:snapToGrid/>
        <w:spacing w:line="440" w:lineRule="exact"/>
        <w:ind w:firstLine="420" w:firstLineChars="200"/>
        <w:textAlignment w:val="auto"/>
        <w:rPr>
          <w:rFonts w:ascii="宋体" w:hAnsi="宋体" w:cs="宋体"/>
          <w:color w:val="000000"/>
          <w:szCs w:val="21"/>
        </w:rPr>
      </w:pPr>
      <w:bookmarkStart w:id="62" w:name="_Toc18035"/>
      <w:bookmarkStart w:id="63" w:name="_Toc12357"/>
      <w:bookmarkStart w:id="64" w:name="_Toc21549"/>
      <w:bookmarkStart w:id="65" w:name="_Toc4477"/>
      <w:bookmarkStart w:id="66" w:name="_Toc29375"/>
      <w:bookmarkStart w:id="67" w:name="_Toc3503"/>
      <w:r>
        <w:rPr>
          <w:rFonts w:hint="eastAsia" w:ascii="宋体" w:hAnsi="宋体" w:cs="宋体"/>
          <w:snapToGrid w:val="0"/>
          <w:kern w:val="0"/>
          <w:szCs w:val="21"/>
        </w:rPr>
        <w:t>7.1</w:t>
      </w:r>
      <w:r>
        <w:rPr>
          <w:rFonts w:hint="eastAsia" w:ascii="宋体" w:hAnsi="宋体" w:cs="宋体"/>
          <w:szCs w:val="21"/>
        </w:rPr>
        <w:t>谈判文件递交截止时间：</w:t>
      </w:r>
      <w:r>
        <w:rPr>
          <w:rFonts w:hint="eastAsia" w:ascii="宋体" w:hAnsi="宋体" w:cs="宋体"/>
          <w:szCs w:val="21"/>
          <w:u w:val="single"/>
        </w:rPr>
        <w:t xml:space="preserve"> 　</w:t>
      </w:r>
      <w:r>
        <w:rPr>
          <w:rFonts w:hint="eastAsia" w:ascii="宋体" w:hAnsi="宋体" w:cs="宋体"/>
          <w:szCs w:val="21"/>
          <w:u w:val="single"/>
          <w:lang w:val="en-US" w:eastAsia="zh-CN"/>
        </w:rPr>
        <w:t>2026</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u w:val="single"/>
          <w:lang w:val="en-US" w:eastAsia="zh-CN"/>
        </w:rPr>
        <w:t>9</w:t>
      </w:r>
      <w:r>
        <w:rPr>
          <w:rFonts w:hint="eastAsia" w:ascii="宋体" w:hAnsi="宋体" w:cs="宋体"/>
          <w:szCs w:val="21"/>
          <w:u w:val="single"/>
        </w:rPr>
        <w:t xml:space="preserve">　 </w:t>
      </w:r>
      <w:r>
        <w:rPr>
          <w:rFonts w:hint="eastAsia" w:ascii="宋体" w:hAnsi="宋体" w:cs="宋体"/>
          <w:szCs w:val="21"/>
        </w:rPr>
        <w:t xml:space="preserve">月 </w:t>
      </w:r>
      <w:r>
        <w:rPr>
          <w:rFonts w:ascii="宋体" w:hAnsi="宋体" w:cs="宋体"/>
          <w:szCs w:val="21"/>
          <w:u w:val="single"/>
        </w:rPr>
        <w:t xml:space="preserve"> </w:t>
      </w:r>
      <w:r>
        <w:rPr>
          <w:rFonts w:hint="eastAsia" w:ascii="宋体" w:hAnsi="宋体" w:cs="宋体"/>
          <w:szCs w:val="21"/>
          <w:u w:val="single"/>
          <w:lang w:val="en-US" w:eastAsia="zh-CN"/>
        </w:rPr>
        <w:t xml:space="preserve"> 22 </w:t>
      </w:r>
      <w:r>
        <w:rPr>
          <w:rFonts w:hint="eastAsia" w:ascii="宋体" w:hAnsi="宋体" w:cs="宋体"/>
          <w:szCs w:val="21"/>
          <w:u w:val="single"/>
        </w:rPr>
        <w:t>　</w:t>
      </w:r>
      <w:r>
        <w:rPr>
          <w:rFonts w:hint="eastAsia" w:ascii="宋体" w:hAnsi="宋体" w:cs="宋体"/>
          <w:szCs w:val="21"/>
        </w:rPr>
        <w:t>日</w:t>
      </w:r>
      <w:r>
        <w:rPr>
          <w:rFonts w:ascii="宋体" w:hAnsi="宋体" w:cs="宋体"/>
          <w:szCs w:val="21"/>
          <w:u w:val="single"/>
        </w:rPr>
        <w:t xml:space="preserve"> </w:t>
      </w:r>
      <w:r>
        <w:rPr>
          <w:rFonts w:hint="eastAsia" w:ascii="宋体" w:hAnsi="宋体" w:cs="宋体"/>
          <w:szCs w:val="21"/>
          <w:u w:val="single"/>
        </w:rPr>
        <w:t>　</w:t>
      </w:r>
      <w:r>
        <w:rPr>
          <w:rFonts w:hint="eastAsia" w:ascii="宋体" w:hAnsi="宋体" w:cs="宋体"/>
          <w:szCs w:val="21"/>
          <w:u w:val="single"/>
          <w:lang w:val="en-US" w:eastAsia="zh-CN"/>
        </w:rPr>
        <w:t>10</w:t>
      </w:r>
      <w:r>
        <w:rPr>
          <w:rFonts w:hint="eastAsia" w:ascii="宋体" w:hAnsi="宋体" w:cs="宋体"/>
          <w:szCs w:val="21"/>
          <w:u w:val="single"/>
        </w:rPr>
        <w:t xml:space="preserve">  </w:t>
      </w:r>
      <w:r>
        <w:rPr>
          <w:rFonts w:ascii="宋体" w:hAnsi="宋体" w:cs="宋体"/>
          <w:szCs w:val="21"/>
        </w:rPr>
        <w:t>时</w:t>
      </w:r>
      <w:r>
        <w:rPr>
          <w:rFonts w:hint="eastAsia" w:ascii="宋体" w:hAnsi="宋体" w:cs="宋体"/>
          <w:szCs w:val="21"/>
          <w:u w:val="single"/>
        </w:rPr>
        <w:t xml:space="preserve"> 　</w:t>
      </w:r>
      <w:r>
        <w:rPr>
          <w:rFonts w:hint="eastAsia" w:ascii="宋体" w:hAnsi="宋体" w:cs="宋体"/>
          <w:szCs w:val="21"/>
          <w:u w:val="single"/>
          <w:lang w:val="en-US" w:eastAsia="zh-CN"/>
        </w:rPr>
        <w:t>00</w:t>
      </w:r>
      <w:r>
        <w:rPr>
          <w:rFonts w:ascii="宋体" w:hAnsi="宋体" w:cs="宋体"/>
          <w:szCs w:val="21"/>
          <w:u w:val="single"/>
        </w:rPr>
        <w:t xml:space="preserve"> </w:t>
      </w:r>
      <w:r>
        <w:rPr>
          <w:rFonts w:hint="eastAsia" w:ascii="宋体" w:hAnsi="宋体" w:cs="宋体"/>
          <w:szCs w:val="21"/>
        </w:rPr>
        <w:t>分；递交地点为：重庆市大渡口区重庆国际复合材料股份有限公司。</w:t>
      </w:r>
    </w:p>
    <w:p w14:paraId="46307D13">
      <w:pPr>
        <w:keepNext w:val="0"/>
        <w:keepLines w:val="0"/>
        <w:pageBreakBefore w:val="0"/>
        <w:widowControl w:val="0"/>
        <w:tabs>
          <w:tab w:val="left" w:pos="3850"/>
          <w:tab w:val="left" w:pos="3980"/>
          <w:tab w:val="left" w:pos="4100"/>
          <w:tab w:val="left" w:pos="4600"/>
          <w:tab w:val="left" w:pos="5360"/>
          <w:tab w:val="left" w:pos="5460"/>
          <w:tab w:val="left" w:pos="6200"/>
          <w:tab w:val="left" w:pos="6327"/>
          <w:tab w:val="left" w:pos="6901"/>
        </w:tabs>
        <w:kinsoku/>
        <w:wordWrap/>
        <w:overflowPunct/>
        <w:topLinePunct w:val="0"/>
        <w:autoSpaceDE w:val="0"/>
        <w:autoSpaceDN w:val="0"/>
        <w:bidi w:val="0"/>
        <w:adjustRightInd/>
        <w:snapToGrid/>
        <w:spacing w:line="440" w:lineRule="exact"/>
        <w:ind w:firstLine="420" w:firstLineChars="200"/>
        <w:textAlignment w:val="auto"/>
        <w:rPr>
          <w:rFonts w:ascii="宋体" w:hAnsi="宋体" w:cs="宋体"/>
          <w:szCs w:val="21"/>
        </w:rPr>
      </w:pPr>
      <w:r>
        <w:rPr>
          <w:rFonts w:hint="eastAsia" w:ascii="宋体" w:hAnsi="宋体" w:cs="宋体"/>
          <w:szCs w:val="21"/>
        </w:rPr>
        <w:t>7.2 谈判采购时间：谈判文件截止之日后三个工作日内。</w:t>
      </w:r>
    </w:p>
    <w:p w14:paraId="373B0FDB">
      <w:pPr>
        <w:keepNext w:val="0"/>
        <w:keepLines w:val="0"/>
        <w:pageBreakBefore w:val="0"/>
        <w:widowControl w:val="0"/>
        <w:tabs>
          <w:tab w:val="left" w:pos="3850"/>
          <w:tab w:val="left" w:pos="3980"/>
          <w:tab w:val="left" w:pos="4100"/>
          <w:tab w:val="left" w:pos="4600"/>
          <w:tab w:val="left" w:pos="5360"/>
          <w:tab w:val="left" w:pos="5460"/>
          <w:tab w:val="left" w:pos="6200"/>
          <w:tab w:val="left" w:pos="6327"/>
          <w:tab w:val="left" w:pos="6901"/>
        </w:tabs>
        <w:kinsoku/>
        <w:wordWrap/>
        <w:overflowPunct/>
        <w:topLinePunct w:val="0"/>
        <w:autoSpaceDE w:val="0"/>
        <w:autoSpaceDN w:val="0"/>
        <w:bidi w:val="0"/>
        <w:adjustRightInd/>
        <w:snapToGrid/>
        <w:spacing w:line="440" w:lineRule="exact"/>
        <w:ind w:firstLine="420" w:firstLineChars="200"/>
        <w:textAlignment w:val="auto"/>
        <w:rPr>
          <w:rFonts w:ascii="宋体" w:hAnsi="宋体" w:cs="宋体"/>
          <w:szCs w:val="21"/>
        </w:rPr>
      </w:pPr>
      <w:r>
        <w:rPr>
          <w:rFonts w:hint="eastAsia" w:ascii="宋体" w:hAnsi="宋体" w:cs="宋体"/>
          <w:szCs w:val="21"/>
        </w:rPr>
        <w:t>7.3</w:t>
      </w:r>
      <w:r>
        <w:rPr>
          <w:rFonts w:ascii="宋体" w:hAnsi="宋体" w:cs="宋体"/>
          <w:szCs w:val="21"/>
        </w:rPr>
        <w:t xml:space="preserve"> </w:t>
      </w:r>
      <w:r>
        <w:rPr>
          <w:rFonts w:hint="eastAsia" w:ascii="宋体" w:hAnsi="宋体" w:cs="宋体"/>
          <w:szCs w:val="21"/>
        </w:rPr>
        <w:t>谈判采购地点：重庆市大渡口区重庆国际复合材料股份有限公司。</w:t>
      </w:r>
    </w:p>
    <w:p w14:paraId="69E2CAEF">
      <w:pPr>
        <w:keepNext w:val="0"/>
        <w:keepLines w:val="0"/>
        <w:pageBreakBefore w:val="0"/>
        <w:widowControl w:val="0"/>
        <w:tabs>
          <w:tab w:val="left" w:pos="3850"/>
          <w:tab w:val="left" w:pos="3980"/>
          <w:tab w:val="left" w:pos="4100"/>
          <w:tab w:val="left" w:pos="4600"/>
          <w:tab w:val="left" w:pos="5360"/>
          <w:tab w:val="left" w:pos="5460"/>
          <w:tab w:val="left" w:pos="6200"/>
          <w:tab w:val="left" w:pos="6327"/>
          <w:tab w:val="left" w:pos="6901"/>
        </w:tabs>
        <w:kinsoku/>
        <w:wordWrap/>
        <w:overflowPunct/>
        <w:topLinePunct w:val="0"/>
        <w:autoSpaceDE w:val="0"/>
        <w:autoSpaceDN w:val="0"/>
        <w:bidi w:val="0"/>
        <w:adjustRightInd/>
        <w:snapToGrid/>
        <w:spacing w:line="440" w:lineRule="exact"/>
        <w:ind w:firstLine="420" w:firstLineChars="200"/>
        <w:textAlignment w:val="auto"/>
        <w:rPr>
          <w:rFonts w:ascii="宋体" w:hAnsi="宋体" w:cs="宋体"/>
          <w:szCs w:val="21"/>
        </w:rPr>
      </w:pPr>
      <w:r>
        <w:rPr>
          <w:rFonts w:hint="eastAsia" w:ascii="宋体" w:hAnsi="宋体" w:cs="宋体"/>
          <w:szCs w:val="21"/>
        </w:rPr>
        <w:t>7.</w:t>
      </w:r>
      <w:r>
        <w:rPr>
          <w:rFonts w:ascii="宋体" w:hAnsi="宋体" w:cs="宋体"/>
          <w:szCs w:val="21"/>
        </w:rPr>
        <w:t>4</w:t>
      </w:r>
      <w:r>
        <w:rPr>
          <w:rFonts w:hint="eastAsia" w:ascii="宋体" w:hAnsi="宋体" w:cs="宋体"/>
          <w:szCs w:val="21"/>
        </w:rPr>
        <w:t xml:space="preserve"> 逾期送达的、未送达指定地点或</w:t>
      </w:r>
      <w:r>
        <w:rPr>
          <w:rFonts w:hint="eastAsia" w:ascii="宋体" w:hAnsi="宋体" w:cs="宋体"/>
          <w:color w:val="000000"/>
          <w:szCs w:val="21"/>
        </w:rPr>
        <w:t>不按照谈判采购文件要求密封的</w:t>
      </w:r>
      <w:r>
        <w:rPr>
          <w:rFonts w:hint="eastAsia" w:ascii="宋体" w:hAnsi="宋体" w:cs="宋体"/>
          <w:szCs w:val="21"/>
        </w:rPr>
        <w:t>谈判文件，</w:t>
      </w:r>
      <w:r>
        <w:rPr>
          <w:rFonts w:hint="eastAsia" w:ascii="宋体" w:hAnsi="宋体" w:cs="宋体"/>
          <w:szCs w:val="21"/>
          <w:lang w:eastAsia="zh-CN"/>
        </w:rPr>
        <w:t>谈判人</w:t>
      </w:r>
      <w:r>
        <w:rPr>
          <w:rFonts w:hint="eastAsia" w:ascii="宋体" w:hAnsi="宋体" w:cs="宋体"/>
          <w:szCs w:val="21"/>
        </w:rPr>
        <w:t>不予受理。</w:t>
      </w:r>
    </w:p>
    <w:bookmarkEnd w:id="62"/>
    <w:bookmarkEnd w:id="63"/>
    <w:bookmarkEnd w:id="64"/>
    <w:bookmarkEnd w:id="65"/>
    <w:bookmarkEnd w:id="66"/>
    <w:bookmarkEnd w:id="67"/>
    <w:p w14:paraId="55D32A38">
      <w:pPr>
        <w:spacing w:line="440" w:lineRule="exact"/>
        <w:jc w:val="left"/>
        <w:outlineLvl w:val="0"/>
        <w:rPr>
          <w:rFonts w:ascii="宋体" w:hAnsi="宋体"/>
          <w:b/>
          <w:snapToGrid w:val="0"/>
          <w:kern w:val="0"/>
          <w:szCs w:val="21"/>
        </w:rPr>
      </w:pPr>
      <w:bookmarkStart w:id="68" w:name="_Toc5392"/>
      <w:bookmarkStart w:id="69" w:name="_Toc9249"/>
      <w:bookmarkStart w:id="70" w:name="_Toc27658"/>
      <w:bookmarkStart w:id="71" w:name="_Toc4764"/>
      <w:r>
        <w:rPr>
          <w:rFonts w:hint="eastAsia" w:ascii="宋体" w:hAnsi="宋体"/>
          <w:b/>
          <w:snapToGrid w:val="0"/>
          <w:kern w:val="0"/>
          <w:szCs w:val="21"/>
        </w:rPr>
        <w:t>8. 发布公告的媒介</w:t>
      </w:r>
      <w:bookmarkEnd w:id="68"/>
      <w:bookmarkEnd w:id="69"/>
      <w:bookmarkEnd w:id="70"/>
      <w:bookmarkEnd w:id="71"/>
    </w:p>
    <w:p w14:paraId="32DF4236">
      <w:pPr>
        <w:spacing w:line="440" w:lineRule="exact"/>
        <w:ind w:firstLine="420"/>
        <w:jc w:val="left"/>
        <w:rPr>
          <w:rFonts w:ascii="宋体" w:hAnsi="宋体"/>
          <w:szCs w:val="21"/>
        </w:rPr>
      </w:pPr>
      <w:bookmarkStart w:id="72" w:name="_Toc19026"/>
      <w:bookmarkStart w:id="73" w:name="_Toc15696"/>
      <w:bookmarkStart w:id="74" w:name="_Toc17881"/>
      <w:bookmarkStart w:id="75" w:name="_Toc15091"/>
      <w:bookmarkStart w:id="76" w:name="_Toc10099"/>
      <w:bookmarkStart w:id="77" w:name="_Toc29368"/>
      <w:r>
        <w:rPr>
          <w:rFonts w:hint="eastAsia" w:ascii="宋体" w:hAnsi="宋体" w:cs="宋体"/>
          <w:snapToGrid w:val="0"/>
          <w:kern w:val="0"/>
          <w:szCs w:val="21"/>
        </w:rPr>
        <w:t>本次谈判采购公告在</w:t>
      </w:r>
      <w:r>
        <w:rPr>
          <w:rFonts w:hint="eastAsia" w:ascii="宋体" w:hAnsi="宋体"/>
          <w:szCs w:val="21"/>
        </w:rPr>
        <w:t>重庆国际复合材料</w:t>
      </w:r>
      <w:r>
        <w:rPr>
          <w:rFonts w:ascii="宋体" w:hAnsi="宋体"/>
          <w:szCs w:val="21"/>
        </w:rPr>
        <w:t>股份有限公司（http://www.cpicfiber.com/）上发布。</w:t>
      </w:r>
    </w:p>
    <w:p w14:paraId="06744441">
      <w:pPr>
        <w:spacing w:line="440" w:lineRule="exact"/>
        <w:jc w:val="left"/>
        <w:outlineLvl w:val="0"/>
        <w:rPr>
          <w:rFonts w:ascii="宋体" w:hAnsi="宋体"/>
          <w:b/>
          <w:snapToGrid w:val="0"/>
          <w:kern w:val="0"/>
          <w:szCs w:val="21"/>
        </w:rPr>
      </w:pPr>
      <w:r>
        <w:rPr>
          <w:rFonts w:hint="eastAsia" w:ascii="宋体" w:hAnsi="宋体"/>
          <w:b/>
          <w:snapToGrid w:val="0"/>
          <w:kern w:val="0"/>
          <w:szCs w:val="21"/>
        </w:rPr>
        <w:t>9.特别注意</w:t>
      </w:r>
    </w:p>
    <w:p w14:paraId="413957F0">
      <w:pPr>
        <w:spacing w:line="440" w:lineRule="exact"/>
        <w:jc w:val="left"/>
        <w:outlineLvl w:val="0"/>
        <w:rPr>
          <w:rFonts w:ascii="宋体" w:hAnsi="宋体"/>
          <w:b/>
          <w:snapToGrid w:val="0"/>
          <w:kern w:val="0"/>
          <w:szCs w:val="21"/>
        </w:rPr>
      </w:pPr>
      <w:r>
        <w:rPr>
          <w:rFonts w:hint="eastAsia" w:ascii="宋体" w:hAnsi="宋体"/>
          <w:b/>
          <w:snapToGrid w:val="0"/>
          <w:kern w:val="0"/>
          <w:szCs w:val="21"/>
        </w:rPr>
        <w:t>　　单位负责人为同一人或者存在控股、管理关系的不同单位，不得同时参加本次谈判采购。</w:t>
      </w:r>
    </w:p>
    <w:p w14:paraId="2F0B966A">
      <w:pPr>
        <w:spacing w:line="440" w:lineRule="exact"/>
        <w:jc w:val="left"/>
        <w:outlineLvl w:val="0"/>
        <w:rPr>
          <w:rFonts w:ascii="宋体" w:hAnsi="宋体"/>
          <w:b/>
          <w:snapToGrid w:val="0"/>
          <w:kern w:val="0"/>
          <w:szCs w:val="21"/>
        </w:rPr>
      </w:pPr>
      <w:bookmarkStart w:id="78" w:name="_Toc11677"/>
      <w:bookmarkStart w:id="79" w:name="_Toc30129"/>
      <w:bookmarkStart w:id="80" w:name="_Toc4445"/>
      <w:bookmarkStart w:id="81" w:name="_Toc29627"/>
      <w:r>
        <w:rPr>
          <w:rFonts w:hint="eastAsia" w:ascii="宋体" w:hAnsi="宋体"/>
          <w:b/>
          <w:snapToGrid w:val="0"/>
          <w:kern w:val="0"/>
          <w:szCs w:val="21"/>
        </w:rPr>
        <w:t>10. 联系方式</w:t>
      </w:r>
      <w:bookmarkEnd w:id="72"/>
      <w:bookmarkEnd w:id="73"/>
      <w:bookmarkEnd w:id="74"/>
      <w:bookmarkEnd w:id="75"/>
      <w:bookmarkEnd w:id="76"/>
      <w:bookmarkEnd w:id="77"/>
      <w:bookmarkEnd w:id="78"/>
      <w:bookmarkEnd w:id="79"/>
      <w:bookmarkEnd w:id="80"/>
      <w:bookmarkEnd w:id="81"/>
    </w:p>
    <w:p w14:paraId="65FB9CD1">
      <w:pPr>
        <w:spacing w:line="440" w:lineRule="exact"/>
        <w:ind w:firstLine="424" w:firstLineChars="202"/>
        <w:rPr>
          <w:rFonts w:ascii="宋体" w:hAnsi="宋体"/>
          <w:szCs w:val="21"/>
        </w:rPr>
      </w:pPr>
      <w:r>
        <w:rPr>
          <w:rFonts w:hint="eastAsia" w:ascii="宋体" w:hAnsi="宋体"/>
          <w:szCs w:val="21"/>
        </w:rPr>
        <w:t>采购</w:t>
      </w:r>
      <w:r>
        <w:rPr>
          <w:rFonts w:ascii="宋体" w:hAnsi="宋体"/>
          <w:szCs w:val="21"/>
        </w:rPr>
        <w:t>人：</w:t>
      </w:r>
      <w:r>
        <w:rPr>
          <w:rFonts w:hint="eastAsia" w:ascii="宋体" w:hAnsi="宋体"/>
          <w:szCs w:val="21"/>
        </w:rPr>
        <w:t>重庆国际复合材料股份有限公司</w:t>
      </w:r>
    </w:p>
    <w:p w14:paraId="5F484102">
      <w:pPr>
        <w:spacing w:line="440" w:lineRule="exact"/>
        <w:ind w:firstLine="424" w:firstLineChars="202"/>
        <w:rPr>
          <w:rFonts w:ascii="宋体" w:hAnsi="宋体"/>
          <w:szCs w:val="21"/>
        </w:rPr>
      </w:pPr>
      <w:r>
        <w:rPr>
          <w:rFonts w:hint="eastAsia" w:ascii="宋体" w:hAnsi="宋体"/>
          <w:szCs w:val="21"/>
        </w:rPr>
        <w:t>办公地址</w:t>
      </w:r>
      <w:r>
        <w:rPr>
          <w:rFonts w:ascii="宋体" w:hAnsi="宋体"/>
          <w:szCs w:val="21"/>
        </w:rPr>
        <w:t>：</w:t>
      </w:r>
      <w:r>
        <w:rPr>
          <w:rFonts w:hint="eastAsia" w:ascii="宋体" w:hAnsi="宋体"/>
          <w:szCs w:val="21"/>
        </w:rPr>
        <w:t>重庆市大渡口区建桥工业园</w:t>
      </w:r>
      <w:r>
        <w:rPr>
          <w:rFonts w:ascii="宋体" w:hAnsi="宋体"/>
          <w:szCs w:val="21"/>
        </w:rPr>
        <w:t>B</w:t>
      </w:r>
      <w:r>
        <w:rPr>
          <w:rFonts w:hint="eastAsia" w:ascii="宋体" w:hAnsi="宋体"/>
          <w:szCs w:val="21"/>
        </w:rPr>
        <w:t>区</w:t>
      </w:r>
    </w:p>
    <w:p w14:paraId="6D10C576">
      <w:pPr>
        <w:spacing w:line="440" w:lineRule="exact"/>
        <w:ind w:firstLine="424" w:firstLineChars="202"/>
        <w:rPr>
          <w:rFonts w:ascii="宋体" w:hAnsi="宋体"/>
          <w:szCs w:val="21"/>
        </w:rPr>
      </w:pPr>
      <w:r>
        <w:rPr>
          <w:rFonts w:ascii="宋体" w:hAnsi="宋体"/>
          <w:szCs w:val="21"/>
        </w:rPr>
        <w:t>联系人：</w:t>
      </w:r>
      <w:bookmarkEnd w:id="6"/>
      <w:bookmarkEnd w:id="7"/>
      <w:bookmarkEnd w:id="8"/>
      <w:bookmarkEnd w:id="9"/>
      <w:bookmarkEnd w:id="10"/>
      <w:bookmarkEnd w:id="11"/>
      <w:r>
        <w:rPr>
          <w:rFonts w:hint="eastAsia" w:ascii="宋体" w:hAnsi="宋体"/>
          <w:szCs w:val="21"/>
        </w:rPr>
        <w:t>杨老师</w:t>
      </w:r>
    </w:p>
    <w:p w14:paraId="73071102">
      <w:pPr>
        <w:spacing w:line="440" w:lineRule="exact"/>
        <w:ind w:firstLine="424" w:firstLineChars="202"/>
        <w:rPr>
          <w:rFonts w:ascii="宋体" w:hAnsi="宋体"/>
          <w:szCs w:val="21"/>
        </w:rPr>
      </w:pPr>
      <w:r>
        <w:rPr>
          <w:rFonts w:ascii="宋体" w:hAnsi="宋体"/>
          <w:szCs w:val="21"/>
        </w:rPr>
        <w:t>联系电话：</w:t>
      </w:r>
      <w:r>
        <w:rPr>
          <w:rFonts w:hint="eastAsia" w:ascii="宋体" w:hAnsi="宋体"/>
          <w:szCs w:val="21"/>
        </w:rPr>
        <w:t>18983993055</w:t>
      </w:r>
    </w:p>
    <w:p w14:paraId="557D74C7">
      <w:pPr>
        <w:spacing w:line="440" w:lineRule="exact"/>
        <w:ind w:firstLine="424" w:firstLineChars="202"/>
        <w:rPr>
          <w:rFonts w:ascii="宋体" w:hAnsi="宋体"/>
          <w:szCs w:val="21"/>
        </w:rPr>
      </w:pPr>
      <w:r>
        <w:rPr>
          <w:rFonts w:hint="eastAsia" w:ascii="宋体" w:hAnsi="宋体"/>
          <w:szCs w:val="21"/>
        </w:rPr>
        <w:t>监督人：重庆国际复合材料股份有限公司</w:t>
      </w:r>
    </w:p>
    <w:p w14:paraId="2F006A94">
      <w:pPr>
        <w:spacing w:line="440" w:lineRule="exact"/>
        <w:ind w:firstLine="424" w:firstLineChars="202"/>
        <w:rPr>
          <w:rFonts w:ascii="宋体" w:hAnsi="宋体"/>
          <w:szCs w:val="21"/>
        </w:rPr>
      </w:pPr>
      <w:r>
        <w:rPr>
          <w:rFonts w:hint="eastAsia" w:ascii="宋体" w:hAnsi="宋体"/>
          <w:szCs w:val="21"/>
        </w:rPr>
        <w:t>地址：重庆市大渡口区建桥工业园B区</w:t>
      </w:r>
    </w:p>
    <w:p w14:paraId="355E935F">
      <w:pPr>
        <w:spacing w:line="440" w:lineRule="exact"/>
        <w:ind w:firstLine="424" w:firstLineChars="202"/>
        <w:rPr>
          <w:rFonts w:ascii="宋体" w:hAnsi="宋体"/>
          <w:szCs w:val="21"/>
        </w:rPr>
      </w:pPr>
      <w:r>
        <w:rPr>
          <w:rFonts w:hint="eastAsia" w:ascii="宋体" w:hAnsi="宋体"/>
          <w:szCs w:val="21"/>
        </w:rPr>
        <w:t>联系人：付老师</w:t>
      </w:r>
    </w:p>
    <w:p w14:paraId="1E990AA7">
      <w:pPr>
        <w:spacing w:line="440" w:lineRule="exact"/>
        <w:ind w:firstLine="424" w:firstLineChars="202"/>
        <w:rPr>
          <w:rFonts w:ascii="宋体" w:hAnsi="宋体"/>
          <w:szCs w:val="21"/>
        </w:rPr>
      </w:pPr>
      <w:r>
        <w:rPr>
          <w:rFonts w:hint="eastAsia" w:ascii="宋体" w:hAnsi="宋体"/>
          <w:szCs w:val="21"/>
        </w:rPr>
        <w:t>联系电话：023-68536643</w:t>
      </w:r>
    </w:p>
    <w:p w14:paraId="1DE359C4">
      <w:pPr>
        <w:spacing w:line="440" w:lineRule="exact"/>
        <w:ind w:firstLine="424" w:firstLineChars="202"/>
        <w:rPr>
          <w:rFonts w:ascii="宋体" w:hAnsi="宋体"/>
          <w:szCs w:val="21"/>
        </w:rPr>
      </w:pPr>
      <w:r>
        <w:rPr>
          <w:rFonts w:hint="eastAsia" w:ascii="宋体" w:hAnsi="宋体"/>
          <w:szCs w:val="21"/>
        </w:rPr>
        <w:t>邮箱：fuwei4253@cpicfiber.com</w:t>
      </w:r>
    </w:p>
    <w:p w14:paraId="6649FD83">
      <w:pPr>
        <w:rPr>
          <w:rFonts w:ascii="宋体" w:hAnsi="宋体"/>
        </w:rPr>
      </w:pPr>
      <w:r>
        <w:rPr>
          <w:rFonts w:hint="eastAsia" w:ascii="宋体" w:hAnsi="宋体"/>
        </w:rPr>
        <w:br w:type="page"/>
      </w:r>
    </w:p>
    <w:p w14:paraId="60B7E792">
      <w:pPr>
        <w:pStyle w:val="2"/>
        <w:spacing w:before="240" w:beforeLines="100" w:after="360" w:afterLines="150" w:line="276" w:lineRule="auto"/>
        <w:jc w:val="center"/>
        <w:rPr>
          <w:rFonts w:ascii="宋体" w:hAnsi="宋体"/>
        </w:rPr>
      </w:pPr>
      <w:r>
        <w:rPr>
          <w:rFonts w:hint="eastAsia" w:ascii="宋体" w:hAnsi="宋体"/>
        </w:rPr>
        <w:t>第二章  采购内容</w:t>
      </w:r>
    </w:p>
    <w:p w14:paraId="5632AC41">
      <w:pPr>
        <w:spacing w:line="360" w:lineRule="auto"/>
        <w:ind w:firstLine="480" w:firstLineChars="200"/>
        <w:rPr>
          <w:rFonts w:ascii="宋体" w:hAnsi="宋体"/>
          <w:kern w:val="0"/>
          <w:sz w:val="24"/>
          <w:highlight w:val="none"/>
        </w:rPr>
      </w:pPr>
      <w:r>
        <w:rPr>
          <w:rFonts w:hint="eastAsia" w:ascii="宋体" w:hAnsi="宋体"/>
          <w:kern w:val="0"/>
          <w:sz w:val="24"/>
          <w:highlight w:val="none"/>
        </w:rPr>
        <w:t>1．项目概况</w:t>
      </w:r>
    </w:p>
    <w:p w14:paraId="73A888E6">
      <w:pPr>
        <w:spacing w:line="360" w:lineRule="auto"/>
        <w:ind w:firstLine="480" w:firstLineChars="200"/>
        <w:rPr>
          <w:rFonts w:hint="eastAsia" w:ascii="宋体" w:hAnsi="宋体"/>
          <w:kern w:val="0"/>
          <w:sz w:val="24"/>
          <w:highlight w:val="none"/>
          <w:lang w:val="en-US" w:eastAsia="zh-CN"/>
        </w:rPr>
      </w:pPr>
      <w:r>
        <w:rPr>
          <w:rFonts w:hint="eastAsia" w:ascii="宋体" w:hAnsi="宋体"/>
          <w:kern w:val="0"/>
          <w:sz w:val="24"/>
          <w:highlight w:val="none"/>
          <w:lang w:val="en-US" w:eastAsia="zh-CN"/>
        </w:rPr>
        <w:t>见谈判采购公告</w:t>
      </w:r>
    </w:p>
    <w:p w14:paraId="31EAEEF8">
      <w:pPr>
        <w:spacing w:line="360" w:lineRule="auto"/>
        <w:ind w:firstLine="480" w:firstLineChars="200"/>
        <w:rPr>
          <w:rFonts w:ascii="宋体" w:hAnsi="宋体"/>
          <w:kern w:val="0"/>
          <w:sz w:val="24"/>
          <w:highlight w:val="none"/>
        </w:rPr>
      </w:pPr>
      <w:r>
        <w:rPr>
          <w:rFonts w:hint="eastAsia" w:ascii="宋体" w:hAnsi="宋体"/>
          <w:kern w:val="0"/>
          <w:sz w:val="24"/>
          <w:highlight w:val="none"/>
        </w:rPr>
        <w:t>2</w:t>
      </w:r>
      <w:r>
        <w:rPr>
          <w:rFonts w:ascii="宋体" w:hAnsi="宋体"/>
          <w:kern w:val="0"/>
          <w:sz w:val="24"/>
          <w:highlight w:val="none"/>
        </w:rPr>
        <w:t xml:space="preserve">. </w:t>
      </w:r>
      <w:r>
        <w:rPr>
          <w:rFonts w:hint="eastAsia" w:ascii="宋体" w:hAnsi="宋体"/>
          <w:kern w:val="0"/>
          <w:sz w:val="24"/>
          <w:highlight w:val="none"/>
        </w:rPr>
        <w:t>项目建设地点</w:t>
      </w:r>
    </w:p>
    <w:p w14:paraId="245A367B">
      <w:pPr>
        <w:spacing w:line="360" w:lineRule="auto"/>
        <w:ind w:firstLine="480" w:firstLineChars="200"/>
        <w:rPr>
          <w:rFonts w:hint="eastAsia" w:ascii="宋体" w:hAnsi="宋体"/>
          <w:kern w:val="0"/>
          <w:sz w:val="24"/>
          <w:highlight w:val="none"/>
          <w:lang w:val="en-US" w:eastAsia="zh-CN"/>
        </w:rPr>
      </w:pPr>
      <w:r>
        <w:rPr>
          <w:rFonts w:hint="eastAsia" w:ascii="宋体" w:hAnsi="宋体"/>
          <w:kern w:val="0"/>
          <w:sz w:val="24"/>
          <w:highlight w:val="none"/>
        </w:rPr>
        <w:t>重庆市</w:t>
      </w:r>
      <w:r>
        <w:rPr>
          <w:rFonts w:hint="eastAsia" w:ascii="宋体" w:hAnsi="宋体"/>
          <w:kern w:val="0"/>
          <w:sz w:val="24"/>
          <w:highlight w:val="none"/>
          <w:lang w:val="en-US" w:eastAsia="zh-CN"/>
        </w:rPr>
        <w:t>大渡口区建桥工业园B区重庆国际复合材料股份有限公司大渡口生产基地</w:t>
      </w:r>
    </w:p>
    <w:p w14:paraId="141339DF">
      <w:pPr>
        <w:spacing w:line="360" w:lineRule="auto"/>
        <w:ind w:firstLine="480" w:firstLineChars="200"/>
        <w:rPr>
          <w:rFonts w:ascii="宋体" w:hAnsi="宋体"/>
          <w:kern w:val="0"/>
          <w:sz w:val="24"/>
          <w:highlight w:val="none"/>
        </w:rPr>
      </w:pPr>
      <w:r>
        <w:rPr>
          <w:rFonts w:ascii="宋体" w:hAnsi="宋体"/>
          <w:kern w:val="0"/>
          <w:sz w:val="24"/>
          <w:highlight w:val="none"/>
        </w:rPr>
        <w:t>3</w:t>
      </w:r>
      <w:r>
        <w:rPr>
          <w:rFonts w:hint="eastAsia" w:ascii="宋体" w:hAnsi="宋体"/>
          <w:kern w:val="0"/>
          <w:sz w:val="24"/>
          <w:highlight w:val="none"/>
        </w:rPr>
        <w:t>．项目</w:t>
      </w:r>
      <w:r>
        <w:rPr>
          <w:rFonts w:ascii="宋体" w:hAnsi="宋体"/>
          <w:kern w:val="0"/>
          <w:sz w:val="24"/>
          <w:highlight w:val="none"/>
        </w:rPr>
        <w:t>方案的组成</w:t>
      </w:r>
    </w:p>
    <w:p w14:paraId="472D150A">
      <w:pPr>
        <w:spacing w:line="360" w:lineRule="auto"/>
        <w:ind w:firstLine="480" w:firstLineChars="200"/>
        <w:rPr>
          <w:rFonts w:ascii="宋体" w:hAnsi="宋体"/>
          <w:kern w:val="0"/>
          <w:sz w:val="24"/>
          <w:highlight w:val="none"/>
        </w:rPr>
      </w:pPr>
      <w:r>
        <w:rPr>
          <w:rFonts w:hint="eastAsia" w:ascii="宋体" w:hAnsi="宋体"/>
          <w:kern w:val="0"/>
          <w:sz w:val="24"/>
          <w:highlight w:val="none"/>
          <w:lang w:eastAsia="zh-CN"/>
        </w:rPr>
        <w:t>报价人</w:t>
      </w:r>
      <w:r>
        <w:rPr>
          <w:rFonts w:ascii="宋体" w:hAnsi="宋体"/>
          <w:kern w:val="0"/>
          <w:sz w:val="24"/>
          <w:highlight w:val="none"/>
        </w:rPr>
        <w:t>提供的</w:t>
      </w:r>
      <w:r>
        <w:rPr>
          <w:rFonts w:hint="eastAsia" w:ascii="宋体" w:hAnsi="宋体"/>
          <w:kern w:val="0"/>
          <w:sz w:val="24"/>
          <w:highlight w:val="none"/>
        </w:rPr>
        <w:t>项目</w:t>
      </w:r>
      <w:r>
        <w:rPr>
          <w:rFonts w:ascii="宋体" w:hAnsi="宋体"/>
          <w:kern w:val="0"/>
          <w:sz w:val="24"/>
          <w:highlight w:val="none"/>
        </w:rPr>
        <w:t>方案应包含以下内容：</w:t>
      </w:r>
    </w:p>
    <w:p w14:paraId="7F28E425">
      <w:pPr>
        <w:spacing w:line="360" w:lineRule="auto"/>
        <w:ind w:firstLine="480" w:firstLineChars="200"/>
        <w:rPr>
          <w:rFonts w:hint="eastAsia" w:ascii="宋体" w:hAnsi="宋体"/>
          <w:kern w:val="0"/>
          <w:sz w:val="24"/>
          <w:highlight w:val="none"/>
        </w:rPr>
      </w:pPr>
      <w:r>
        <w:rPr>
          <w:rFonts w:hint="eastAsia" w:ascii="宋体" w:hAnsi="宋体"/>
          <w:kern w:val="0"/>
          <w:sz w:val="24"/>
          <w:highlight w:val="none"/>
        </w:rPr>
        <w:t>保障本工程按期完工所需的人、机、料、法等相关资源的组织方案。</w:t>
      </w:r>
    </w:p>
    <w:p w14:paraId="45B81509">
      <w:pPr>
        <w:spacing w:line="360" w:lineRule="auto"/>
        <w:ind w:firstLine="480" w:firstLineChars="200"/>
        <w:rPr>
          <w:rFonts w:hint="default" w:ascii="宋体" w:hAnsi="宋体" w:eastAsia="宋体"/>
          <w:color w:val="0000FF"/>
          <w:kern w:val="0"/>
          <w:sz w:val="24"/>
          <w:highlight w:val="none"/>
          <w:lang w:val="en-US" w:eastAsia="zh-CN"/>
        </w:rPr>
      </w:pPr>
      <w:r>
        <w:rPr>
          <w:rFonts w:hint="eastAsia" w:ascii="宋体" w:hAnsi="宋体"/>
          <w:color w:val="0000FF"/>
          <w:kern w:val="0"/>
          <w:sz w:val="24"/>
          <w:highlight w:val="none"/>
          <w:lang w:val="en-US" w:eastAsia="zh-CN"/>
        </w:rPr>
        <w:t>报价人需在项目方案内用加深颜色备注报价人单位人员自有工人比例。</w:t>
      </w:r>
    </w:p>
    <w:p w14:paraId="26D36DA0">
      <w:pPr>
        <w:rPr>
          <w:rFonts w:ascii="宋体" w:hAnsi="宋体"/>
          <w:sz w:val="24"/>
        </w:rPr>
      </w:pPr>
    </w:p>
    <w:p w14:paraId="54AA6B3F">
      <w:pPr>
        <w:rPr>
          <w:rFonts w:ascii="宋体" w:hAnsi="宋体"/>
          <w:sz w:val="24"/>
        </w:rPr>
      </w:pPr>
    </w:p>
    <w:p w14:paraId="6B276AB5">
      <w:pPr>
        <w:rPr>
          <w:rFonts w:ascii="宋体" w:hAnsi="宋体"/>
          <w:sz w:val="24"/>
        </w:rPr>
      </w:pPr>
    </w:p>
    <w:p w14:paraId="5DF0DF99">
      <w:pPr>
        <w:rPr>
          <w:rFonts w:ascii="宋体" w:hAnsi="宋体"/>
          <w:sz w:val="24"/>
        </w:rPr>
      </w:pPr>
    </w:p>
    <w:p w14:paraId="530E5BA3">
      <w:pPr>
        <w:rPr>
          <w:rFonts w:ascii="宋体" w:hAnsi="宋体"/>
          <w:sz w:val="24"/>
        </w:rPr>
      </w:pPr>
    </w:p>
    <w:p w14:paraId="23DECA2F">
      <w:pPr>
        <w:rPr>
          <w:rFonts w:ascii="宋体" w:hAnsi="宋体"/>
          <w:sz w:val="24"/>
        </w:rPr>
      </w:pPr>
    </w:p>
    <w:p w14:paraId="08D3090B">
      <w:pPr>
        <w:rPr>
          <w:rFonts w:ascii="宋体" w:hAnsi="宋体"/>
          <w:sz w:val="24"/>
        </w:rPr>
      </w:pPr>
    </w:p>
    <w:p w14:paraId="32F133B8">
      <w:pPr>
        <w:rPr>
          <w:rFonts w:ascii="宋体" w:hAnsi="宋体"/>
          <w:sz w:val="24"/>
        </w:rPr>
      </w:pPr>
    </w:p>
    <w:p w14:paraId="11A6D92D">
      <w:pPr>
        <w:rPr>
          <w:rFonts w:ascii="宋体" w:hAnsi="宋体"/>
          <w:sz w:val="24"/>
        </w:rPr>
      </w:pPr>
    </w:p>
    <w:p w14:paraId="12170AEB">
      <w:pPr>
        <w:rPr>
          <w:rFonts w:ascii="宋体" w:hAnsi="宋体"/>
          <w:sz w:val="24"/>
        </w:rPr>
      </w:pPr>
    </w:p>
    <w:p w14:paraId="7335C6C0">
      <w:pPr>
        <w:rPr>
          <w:rFonts w:ascii="宋体" w:hAnsi="宋体"/>
          <w:sz w:val="24"/>
        </w:rPr>
      </w:pPr>
    </w:p>
    <w:p w14:paraId="0D95D099">
      <w:pPr>
        <w:rPr>
          <w:rFonts w:ascii="宋体" w:hAnsi="宋体"/>
          <w:sz w:val="24"/>
        </w:rPr>
      </w:pPr>
    </w:p>
    <w:p w14:paraId="5520F6EF">
      <w:pPr>
        <w:rPr>
          <w:rFonts w:ascii="宋体" w:hAnsi="宋体"/>
          <w:sz w:val="24"/>
        </w:rPr>
      </w:pPr>
    </w:p>
    <w:p w14:paraId="207EA25A">
      <w:pPr>
        <w:rPr>
          <w:rFonts w:ascii="宋体" w:hAnsi="宋体"/>
          <w:sz w:val="24"/>
        </w:rPr>
      </w:pPr>
    </w:p>
    <w:p w14:paraId="3E8A2E94">
      <w:pPr>
        <w:rPr>
          <w:rFonts w:ascii="宋体" w:hAnsi="宋体"/>
          <w:sz w:val="24"/>
        </w:rPr>
      </w:pPr>
    </w:p>
    <w:p w14:paraId="50EAE9FC">
      <w:pPr>
        <w:rPr>
          <w:rFonts w:ascii="宋体" w:hAnsi="宋体"/>
          <w:sz w:val="24"/>
        </w:rPr>
      </w:pPr>
    </w:p>
    <w:p w14:paraId="6B78B750">
      <w:pPr>
        <w:rPr>
          <w:rFonts w:ascii="宋体" w:hAnsi="宋体"/>
          <w:sz w:val="24"/>
        </w:rPr>
      </w:pPr>
    </w:p>
    <w:p w14:paraId="3C61F0CD">
      <w:pPr>
        <w:rPr>
          <w:rFonts w:ascii="宋体" w:hAnsi="宋体"/>
          <w:sz w:val="24"/>
        </w:rPr>
      </w:pPr>
    </w:p>
    <w:p w14:paraId="022F8288">
      <w:pPr>
        <w:rPr>
          <w:rFonts w:ascii="宋体" w:hAnsi="宋体"/>
          <w:sz w:val="24"/>
        </w:rPr>
      </w:pPr>
    </w:p>
    <w:p w14:paraId="14AAAFC3">
      <w:pPr>
        <w:rPr>
          <w:rFonts w:ascii="宋体" w:hAnsi="宋体"/>
          <w:sz w:val="24"/>
        </w:rPr>
      </w:pPr>
    </w:p>
    <w:p w14:paraId="770D3DC5">
      <w:pPr>
        <w:rPr>
          <w:rFonts w:ascii="宋体" w:hAnsi="宋体"/>
          <w:sz w:val="24"/>
        </w:rPr>
      </w:pPr>
    </w:p>
    <w:p w14:paraId="4E2D8DCA">
      <w:pPr>
        <w:rPr>
          <w:rFonts w:ascii="宋体" w:hAnsi="宋体"/>
          <w:sz w:val="24"/>
        </w:rPr>
      </w:pPr>
    </w:p>
    <w:p w14:paraId="4FFF4C54">
      <w:pPr>
        <w:rPr>
          <w:rFonts w:ascii="宋体" w:hAnsi="宋体"/>
          <w:sz w:val="24"/>
        </w:rPr>
      </w:pPr>
    </w:p>
    <w:p w14:paraId="015FC2D5">
      <w:pPr>
        <w:rPr>
          <w:rFonts w:ascii="宋体" w:hAnsi="宋体"/>
          <w:sz w:val="24"/>
        </w:rPr>
      </w:pPr>
    </w:p>
    <w:p w14:paraId="13E84C48">
      <w:pPr>
        <w:rPr>
          <w:rFonts w:ascii="宋体" w:hAnsi="宋体"/>
          <w:sz w:val="24"/>
        </w:rPr>
      </w:pPr>
    </w:p>
    <w:p w14:paraId="2E412958">
      <w:pPr>
        <w:rPr>
          <w:rFonts w:ascii="宋体" w:hAnsi="宋体"/>
          <w:sz w:val="24"/>
        </w:rPr>
      </w:pPr>
    </w:p>
    <w:p w14:paraId="6F428D66">
      <w:pPr>
        <w:rPr>
          <w:rFonts w:ascii="宋体" w:hAnsi="宋体"/>
          <w:sz w:val="24"/>
        </w:rPr>
      </w:pPr>
    </w:p>
    <w:p w14:paraId="5AFA6395">
      <w:pPr>
        <w:rPr>
          <w:rFonts w:ascii="宋体" w:hAnsi="宋体"/>
          <w:sz w:val="24"/>
        </w:rPr>
      </w:pPr>
    </w:p>
    <w:p w14:paraId="691EBC60">
      <w:pPr>
        <w:rPr>
          <w:rFonts w:ascii="宋体" w:hAnsi="宋体"/>
          <w:sz w:val="24"/>
        </w:rPr>
      </w:pPr>
    </w:p>
    <w:p w14:paraId="54DFF28E">
      <w:pPr>
        <w:pStyle w:val="2"/>
        <w:spacing w:before="240" w:beforeLines="100" w:after="360" w:afterLines="150" w:line="276" w:lineRule="auto"/>
        <w:jc w:val="center"/>
        <w:rPr>
          <w:rFonts w:ascii="宋体" w:hAnsi="宋体"/>
        </w:rPr>
      </w:pPr>
      <w:r>
        <w:rPr>
          <w:rFonts w:hint="eastAsia" w:ascii="宋体" w:hAnsi="宋体"/>
        </w:rPr>
        <w:t xml:space="preserve">第三章  </w:t>
      </w:r>
      <w:r>
        <w:rPr>
          <w:rFonts w:hint="eastAsia" w:ascii="宋体" w:hAnsi="宋体"/>
          <w:lang w:eastAsia="zh-CN"/>
        </w:rPr>
        <w:t>报价人</w:t>
      </w:r>
      <w:r>
        <w:rPr>
          <w:rFonts w:ascii="宋体" w:hAnsi="宋体"/>
        </w:rPr>
        <w:t>须知</w:t>
      </w:r>
    </w:p>
    <w:p w14:paraId="3B54C525">
      <w:pPr>
        <w:spacing w:line="360" w:lineRule="auto"/>
        <w:ind w:firstLine="482" w:firstLineChars="200"/>
        <w:rPr>
          <w:rFonts w:ascii="宋体" w:hAnsi="宋体"/>
          <w:b/>
          <w:kern w:val="0"/>
          <w:sz w:val="24"/>
        </w:rPr>
      </w:pPr>
      <w:r>
        <w:rPr>
          <w:rFonts w:hint="eastAsia" w:ascii="宋体" w:hAnsi="宋体"/>
          <w:b/>
          <w:kern w:val="0"/>
          <w:sz w:val="24"/>
        </w:rPr>
        <w:t>一</w:t>
      </w:r>
      <w:r>
        <w:rPr>
          <w:rFonts w:ascii="宋体" w:hAnsi="宋体"/>
          <w:b/>
          <w:kern w:val="0"/>
          <w:sz w:val="24"/>
        </w:rPr>
        <w:t>、总则</w:t>
      </w:r>
    </w:p>
    <w:p w14:paraId="7A99A3C3">
      <w:pPr>
        <w:spacing w:line="360" w:lineRule="auto"/>
        <w:ind w:firstLine="482" w:firstLineChars="200"/>
        <w:rPr>
          <w:rFonts w:ascii="宋体" w:hAnsi="宋体"/>
          <w:b/>
          <w:kern w:val="0"/>
          <w:sz w:val="24"/>
        </w:rPr>
      </w:pPr>
      <w:r>
        <w:rPr>
          <w:rFonts w:ascii="宋体" w:hAnsi="宋体"/>
          <w:b/>
          <w:kern w:val="0"/>
          <w:sz w:val="24"/>
        </w:rPr>
        <w:t>1.</w:t>
      </w:r>
      <w:r>
        <w:rPr>
          <w:rFonts w:hint="eastAsia" w:ascii="宋体" w:hAnsi="宋体"/>
          <w:b/>
          <w:kern w:val="0"/>
          <w:sz w:val="24"/>
        </w:rPr>
        <w:t>适用</w:t>
      </w:r>
      <w:r>
        <w:rPr>
          <w:rFonts w:ascii="宋体" w:hAnsi="宋体"/>
          <w:b/>
          <w:kern w:val="0"/>
          <w:sz w:val="24"/>
        </w:rPr>
        <w:t>范围</w:t>
      </w:r>
    </w:p>
    <w:p w14:paraId="1C891F90">
      <w:pPr>
        <w:spacing w:line="360" w:lineRule="auto"/>
        <w:ind w:firstLine="480" w:firstLineChars="200"/>
        <w:rPr>
          <w:rFonts w:ascii="宋体" w:hAnsi="宋体"/>
          <w:kern w:val="0"/>
          <w:sz w:val="24"/>
        </w:rPr>
      </w:pPr>
      <w:r>
        <w:rPr>
          <w:rFonts w:hint="eastAsia" w:ascii="宋体" w:hAnsi="宋体"/>
          <w:kern w:val="0"/>
          <w:sz w:val="24"/>
        </w:rPr>
        <w:t>1.1 本谈判文件仅</w:t>
      </w:r>
      <w:r>
        <w:rPr>
          <w:rFonts w:ascii="宋体" w:hAnsi="宋体"/>
          <w:kern w:val="0"/>
          <w:sz w:val="24"/>
        </w:rPr>
        <w:t>适用于本</w:t>
      </w:r>
      <w:r>
        <w:rPr>
          <w:rFonts w:hint="eastAsia" w:ascii="宋体" w:hAnsi="宋体"/>
          <w:kern w:val="0"/>
          <w:sz w:val="24"/>
        </w:rPr>
        <w:t>谈判采购</w:t>
      </w:r>
      <w:r>
        <w:rPr>
          <w:rFonts w:ascii="宋体" w:hAnsi="宋体"/>
          <w:kern w:val="0"/>
          <w:sz w:val="24"/>
        </w:rPr>
        <w:t>中所叙述项目下的采购</w:t>
      </w:r>
      <w:r>
        <w:rPr>
          <w:rFonts w:hint="eastAsia" w:ascii="宋体" w:hAnsi="宋体"/>
          <w:color w:val="000000" w:themeColor="text1"/>
          <w:sz w:val="24"/>
          <w14:textFill>
            <w14:solidFill>
              <w14:schemeClr w14:val="tx1"/>
            </w14:solidFill>
          </w14:textFill>
        </w:rPr>
        <w:t>，是</w:t>
      </w:r>
      <w:r>
        <w:rPr>
          <w:rFonts w:hint="eastAsia" w:ascii="宋体" w:hAnsi="宋体"/>
          <w:color w:val="000000" w:themeColor="text1"/>
          <w:sz w:val="24"/>
          <w:lang w:eastAsia="zh-CN"/>
          <w14:textFill>
            <w14:solidFill>
              <w14:schemeClr w14:val="tx1"/>
            </w14:solidFill>
          </w14:textFill>
        </w:rPr>
        <w:t>报价人</w:t>
      </w:r>
      <w:r>
        <w:rPr>
          <w:rFonts w:hint="eastAsia" w:ascii="宋体" w:hAnsi="宋体"/>
          <w:color w:val="000000" w:themeColor="text1"/>
          <w:sz w:val="24"/>
          <w14:textFill>
            <w14:solidFill>
              <w14:schemeClr w14:val="tx1"/>
            </w14:solidFill>
          </w14:textFill>
        </w:rPr>
        <w:t>编制谈判文件的依据</w:t>
      </w:r>
      <w:r>
        <w:rPr>
          <w:rFonts w:ascii="宋体" w:hAnsi="宋体"/>
          <w:kern w:val="0"/>
          <w:sz w:val="24"/>
        </w:rPr>
        <w:t>。</w:t>
      </w:r>
    </w:p>
    <w:p w14:paraId="3B193FB6">
      <w:pPr>
        <w:spacing w:line="360" w:lineRule="auto"/>
        <w:ind w:firstLine="480" w:firstLineChars="200"/>
        <w:rPr>
          <w:rFonts w:ascii="宋体" w:hAnsi="宋体"/>
          <w:kern w:val="0"/>
          <w:sz w:val="24"/>
        </w:rPr>
      </w:pPr>
      <w:r>
        <w:rPr>
          <w:rFonts w:hint="eastAsia" w:ascii="宋体" w:hAnsi="宋体"/>
          <w:kern w:val="0"/>
          <w:sz w:val="24"/>
        </w:rPr>
        <w:t>1.2</w:t>
      </w:r>
      <w:r>
        <w:rPr>
          <w:rFonts w:ascii="宋体" w:hAnsi="宋体"/>
          <w:kern w:val="0"/>
          <w:sz w:val="24"/>
        </w:rPr>
        <w:t xml:space="preserve"> </w:t>
      </w:r>
      <w:r>
        <w:rPr>
          <w:rFonts w:hint="eastAsia" w:ascii="宋体" w:hAnsi="宋体"/>
          <w:color w:val="000000" w:themeColor="text1"/>
          <w:sz w:val="24"/>
          <w14:textFill>
            <w14:solidFill>
              <w14:schemeClr w14:val="tx1"/>
            </w14:solidFill>
          </w14:textFill>
        </w:rPr>
        <w:t>本谈判文件及由本次谈判所形成的合同适用中华人民共和国法律。</w:t>
      </w:r>
    </w:p>
    <w:p w14:paraId="20A392CE">
      <w:pPr>
        <w:spacing w:line="360" w:lineRule="auto"/>
        <w:ind w:firstLine="482" w:firstLineChars="200"/>
        <w:rPr>
          <w:rFonts w:hint="eastAsia" w:ascii="宋体" w:hAnsi="宋体" w:eastAsia="宋体"/>
          <w:b/>
          <w:kern w:val="0"/>
          <w:sz w:val="24"/>
          <w:lang w:eastAsia="zh-CN"/>
        </w:rPr>
      </w:pPr>
      <w:r>
        <w:rPr>
          <w:rFonts w:ascii="宋体" w:hAnsi="宋体"/>
          <w:b/>
          <w:kern w:val="0"/>
          <w:sz w:val="24"/>
        </w:rPr>
        <w:t>2.</w:t>
      </w:r>
      <w:r>
        <w:rPr>
          <w:rFonts w:hint="eastAsia" w:ascii="宋体" w:hAnsi="宋体"/>
          <w:b/>
          <w:kern w:val="0"/>
          <w:sz w:val="24"/>
        </w:rPr>
        <w:t>合格</w:t>
      </w:r>
      <w:r>
        <w:rPr>
          <w:rFonts w:ascii="宋体" w:hAnsi="宋体"/>
          <w:b/>
          <w:kern w:val="0"/>
          <w:sz w:val="24"/>
        </w:rPr>
        <w:t>的</w:t>
      </w:r>
      <w:r>
        <w:rPr>
          <w:rFonts w:hint="eastAsia" w:ascii="宋体" w:hAnsi="宋体"/>
          <w:b/>
          <w:kern w:val="0"/>
          <w:sz w:val="24"/>
          <w:lang w:eastAsia="zh-CN"/>
        </w:rPr>
        <w:t>报价人</w:t>
      </w:r>
    </w:p>
    <w:p w14:paraId="5C129720">
      <w:pPr>
        <w:spacing w:line="360" w:lineRule="auto"/>
        <w:ind w:firstLine="480" w:firstLineChars="200"/>
        <w:rPr>
          <w:rFonts w:ascii="宋体" w:hAnsi="宋体"/>
          <w:kern w:val="0"/>
          <w:sz w:val="24"/>
        </w:rPr>
      </w:pPr>
      <w:r>
        <w:rPr>
          <w:rFonts w:ascii="宋体" w:hAnsi="宋体"/>
          <w:kern w:val="0"/>
          <w:sz w:val="24"/>
        </w:rPr>
        <w:t>2</w:t>
      </w:r>
      <w:r>
        <w:rPr>
          <w:rFonts w:hint="eastAsia" w:ascii="宋体" w:hAnsi="宋体"/>
          <w:kern w:val="0"/>
          <w:sz w:val="24"/>
        </w:rPr>
        <w:t>.1 凡在</w:t>
      </w:r>
      <w:r>
        <w:rPr>
          <w:rFonts w:ascii="宋体" w:hAnsi="宋体"/>
          <w:kern w:val="0"/>
          <w:sz w:val="24"/>
        </w:rPr>
        <w:t>中华人民共和国注册的、具有法人资格的、具备资质要求的公司均可</w:t>
      </w:r>
      <w:r>
        <w:rPr>
          <w:rFonts w:hint="eastAsia" w:ascii="宋体" w:hAnsi="宋体"/>
          <w:kern w:val="0"/>
          <w:sz w:val="24"/>
        </w:rPr>
        <w:t>参与谈判采购</w:t>
      </w:r>
      <w:r>
        <w:rPr>
          <w:rFonts w:ascii="宋体" w:hAnsi="宋体"/>
          <w:kern w:val="0"/>
          <w:sz w:val="24"/>
        </w:rPr>
        <w:t>。</w:t>
      </w:r>
    </w:p>
    <w:p w14:paraId="2F6AC03A">
      <w:pPr>
        <w:spacing w:line="360" w:lineRule="auto"/>
        <w:ind w:firstLine="480" w:firstLineChars="200"/>
        <w:rPr>
          <w:rFonts w:ascii="宋体" w:hAnsi="宋体"/>
          <w:kern w:val="0"/>
          <w:sz w:val="24"/>
        </w:rPr>
      </w:pPr>
      <w:r>
        <w:rPr>
          <w:rFonts w:ascii="宋体" w:hAnsi="宋体"/>
          <w:kern w:val="0"/>
          <w:sz w:val="24"/>
        </w:rPr>
        <w:t xml:space="preserve">2.2 </w:t>
      </w:r>
      <w:r>
        <w:rPr>
          <w:rFonts w:hint="eastAsia" w:ascii="宋体" w:hAnsi="宋体"/>
          <w:color w:val="000000" w:themeColor="text1"/>
          <w:sz w:val="24"/>
          <w14:textFill>
            <w14:solidFill>
              <w14:schemeClr w14:val="tx1"/>
            </w14:solidFill>
          </w14:textFill>
        </w:rPr>
        <w:t>本次谈判采购对</w:t>
      </w:r>
      <w:r>
        <w:rPr>
          <w:rFonts w:hint="eastAsia" w:ascii="宋体" w:hAnsi="宋体"/>
          <w:color w:val="000000" w:themeColor="text1"/>
          <w:sz w:val="24"/>
          <w:lang w:eastAsia="zh-CN"/>
          <w14:textFill>
            <w14:solidFill>
              <w14:schemeClr w14:val="tx1"/>
            </w14:solidFill>
          </w14:textFill>
        </w:rPr>
        <w:t>报价人</w:t>
      </w:r>
      <w:r>
        <w:rPr>
          <w:rFonts w:hint="eastAsia" w:ascii="宋体" w:hAnsi="宋体"/>
          <w:color w:val="000000" w:themeColor="text1"/>
          <w:sz w:val="24"/>
          <w14:textFill>
            <w14:solidFill>
              <w14:schemeClr w14:val="tx1"/>
            </w14:solidFill>
          </w14:textFill>
        </w:rPr>
        <w:t>的资格审查采用资格后审。</w:t>
      </w:r>
    </w:p>
    <w:p w14:paraId="7165413E">
      <w:pPr>
        <w:spacing w:line="360" w:lineRule="auto"/>
        <w:ind w:firstLine="480" w:firstLineChars="200"/>
        <w:rPr>
          <w:rFonts w:ascii="宋体" w:hAnsi="宋体"/>
          <w:kern w:val="0"/>
          <w:sz w:val="24"/>
        </w:rPr>
      </w:pPr>
      <w:r>
        <w:rPr>
          <w:rFonts w:ascii="宋体" w:hAnsi="宋体"/>
          <w:kern w:val="0"/>
          <w:sz w:val="24"/>
        </w:rPr>
        <w:t>2</w:t>
      </w:r>
      <w:r>
        <w:rPr>
          <w:rFonts w:hint="eastAsia" w:ascii="宋体" w:hAnsi="宋体"/>
          <w:kern w:val="0"/>
          <w:sz w:val="24"/>
        </w:rPr>
        <w:t xml:space="preserve">.3 </w:t>
      </w:r>
      <w:r>
        <w:rPr>
          <w:rFonts w:hint="eastAsia" w:ascii="宋体" w:hAnsi="宋体"/>
          <w:kern w:val="0"/>
          <w:sz w:val="24"/>
          <w:lang w:eastAsia="zh-CN"/>
        </w:rPr>
        <w:t>报价人</w:t>
      </w:r>
      <w:r>
        <w:rPr>
          <w:rFonts w:ascii="宋体" w:hAnsi="宋体"/>
          <w:kern w:val="0"/>
          <w:sz w:val="24"/>
        </w:rPr>
        <w:t>应遵</w:t>
      </w:r>
      <w:r>
        <w:rPr>
          <w:rFonts w:ascii="宋体" w:hAnsi="宋体"/>
          <w:color w:val="000000" w:themeColor="text1"/>
          <w:kern w:val="0"/>
          <w:sz w:val="24"/>
          <w14:textFill>
            <w14:solidFill>
              <w14:schemeClr w14:val="tx1"/>
            </w14:solidFill>
          </w14:textFill>
        </w:rPr>
        <w:t>守</w:t>
      </w:r>
      <w:r>
        <w:rPr>
          <w:rFonts w:ascii="宋体" w:hAnsi="宋体"/>
          <w:kern w:val="0"/>
          <w:sz w:val="24"/>
        </w:rPr>
        <w:t>中国法律和法规。</w:t>
      </w:r>
    </w:p>
    <w:p w14:paraId="7F989ABB">
      <w:pPr>
        <w:spacing w:line="360" w:lineRule="auto"/>
        <w:ind w:firstLine="482" w:firstLineChars="200"/>
        <w:rPr>
          <w:rFonts w:ascii="宋体" w:hAnsi="宋体"/>
          <w:b/>
          <w:kern w:val="0"/>
          <w:sz w:val="24"/>
        </w:rPr>
      </w:pPr>
      <w:r>
        <w:rPr>
          <w:rFonts w:ascii="宋体" w:hAnsi="宋体"/>
          <w:b/>
          <w:kern w:val="0"/>
          <w:sz w:val="24"/>
        </w:rPr>
        <w:t>3</w:t>
      </w:r>
      <w:r>
        <w:rPr>
          <w:rFonts w:hint="eastAsia" w:ascii="宋体" w:hAnsi="宋体"/>
          <w:b/>
          <w:kern w:val="0"/>
          <w:sz w:val="24"/>
        </w:rPr>
        <w:t>.谈判采购</w:t>
      </w:r>
      <w:r>
        <w:rPr>
          <w:rFonts w:ascii="宋体" w:hAnsi="宋体"/>
          <w:b/>
          <w:kern w:val="0"/>
          <w:sz w:val="24"/>
        </w:rPr>
        <w:t>费用</w:t>
      </w:r>
    </w:p>
    <w:p w14:paraId="2E24187D">
      <w:pPr>
        <w:spacing w:line="360" w:lineRule="auto"/>
        <w:ind w:firstLine="480" w:firstLineChars="200"/>
        <w:rPr>
          <w:rFonts w:hint="eastAsia" w:ascii="宋体" w:hAnsi="宋体"/>
          <w:color w:val="000000" w:themeColor="text1"/>
          <w:sz w:val="24"/>
          <w14:textFill>
            <w14:solidFill>
              <w14:schemeClr w14:val="tx1"/>
            </w14:solidFill>
          </w14:textFill>
        </w:rPr>
      </w:pPr>
      <w:r>
        <w:rPr>
          <w:rFonts w:ascii="宋体" w:hAnsi="宋体"/>
          <w:kern w:val="0"/>
          <w:sz w:val="24"/>
        </w:rPr>
        <w:t>3</w:t>
      </w:r>
      <w:r>
        <w:rPr>
          <w:rFonts w:hint="eastAsia" w:ascii="宋体" w:hAnsi="宋体"/>
          <w:kern w:val="0"/>
          <w:sz w:val="24"/>
        </w:rPr>
        <w:t>.1</w:t>
      </w:r>
      <w:r>
        <w:rPr>
          <w:rFonts w:hint="eastAsia" w:ascii="宋体" w:hAnsi="宋体"/>
          <w:color w:val="000000" w:themeColor="text1"/>
          <w:sz w:val="24"/>
          <w:lang w:eastAsia="zh-CN"/>
          <w14:textFill>
            <w14:solidFill>
              <w14:schemeClr w14:val="tx1"/>
            </w14:solidFill>
          </w14:textFill>
        </w:rPr>
        <w:t>报价人</w:t>
      </w:r>
      <w:r>
        <w:rPr>
          <w:rFonts w:ascii="宋体" w:hAnsi="宋体"/>
          <w:color w:val="000000" w:themeColor="text1"/>
          <w:sz w:val="24"/>
          <w14:textFill>
            <w14:solidFill>
              <w14:schemeClr w14:val="tx1"/>
            </w14:solidFill>
          </w14:textFill>
        </w:rPr>
        <w:t>应承担其参与本次</w:t>
      </w:r>
      <w:r>
        <w:rPr>
          <w:rFonts w:hint="eastAsia" w:ascii="宋体" w:hAnsi="宋体"/>
          <w:kern w:val="0"/>
          <w:sz w:val="24"/>
        </w:rPr>
        <w:t>谈判采购</w:t>
      </w:r>
      <w:r>
        <w:rPr>
          <w:rFonts w:ascii="宋体" w:hAnsi="宋体"/>
          <w:color w:val="000000" w:themeColor="text1"/>
          <w:sz w:val="24"/>
          <w14:textFill>
            <w14:solidFill>
              <w14:schemeClr w14:val="tx1"/>
            </w14:solidFill>
          </w14:textFill>
        </w:rPr>
        <w:t>所涉及的一切费用。不论</w:t>
      </w:r>
      <w:r>
        <w:rPr>
          <w:rFonts w:hint="eastAsia" w:ascii="宋体" w:hAnsi="宋体"/>
          <w:color w:val="000000" w:themeColor="text1"/>
          <w:sz w:val="24"/>
          <w14:textFill>
            <w14:solidFill>
              <w14:schemeClr w14:val="tx1"/>
            </w14:solidFill>
          </w14:textFill>
        </w:rPr>
        <w:t>谈判</w:t>
      </w:r>
      <w:r>
        <w:rPr>
          <w:rFonts w:ascii="宋体" w:hAnsi="宋体"/>
          <w:color w:val="000000" w:themeColor="text1"/>
          <w:sz w:val="24"/>
          <w14:textFill>
            <w14:solidFill>
              <w14:schemeClr w14:val="tx1"/>
            </w14:solidFill>
          </w14:textFill>
        </w:rPr>
        <w:t>结果如何，</w:t>
      </w:r>
      <w:r>
        <w:rPr>
          <w:rFonts w:hint="eastAsia" w:ascii="宋体" w:hAnsi="宋体"/>
          <w:color w:val="000000" w:themeColor="text1"/>
          <w:sz w:val="24"/>
          <w14:textFill>
            <w14:solidFill>
              <w14:schemeClr w14:val="tx1"/>
            </w14:solidFill>
          </w14:textFill>
        </w:rPr>
        <w:t>采购人均无</w:t>
      </w:r>
      <w:r>
        <w:rPr>
          <w:rFonts w:ascii="宋体" w:hAnsi="宋体"/>
          <w:color w:val="000000" w:themeColor="text1"/>
          <w:sz w:val="24"/>
          <w14:textFill>
            <w14:solidFill>
              <w14:schemeClr w14:val="tx1"/>
            </w14:solidFill>
          </w14:textFill>
        </w:rPr>
        <w:t>义务</w:t>
      </w:r>
      <w:r>
        <w:rPr>
          <w:rFonts w:hint="eastAsia" w:ascii="宋体" w:hAnsi="宋体"/>
          <w:color w:val="000000" w:themeColor="text1"/>
          <w:sz w:val="24"/>
          <w14:textFill>
            <w14:solidFill>
              <w14:schemeClr w14:val="tx1"/>
            </w14:solidFill>
          </w14:textFill>
        </w:rPr>
        <w:t>和</w:t>
      </w:r>
      <w:r>
        <w:rPr>
          <w:rFonts w:ascii="宋体" w:hAnsi="宋体"/>
          <w:color w:val="000000" w:themeColor="text1"/>
          <w:sz w:val="24"/>
          <w14:textFill>
            <w14:solidFill>
              <w14:schemeClr w14:val="tx1"/>
            </w14:solidFill>
          </w14:textFill>
        </w:rPr>
        <w:t>责任承担这些费用</w:t>
      </w:r>
      <w:r>
        <w:rPr>
          <w:rFonts w:hint="eastAsia" w:ascii="宋体" w:hAnsi="宋体"/>
          <w:color w:val="000000" w:themeColor="text1"/>
          <w:sz w:val="24"/>
          <w14:textFill>
            <w14:solidFill>
              <w14:schemeClr w14:val="tx1"/>
            </w14:solidFill>
          </w14:textFill>
        </w:rPr>
        <w:t>。</w:t>
      </w:r>
    </w:p>
    <w:p w14:paraId="3464B96F">
      <w:pPr>
        <w:spacing w:line="360" w:lineRule="auto"/>
        <w:ind w:firstLine="482" w:firstLineChars="200"/>
        <w:rPr>
          <w:rFonts w:ascii="宋体" w:hAnsi="宋体"/>
          <w:b/>
          <w:sz w:val="24"/>
        </w:rPr>
      </w:pPr>
      <w:r>
        <w:rPr>
          <w:rFonts w:ascii="宋体" w:hAnsi="宋体"/>
          <w:b/>
          <w:sz w:val="24"/>
        </w:rPr>
        <w:t>4.特别注意</w:t>
      </w:r>
    </w:p>
    <w:p w14:paraId="0A62F14C">
      <w:pPr>
        <w:spacing w:line="360" w:lineRule="auto"/>
        <w:ind w:firstLine="480" w:firstLineChars="200"/>
        <w:rPr>
          <w:rFonts w:ascii="宋体" w:hAnsi="宋体"/>
          <w:sz w:val="24"/>
        </w:rPr>
      </w:pPr>
      <w:r>
        <w:rPr>
          <w:rFonts w:hint="eastAsia" w:ascii="宋体" w:hAnsi="宋体"/>
          <w:sz w:val="24"/>
        </w:rPr>
        <w:t>单位负责人为同一人或者存在控股、管理关系的不同单位，不得同时参加本次谈判采购。</w:t>
      </w:r>
    </w:p>
    <w:p w14:paraId="0C0A8CB1">
      <w:pPr>
        <w:spacing w:line="360" w:lineRule="auto"/>
        <w:ind w:firstLine="482" w:firstLineChars="200"/>
        <w:rPr>
          <w:rFonts w:ascii="宋体" w:hAnsi="宋体"/>
          <w:b/>
          <w:kern w:val="0"/>
          <w:sz w:val="24"/>
        </w:rPr>
      </w:pPr>
      <w:r>
        <w:rPr>
          <w:rFonts w:hint="eastAsia" w:ascii="宋体" w:hAnsi="宋体"/>
          <w:b/>
          <w:kern w:val="0"/>
          <w:sz w:val="24"/>
        </w:rPr>
        <w:t>二</w:t>
      </w:r>
      <w:r>
        <w:rPr>
          <w:rFonts w:ascii="宋体" w:hAnsi="宋体"/>
          <w:b/>
          <w:kern w:val="0"/>
          <w:sz w:val="24"/>
        </w:rPr>
        <w:t>、谈判文件说明</w:t>
      </w:r>
    </w:p>
    <w:p w14:paraId="3866D18B">
      <w:pPr>
        <w:spacing w:line="360" w:lineRule="auto"/>
        <w:ind w:firstLine="482" w:firstLineChars="200"/>
        <w:rPr>
          <w:rFonts w:ascii="宋体" w:hAnsi="宋体"/>
          <w:b/>
          <w:kern w:val="0"/>
          <w:sz w:val="24"/>
        </w:rPr>
      </w:pPr>
      <w:r>
        <w:rPr>
          <w:rFonts w:ascii="宋体" w:hAnsi="宋体"/>
          <w:b/>
          <w:kern w:val="0"/>
          <w:sz w:val="24"/>
        </w:rPr>
        <w:t>1</w:t>
      </w:r>
      <w:r>
        <w:rPr>
          <w:rFonts w:hint="eastAsia" w:ascii="宋体" w:hAnsi="宋体"/>
          <w:b/>
          <w:kern w:val="0"/>
          <w:sz w:val="24"/>
        </w:rPr>
        <w:t>.谈判文件</w:t>
      </w:r>
      <w:r>
        <w:rPr>
          <w:rFonts w:ascii="宋体" w:hAnsi="宋体"/>
          <w:b/>
          <w:kern w:val="0"/>
          <w:sz w:val="24"/>
        </w:rPr>
        <w:t>的构成</w:t>
      </w:r>
    </w:p>
    <w:p w14:paraId="609AA677">
      <w:pPr>
        <w:spacing w:line="360" w:lineRule="auto"/>
        <w:ind w:firstLine="480" w:firstLineChars="200"/>
        <w:rPr>
          <w:rFonts w:ascii="宋体" w:hAnsi="宋体"/>
          <w:kern w:val="0"/>
          <w:sz w:val="24"/>
        </w:rPr>
      </w:pPr>
      <w:r>
        <w:rPr>
          <w:rFonts w:ascii="宋体" w:hAnsi="宋体"/>
          <w:kern w:val="0"/>
          <w:sz w:val="24"/>
        </w:rPr>
        <w:t xml:space="preserve">1.1 </w:t>
      </w:r>
      <w:r>
        <w:rPr>
          <w:rFonts w:hint="eastAsia" w:ascii="宋体" w:hAnsi="宋体"/>
          <w:kern w:val="0"/>
          <w:sz w:val="24"/>
        </w:rPr>
        <w:t>谈判文件用</w:t>
      </w:r>
      <w:r>
        <w:rPr>
          <w:rFonts w:ascii="宋体" w:hAnsi="宋体"/>
          <w:kern w:val="0"/>
          <w:sz w:val="24"/>
        </w:rPr>
        <w:t>以阐明所需提供的服务内容和范围及</w:t>
      </w:r>
      <w:r>
        <w:rPr>
          <w:rFonts w:hint="eastAsia" w:ascii="宋体" w:hAnsi="宋体"/>
          <w:kern w:val="0"/>
          <w:sz w:val="24"/>
        </w:rPr>
        <w:t>谈判采购</w:t>
      </w:r>
      <w:r>
        <w:rPr>
          <w:rFonts w:ascii="宋体" w:hAnsi="宋体"/>
          <w:kern w:val="0"/>
          <w:sz w:val="24"/>
        </w:rPr>
        <w:t>程序。谈判文件包括以下内容：</w:t>
      </w:r>
    </w:p>
    <w:p w14:paraId="3BF63522">
      <w:pPr>
        <w:spacing w:line="360" w:lineRule="auto"/>
        <w:ind w:firstLine="480" w:firstLineChars="200"/>
        <w:rPr>
          <w:rFonts w:ascii="宋体" w:hAnsi="宋体"/>
          <w:kern w:val="0"/>
          <w:sz w:val="24"/>
        </w:rPr>
      </w:pPr>
      <w:r>
        <w:rPr>
          <w:rFonts w:hint="eastAsia" w:ascii="宋体" w:hAnsi="宋体"/>
          <w:kern w:val="0"/>
          <w:sz w:val="24"/>
        </w:rPr>
        <w:t>（1）谈判公告</w:t>
      </w:r>
    </w:p>
    <w:p w14:paraId="6BBE1EA6">
      <w:pPr>
        <w:spacing w:line="360" w:lineRule="auto"/>
        <w:ind w:firstLine="480" w:firstLineChars="200"/>
        <w:rPr>
          <w:rFonts w:ascii="宋体" w:hAnsi="宋体"/>
          <w:kern w:val="0"/>
          <w:sz w:val="24"/>
        </w:rPr>
      </w:pPr>
      <w:r>
        <w:rPr>
          <w:rFonts w:hint="eastAsia" w:ascii="宋体" w:hAnsi="宋体"/>
          <w:kern w:val="0"/>
          <w:sz w:val="24"/>
        </w:rPr>
        <w:t>（2）</w:t>
      </w:r>
      <w:r>
        <w:rPr>
          <w:rFonts w:hint="eastAsia" w:ascii="宋体" w:hAnsi="宋体"/>
          <w:kern w:val="0"/>
          <w:sz w:val="24"/>
          <w:lang w:eastAsia="zh-CN"/>
        </w:rPr>
        <w:t>报价人</w:t>
      </w:r>
      <w:r>
        <w:rPr>
          <w:rFonts w:ascii="宋体" w:hAnsi="宋体"/>
          <w:kern w:val="0"/>
          <w:sz w:val="24"/>
        </w:rPr>
        <w:t>须知</w:t>
      </w:r>
    </w:p>
    <w:p w14:paraId="6D76801E">
      <w:pPr>
        <w:spacing w:line="360" w:lineRule="auto"/>
        <w:ind w:firstLine="480" w:firstLineChars="200"/>
        <w:rPr>
          <w:rFonts w:ascii="宋体" w:hAnsi="宋体"/>
          <w:kern w:val="0"/>
          <w:sz w:val="24"/>
        </w:rPr>
      </w:pPr>
      <w:r>
        <w:rPr>
          <w:rFonts w:hint="eastAsia" w:ascii="宋体" w:hAnsi="宋体"/>
          <w:kern w:val="0"/>
          <w:sz w:val="24"/>
        </w:rPr>
        <w:t>（3）项目</w:t>
      </w:r>
      <w:r>
        <w:rPr>
          <w:rFonts w:ascii="宋体" w:hAnsi="宋体"/>
          <w:kern w:val="0"/>
          <w:sz w:val="24"/>
        </w:rPr>
        <w:t>内容</w:t>
      </w:r>
    </w:p>
    <w:p w14:paraId="39AF1153">
      <w:pPr>
        <w:spacing w:line="360" w:lineRule="auto"/>
        <w:ind w:firstLine="480" w:firstLineChars="200"/>
        <w:rPr>
          <w:rFonts w:ascii="宋体" w:hAnsi="宋体"/>
          <w:kern w:val="0"/>
          <w:sz w:val="24"/>
        </w:rPr>
      </w:pPr>
      <w:r>
        <w:rPr>
          <w:rFonts w:hint="eastAsia" w:ascii="宋体" w:hAnsi="宋体"/>
          <w:kern w:val="0"/>
          <w:sz w:val="24"/>
        </w:rPr>
        <w:t>（</w:t>
      </w:r>
      <w:r>
        <w:rPr>
          <w:rFonts w:ascii="宋体" w:hAnsi="宋体"/>
          <w:kern w:val="0"/>
          <w:sz w:val="24"/>
        </w:rPr>
        <w:t>4</w:t>
      </w:r>
      <w:r>
        <w:rPr>
          <w:rFonts w:hint="eastAsia" w:ascii="宋体" w:hAnsi="宋体"/>
          <w:kern w:val="0"/>
          <w:sz w:val="24"/>
        </w:rPr>
        <w:t>）附件－谈判文件</w:t>
      </w:r>
      <w:r>
        <w:rPr>
          <w:rFonts w:ascii="宋体" w:hAnsi="宋体"/>
          <w:kern w:val="0"/>
          <w:sz w:val="24"/>
        </w:rPr>
        <w:t>格式</w:t>
      </w:r>
    </w:p>
    <w:p w14:paraId="77A2BDC1">
      <w:pPr>
        <w:spacing w:line="360" w:lineRule="auto"/>
        <w:ind w:firstLine="480" w:firstLineChars="200"/>
        <w:rPr>
          <w:rFonts w:ascii="宋体" w:hAnsi="宋体"/>
          <w:kern w:val="0"/>
          <w:sz w:val="24"/>
        </w:rPr>
      </w:pPr>
      <w:r>
        <w:rPr>
          <w:rFonts w:ascii="宋体" w:hAnsi="宋体"/>
          <w:kern w:val="0"/>
          <w:sz w:val="24"/>
        </w:rPr>
        <w:t>1</w:t>
      </w:r>
      <w:r>
        <w:rPr>
          <w:rFonts w:hint="eastAsia" w:ascii="宋体" w:hAnsi="宋体"/>
          <w:kern w:val="0"/>
          <w:sz w:val="24"/>
        </w:rPr>
        <w:t xml:space="preserve">.2 </w:t>
      </w:r>
      <w:r>
        <w:rPr>
          <w:rFonts w:hint="eastAsia" w:ascii="宋体" w:hAnsi="宋体"/>
          <w:kern w:val="0"/>
          <w:sz w:val="24"/>
          <w:lang w:eastAsia="zh-CN"/>
        </w:rPr>
        <w:t>报价人</w:t>
      </w:r>
      <w:r>
        <w:rPr>
          <w:rFonts w:ascii="宋体" w:hAnsi="宋体"/>
          <w:kern w:val="0"/>
          <w:sz w:val="24"/>
        </w:rPr>
        <w:t>应认真阅读谈判文件中的所有条款、格式和服务要求等。</w:t>
      </w:r>
      <w:r>
        <w:rPr>
          <w:rFonts w:hint="eastAsia" w:ascii="宋体" w:hAnsi="宋体"/>
          <w:kern w:val="0"/>
          <w:sz w:val="24"/>
          <w:lang w:eastAsia="zh-CN"/>
        </w:rPr>
        <w:t>报价人</w:t>
      </w:r>
      <w:r>
        <w:rPr>
          <w:rFonts w:hint="eastAsia" w:ascii="宋体" w:hAnsi="宋体"/>
          <w:kern w:val="0"/>
          <w:sz w:val="24"/>
        </w:rPr>
        <w:t>没有</w:t>
      </w:r>
      <w:r>
        <w:rPr>
          <w:rFonts w:ascii="宋体" w:hAnsi="宋体"/>
          <w:kern w:val="0"/>
          <w:sz w:val="24"/>
        </w:rPr>
        <w:t>按照谈判文件要求提交全部资料，或其</w:t>
      </w:r>
      <w:r>
        <w:rPr>
          <w:rFonts w:hint="eastAsia" w:ascii="宋体" w:hAnsi="宋体"/>
          <w:kern w:val="0"/>
          <w:sz w:val="24"/>
        </w:rPr>
        <w:t>谈判文件</w:t>
      </w:r>
      <w:r>
        <w:rPr>
          <w:rFonts w:ascii="宋体" w:hAnsi="宋体"/>
          <w:kern w:val="0"/>
          <w:sz w:val="24"/>
        </w:rPr>
        <w:t>没有对谈判文件全面做出实质性</w:t>
      </w:r>
      <w:r>
        <w:rPr>
          <w:rFonts w:hint="eastAsia" w:ascii="宋体" w:hAnsi="宋体"/>
          <w:kern w:val="0"/>
          <w:sz w:val="24"/>
        </w:rPr>
        <w:t>响应</w:t>
      </w:r>
      <w:r>
        <w:rPr>
          <w:rFonts w:ascii="宋体" w:hAnsi="宋体"/>
          <w:kern w:val="0"/>
          <w:sz w:val="24"/>
        </w:rPr>
        <w:t>，都可能导致被拒绝。</w:t>
      </w:r>
    </w:p>
    <w:p w14:paraId="1CAF0B57">
      <w:pPr>
        <w:spacing w:line="360" w:lineRule="auto"/>
        <w:ind w:firstLine="482" w:firstLineChars="200"/>
        <w:rPr>
          <w:rFonts w:ascii="宋体" w:hAnsi="宋体"/>
          <w:b/>
          <w:kern w:val="0"/>
          <w:sz w:val="24"/>
        </w:rPr>
      </w:pPr>
      <w:r>
        <w:rPr>
          <w:rFonts w:ascii="宋体" w:hAnsi="宋体"/>
          <w:b/>
          <w:kern w:val="0"/>
          <w:sz w:val="24"/>
        </w:rPr>
        <w:t>2.</w:t>
      </w:r>
      <w:r>
        <w:rPr>
          <w:rFonts w:hint="eastAsia" w:ascii="宋体" w:hAnsi="宋体"/>
          <w:b/>
          <w:kern w:val="0"/>
          <w:sz w:val="24"/>
        </w:rPr>
        <w:t>谈判文件</w:t>
      </w:r>
      <w:r>
        <w:rPr>
          <w:rFonts w:ascii="宋体" w:hAnsi="宋体"/>
          <w:b/>
          <w:kern w:val="0"/>
          <w:sz w:val="24"/>
        </w:rPr>
        <w:t>的澄清</w:t>
      </w:r>
    </w:p>
    <w:p w14:paraId="7AA0F972">
      <w:pPr>
        <w:spacing w:line="360" w:lineRule="auto"/>
        <w:ind w:firstLine="480" w:firstLineChars="200"/>
        <w:rPr>
          <w:rFonts w:ascii="宋体" w:hAnsi="宋体"/>
          <w:kern w:val="0"/>
          <w:sz w:val="24"/>
        </w:rPr>
      </w:pPr>
      <w:r>
        <w:rPr>
          <w:rFonts w:ascii="宋体" w:hAnsi="宋体"/>
          <w:kern w:val="0"/>
          <w:sz w:val="24"/>
        </w:rPr>
        <w:t>2</w:t>
      </w:r>
      <w:r>
        <w:rPr>
          <w:rFonts w:hint="eastAsia" w:ascii="宋体" w:hAnsi="宋体"/>
          <w:kern w:val="0"/>
          <w:sz w:val="24"/>
        </w:rPr>
        <w:t>.1 任何</w:t>
      </w:r>
      <w:r>
        <w:rPr>
          <w:rFonts w:ascii="宋体" w:hAnsi="宋体"/>
          <w:kern w:val="0"/>
          <w:sz w:val="24"/>
        </w:rPr>
        <w:t>要求采购人对谈判文件进行澄清的</w:t>
      </w:r>
      <w:r>
        <w:rPr>
          <w:rFonts w:hint="eastAsia" w:ascii="宋体" w:hAnsi="宋体"/>
          <w:kern w:val="0"/>
          <w:sz w:val="24"/>
          <w:lang w:eastAsia="zh-CN"/>
        </w:rPr>
        <w:t>报价人</w:t>
      </w:r>
      <w:r>
        <w:rPr>
          <w:rFonts w:ascii="宋体" w:hAnsi="宋体"/>
          <w:kern w:val="0"/>
          <w:sz w:val="24"/>
        </w:rPr>
        <w:t>，均应以</w:t>
      </w:r>
      <w:r>
        <w:rPr>
          <w:rFonts w:hint="eastAsia" w:ascii="宋体" w:hAnsi="宋体"/>
          <w:kern w:val="0"/>
          <w:sz w:val="24"/>
        </w:rPr>
        <w:t>书面</w:t>
      </w:r>
      <w:r>
        <w:rPr>
          <w:rFonts w:ascii="宋体" w:hAnsi="宋体"/>
          <w:kern w:val="0"/>
          <w:sz w:val="24"/>
        </w:rPr>
        <w:t>形式（</w:t>
      </w:r>
      <w:r>
        <w:rPr>
          <w:rFonts w:hint="eastAsia" w:ascii="宋体" w:hAnsi="宋体"/>
          <w:kern w:val="0"/>
          <w:sz w:val="24"/>
        </w:rPr>
        <w:t>包括</w:t>
      </w:r>
      <w:r>
        <w:rPr>
          <w:rFonts w:ascii="宋体" w:hAnsi="宋体"/>
          <w:kern w:val="0"/>
          <w:sz w:val="24"/>
        </w:rPr>
        <w:t>传真）</w:t>
      </w:r>
      <w:r>
        <w:rPr>
          <w:rFonts w:hint="eastAsia" w:ascii="宋体" w:hAnsi="宋体"/>
          <w:kern w:val="0"/>
          <w:sz w:val="24"/>
        </w:rPr>
        <w:t>通知</w:t>
      </w:r>
      <w:r>
        <w:rPr>
          <w:rFonts w:ascii="宋体" w:hAnsi="宋体"/>
          <w:kern w:val="0"/>
          <w:sz w:val="24"/>
        </w:rPr>
        <w:t>采购人。采购人</w:t>
      </w:r>
      <w:r>
        <w:rPr>
          <w:rFonts w:hint="eastAsia" w:ascii="宋体" w:hAnsi="宋体"/>
          <w:kern w:val="0"/>
          <w:sz w:val="24"/>
        </w:rPr>
        <w:t>将视情况确定</w:t>
      </w:r>
      <w:r>
        <w:rPr>
          <w:rFonts w:ascii="宋体" w:hAnsi="宋体"/>
          <w:kern w:val="0"/>
          <w:sz w:val="24"/>
        </w:rPr>
        <w:t>采用适当方式予以澄清</w:t>
      </w:r>
      <w:r>
        <w:rPr>
          <w:rFonts w:hint="eastAsia" w:ascii="宋体" w:hAnsi="宋体"/>
          <w:kern w:val="0"/>
          <w:sz w:val="24"/>
        </w:rPr>
        <w:t>或以</w:t>
      </w:r>
      <w:r>
        <w:rPr>
          <w:rFonts w:ascii="宋体" w:hAnsi="宋体"/>
          <w:kern w:val="0"/>
          <w:sz w:val="24"/>
        </w:rPr>
        <w:t>书面形式予以答复，并在其认为必要时，</w:t>
      </w:r>
      <w:r>
        <w:rPr>
          <w:rFonts w:hint="eastAsia" w:ascii="宋体" w:hAnsi="宋体"/>
          <w:kern w:val="0"/>
          <w:sz w:val="24"/>
        </w:rPr>
        <w:t>将</w:t>
      </w:r>
      <w:r>
        <w:rPr>
          <w:rFonts w:ascii="宋体" w:hAnsi="宋体"/>
          <w:kern w:val="0"/>
          <w:sz w:val="24"/>
        </w:rPr>
        <w:t>不</w:t>
      </w:r>
      <w:r>
        <w:rPr>
          <w:rFonts w:hint="eastAsia" w:ascii="宋体" w:hAnsi="宋体"/>
          <w:kern w:val="0"/>
          <w:sz w:val="24"/>
        </w:rPr>
        <w:t>标明</w:t>
      </w:r>
      <w:r>
        <w:rPr>
          <w:rFonts w:ascii="宋体" w:hAnsi="宋体"/>
          <w:kern w:val="0"/>
          <w:sz w:val="24"/>
        </w:rPr>
        <w:t>询问来源的书面答复发送给每个</w:t>
      </w:r>
      <w:r>
        <w:rPr>
          <w:rFonts w:hint="eastAsia" w:ascii="宋体" w:hAnsi="宋体"/>
          <w:kern w:val="0"/>
          <w:sz w:val="24"/>
        </w:rPr>
        <w:t>获取</w:t>
      </w:r>
      <w:r>
        <w:rPr>
          <w:rFonts w:ascii="宋体" w:hAnsi="宋体"/>
          <w:kern w:val="0"/>
          <w:sz w:val="24"/>
        </w:rPr>
        <w:t>谈判文件的</w:t>
      </w:r>
      <w:r>
        <w:rPr>
          <w:rFonts w:hint="eastAsia" w:ascii="宋体" w:hAnsi="宋体"/>
          <w:kern w:val="0"/>
          <w:sz w:val="24"/>
          <w:lang w:eastAsia="zh-CN"/>
        </w:rPr>
        <w:t>报价人</w:t>
      </w:r>
      <w:r>
        <w:rPr>
          <w:rFonts w:ascii="宋体" w:hAnsi="宋体"/>
          <w:kern w:val="0"/>
          <w:sz w:val="24"/>
        </w:rPr>
        <w:t>。</w:t>
      </w:r>
    </w:p>
    <w:p w14:paraId="615CB2C0">
      <w:pPr>
        <w:spacing w:line="360" w:lineRule="auto"/>
        <w:ind w:firstLine="482" w:firstLineChars="200"/>
        <w:rPr>
          <w:rFonts w:ascii="宋体" w:hAnsi="宋体"/>
          <w:b/>
          <w:kern w:val="0"/>
          <w:sz w:val="24"/>
        </w:rPr>
      </w:pPr>
      <w:r>
        <w:rPr>
          <w:rFonts w:hint="eastAsia" w:ascii="宋体" w:hAnsi="宋体"/>
          <w:b/>
          <w:kern w:val="0"/>
          <w:sz w:val="24"/>
        </w:rPr>
        <w:t>三</w:t>
      </w:r>
      <w:r>
        <w:rPr>
          <w:rFonts w:ascii="宋体" w:hAnsi="宋体"/>
          <w:b/>
          <w:kern w:val="0"/>
          <w:sz w:val="24"/>
        </w:rPr>
        <w:t>、</w:t>
      </w:r>
      <w:r>
        <w:rPr>
          <w:rFonts w:hint="eastAsia" w:ascii="宋体" w:hAnsi="宋体"/>
          <w:b/>
          <w:kern w:val="0"/>
          <w:sz w:val="24"/>
        </w:rPr>
        <w:t>谈判文件</w:t>
      </w:r>
      <w:r>
        <w:rPr>
          <w:rFonts w:ascii="宋体" w:hAnsi="宋体"/>
          <w:b/>
          <w:kern w:val="0"/>
          <w:sz w:val="24"/>
        </w:rPr>
        <w:t>的编写</w:t>
      </w:r>
    </w:p>
    <w:p w14:paraId="1491035D">
      <w:pPr>
        <w:spacing w:line="360" w:lineRule="auto"/>
        <w:ind w:firstLine="482" w:firstLineChars="200"/>
        <w:rPr>
          <w:rFonts w:ascii="宋体" w:hAnsi="宋体"/>
          <w:b/>
          <w:kern w:val="0"/>
          <w:sz w:val="24"/>
        </w:rPr>
      </w:pPr>
      <w:r>
        <w:rPr>
          <w:rFonts w:ascii="宋体" w:hAnsi="宋体"/>
          <w:b/>
          <w:kern w:val="0"/>
          <w:sz w:val="24"/>
        </w:rPr>
        <w:t>1</w:t>
      </w:r>
      <w:r>
        <w:rPr>
          <w:rFonts w:hint="eastAsia" w:ascii="宋体" w:hAnsi="宋体"/>
          <w:b/>
          <w:kern w:val="0"/>
          <w:sz w:val="24"/>
        </w:rPr>
        <w:t>.文件</w:t>
      </w:r>
      <w:r>
        <w:rPr>
          <w:rFonts w:ascii="宋体" w:hAnsi="宋体"/>
          <w:b/>
          <w:kern w:val="0"/>
          <w:sz w:val="24"/>
        </w:rPr>
        <w:t>语言</w:t>
      </w:r>
    </w:p>
    <w:p w14:paraId="5CE24F8C">
      <w:pPr>
        <w:spacing w:line="360" w:lineRule="auto"/>
        <w:ind w:firstLine="480" w:firstLineChars="200"/>
        <w:rPr>
          <w:rFonts w:ascii="宋体" w:hAnsi="宋体"/>
          <w:kern w:val="0"/>
          <w:sz w:val="24"/>
        </w:rPr>
      </w:pPr>
      <w:r>
        <w:rPr>
          <w:rFonts w:ascii="宋体" w:hAnsi="宋体"/>
          <w:kern w:val="0"/>
          <w:sz w:val="24"/>
        </w:rPr>
        <w:t xml:space="preserve">1.1 </w:t>
      </w:r>
      <w:r>
        <w:rPr>
          <w:rFonts w:hint="eastAsia" w:ascii="宋体" w:hAnsi="宋体"/>
          <w:kern w:val="0"/>
          <w:sz w:val="24"/>
        </w:rPr>
        <w:t>由</w:t>
      </w:r>
      <w:r>
        <w:rPr>
          <w:rFonts w:hint="eastAsia" w:ascii="宋体" w:hAnsi="宋体"/>
          <w:kern w:val="0"/>
          <w:sz w:val="24"/>
          <w:lang w:eastAsia="zh-CN"/>
        </w:rPr>
        <w:t>报价人</w:t>
      </w:r>
      <w:r>
        <w:rPr>
          <w:rFonts w:ascii="宋体" w:hAnsi="宋体"/>
          <w:kern w:val="0"/>
          <w:sz w:val="24"/>
        </w:rPr>
        <w:t>编写的</w:t>
      </w:r>
      <w:r>
        <w:rPr>
          <w:rFonts w:hint="eastAsia" w:ascii="宋体" w:hAnsi="宋体"/>
          <w:kern w:val="0"/>
          <w:sz w:val="24"/>
        </w:rPr>
        <w:t>谈判文件</w:t>
      </w:r>
      <w:r>
        <w:rPr>
          <w:rFonts w:ascii="宋体" w:hAnsi="宋体"/>
          <w:kern w:val="0"/>
          <w:sz w:val="24"/>
        </w:rPr>
        <w:t>和往来信件应以</w:t>
      </w:r>
      <w:r>
        <w:rPr>
          <w:rFonts w:hint="eastAsia" w:ascii="宋体" w:hAnsi="宋体"/>
          <w:kern w:val="0"/>
          <w:sz w:val="24"/>
        </w:rPr>
        <w:t>简体</w:t>
      </w:r>
      <w:r>
        <w:rPr>
          <w:rFonts w:ascii="宋体" w:hAnsi="宋体"/>
          <w:kern w:val="0"/>
          <w:sz w:val="24"/>
        </w:rPr>
        <w:t>中文书写。</w:t>
      </w:r>
    </w:p>
    <w:p w14:paraId="58ECFD2D">
      <w:pPr>
        <w:spacing w:line="360" w:lineRule="auto"/>
        <w:ind w:firstLine="482" w:firstLineChars="200"/>
        <w:rPr>
          <w:rFonts w:ascii="宋体" w:hAnsi="宋体"/>
          <w:b/>
          <w:kern w:val="0"/>
          <w:sz w:val="24"/>
        </w:rPr>
      </w:pPr>
      <w:r>
        <w:rPr>
          <w:rFonts w:ascii="宋体" w:hAnsi="宋体"/>
          <w:b/>
          <w:kern w:val="0"/>
          <w:sz w:val="24"/>
        </w:rPr>
        <w:t>2.</w:t>
      </w:r>
      <w:r>
        <w:rPr>
          <w:rFonts w:hint="eastAsia" w:ascii="宋体" w:hAnsi="宋体"/>
          <w:b/>
          <w:kern w:val="0"/>
          <w:sz w:val="24"/>
        </w:rPr>
        <w:t>计量单位</w:t>
      </w:r>
    </w:p>
    <w:p w14:paraId="1F0A5276">
      <w:pPr>
        <w:spacing w:line="360" w:lineRule="auto"/>
        <w:ind w:firstLine="480" w:firstLineChars="200"/>
        <w:rPr>
          <w:rFonts w:ascii="宋体" w:hAnsi="宋体"/>
          <w:kern w:val="0"/>
          <w:sz w:val="24"/>
        </w:rPr>
      </w:pPr>
      <w:r>
        <w:rPr>
          <w:rFonts w:ascii="宋体" w:hAnsi="宋体"/>
          <w:kern w:val="0"/>
          <w:sz w:val="24"/>
        </w:rPr>
        <w:t>2</w:t>
      </w:r>
      <w:r>
        <w:rPr>
          <w:rFonts w:hint="eastAsia" w:ascii="宋体" w:hAnsi="宋体"/>
          <w:kern w:val="0"/>
          <w:sz w:val="24"/>
        </w:rPr>
        <w:t>.1 除</w:t>
      </w:r>
      <w:r>
        <w:rPr>
          <w:rFonts w:ascii="宋体" w:hAnsi="宋体"/>
          <w:kern w:val="0"/>
          <w:sz w:val="24"/>
        </w:rPr>
        <w:t>在谈判文件中</w:t>
      </w:r>
      <w:r>
        <w:rPr>
          <w:rFonts w:hint="eastAsia" w:ascii="宋体" w:hAnsi="宋体"/>
          <w:kern w:val="0"/>
          <w:sz w:val="24"/>
        </w:rPr>
        <w:t>有</w:t>
      </w:r>
      <w:r>
        <w:rPr>
          <w:rFonts w:ascii="宋体" w:hAnsi="宋体"/>
          <w:kern w:val="0"/>
          <w:sz w:val="24"/>
        </w:rPr>
        <w:t>特殊要求外，</w:t>
      </w:r>
      <w:r>
        <w:rPr>
          <w:rFonts w:hint="eastAsia" w:ascii="宋体" w:hAnsi="宋体"/>
          <w:kern w:val="0"/>
          <w:sz w:val="24"/>
        </w:rPr>
        <w:t>谈判文件</w:t>
      </w:r>
      <w:r>
        <w:rPr>
          <w:rFonts w:ascii="宋体" w:hAnsi="宋体"/>
          <w:kern w:val="0"/>
          <w:sz w:val="24"/>
        </w:rPr>
        <w:t>中所使用的计量单位应为中华人民共和国法定计量单位。</w:t>
      </w:r>
    </w:p>
    <w:p w14:paraId="149DFA36">
      <w:pPr>
        <w:spacing w:line="360" w:lineRule="auto"/>
        <w:ind w:firstLine="482" w:firstLineChars="200"/>
        <w:rPr>
          <w:rFonts w:ascii="宋体" w:hAnsi="宋体"/>
          <w:b/>
          <w:kern w:val="0"/>
          <w:sz w:val="24"/>
        </w:rPr>
      </w:pPr>
      <w:r>
        <w:rPr>
          <w:rFonts w:ascii="宋体" w:hAnsi="宋体"/>
          <w:b/>
          <w:kern w:val="0"/>
          <w:sz w:val="24"/>
        </w:rPr>
        <w:t>3.</w:t>
      </w:r>
      <w:r>
        <w:rPr>
          <w:rFonts w:hint="eastAsia" w:ascii="宋体" w:hAnsi="宋体"/>
          <w:b/>
          <w:kern w:val="0"/>
          <w:sz w:val="24"/>
        </w:rPr>
        <w:t>谈判文件</w:t>
      </w:r>
      <w:r>
        <w:rPr>
          <w:rFonts w:ascii="宋体" w:hAnsi="宋体"/>
          <w:b/>
          <w:kern w:val="0"/>
          <w:sz w:val="24"/>
        </w:rPr>
        <w:t>的组成</w:t>
      </w:r>
    </w:p>
    <w:p w14:paraId="376AE1AE">
      <w:pPr>
        <w:spacing w:line="360" w:lineRule="auto"/>
        <w:ind w:firstLine="480" w:firstLineChars="200"/>
        <w:rPr>
          <w:rFonts w:ascii="宋体" w:hAnsi="宋体"/>
          <w:kern w:val="0"/>
          <w:sz w:val="24"/>
        </w:rPr>
      </w:pPr>
      <w:r>
        <w:rPr>
          <w:rFonts w:ascii="宋体" w:hAnsi="宋体"/>
          <w:kern w:val="0"/>
          <w:sz w:val="24"/>
        </w:rPr>
        <w:t>3</w:t>
      </w:r>
      <w:r>
        <w:rPr>
          <w:rFonts w:hint="eastAsia" w:ascii="宋体" w:hAnsi="宋体"/>
          <w:kern w:val="0"/>
          <w:sz w:val="24"/>
        </w:rPr>
        <w:t xml:space="preserve">.1 </w:t>
      </w:r>
      <w:r>
        <w:rPr>
          <w:rFonts w:hint="eastAsia" w:ascii="宋体" w:hAnsi="宋体"/>
          <w:kern w:val="0"/>
          <w:sz w:val="24"/>
          <w:lang w:eastAsia="zh-CN"/>
        </w:rPr>
        <w:t>报价人</w:t>
      </w:r>
      <w:r>
        <w:rPr>
          <w:rFonts w:ascii="宋体" w:hAnsi="宋体"/>
          <w:kern w:val="0"/>
          <w:sz w:val="24"/>
        </w:rPr>
        <w:t>编写的</w:t>
      </w:r>
      <w:r>
        <w:rPr>
          <w:rFonts w:hint="eastAsia" w:ascii="宋体" w:hAnsi="宋体"/>
          <w:kern w:val="0"/>
          <w:sz w:val="24"/>
        </w:rPr>
        <w:t>谈判文件</w:t>
      </w:r>
      <w:r>
        <w:rPr>
          <w:rFonts w:ascii="宋体" w:hAnsi="宋体"/>
          <w:kern w:val="0"/>
          <w:sz w:val="24"/>
        </w:rPr>
        <w:t>应包括下列部分：</w:t>
      </w:r>
    </w:p>
    <w:p w14:paraId="7EA8981C">
      <w:pPr>
        <w:spacing w:line="360" w:lineRule="auto"/>
        <w:ind w:firstLine="480" w:firstLineChars="200"/>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w:t>
      </w:r>
      <w:r>
        <w:rPr>
          <w:rFonts w:ascii="宋体" w:hAnsi="宋体"/>
          <w:color w:val="000000" w:themeColor="text1"/>
          <w:kern w:val="0"/>
          <w:sz w:val="24"/>
          <w14:textFill>
            <w14:solidFill>
              <w14:schemeClr w14:val="tx1"/>
            </w14:solidFill>
          </w14:textFill>
        </w:rPr>
        <w:t>1）</w:t>
      </w:r>
      <w:r>
        <w:rPr>
          <w:rFonts w:hint="eastAsia" w:ascii="宋体" w:hAnsi="宋体"/>
          <w:color w:val="000000" w:themeColor="text1"/>
          <w:kern w:val="0"/>
          <w:sz w:val="24"/>
          <w14:textFill>
            <w14:solidFill>
              <w14:schemeClr w14:val="tx1"/>
            </w14:solidFill>
          </w14:textFill>
        </w:rPr>
        <w:t>谈判响应书</w:t>
      </w:r>
    </w:p>
    <w:p w14:paraId="63D11B30">
      <w:pPr>
        <w:spacing w:line="360" w:lineRule="auto"/>
        <w:ind w:firstLine="480" w:firstLineChars="200"/>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（2）</w:t>
      </w:r>
      <w:r>
        <w:rPr>
          <w:rFonts w:hint="eastAsia" w:ascii="宋体" w:hAnsi="宋体"/>
          <w:color w:val="000000" w:themeColor="text1"/>
          <w:kern w:val="0"/>
          <w:sz w:val="24"/>
          <w:lang w:eastAsia="zh-CN"/>
          <w14:textFill>
            <w14:solidFill>
              <w14:schemeClr w14:val="tx1"/>
            </w14:solidFill>
          </w14:textFill>
        </w:rPr>
        <w:t>报价人</w:t>
      </w:r>
      <w:r>
        <w:rPr>
          <w:rFonts w:ascii="宋体" w:hAnsi="宋体"/>
          <w:color w:val="000000" w:themeColor="text1"/>
          <w:kern w:val="0"/>
          <w:sz w:val="24"/>
          <w14:textFill>
            <w14:solidFill>
              <w14:schemeClr w14:val="tx1"/>
            </w14:solidFill>
          </w14:textFill>
        </w:rPr>
        <w:t>基本情况表</w:t>
      </w:r>
    </w:p>
    <w:p w14:paraId="4760A46A">
      <w:pPr>
        <w:spacing w:line="360" w:lineRule="auto"/>
        <w:ind w:firstLine="480" w:firstLineChars="200"/>
        <w:rPr>
          <w:rFonts w:ascii="宋体" w:hAnsi="宋体"/>
          <w:kern w:val="0"/>
          <w:sz w:val="24"/>
        </w:rPr>
      </w:pPr>
      <w:r>
        <w:rPr>
          <w:rFonts w:hint="eastAsia" w:ascii="宋体" w:hAnsi="宋体"/>
          <w:kern w:val="0"/>
          <w:sz w:val="24"/>
        </w:rPr>
        <w:t>（3）项目</w:t>
      </w:r>
      <w:r>
        <w:rPr>
          <w:rFonts w:ascii="宋体" w:hAnsi="宋体"/>
          <w:kern w:val="0"/>
          <w:sz w:val="24"/>
        </w:rPr>
        <w:t>方案及有关承诺。</w:t>
      </w:r>
      <w:r>
        <w:rPr>
          <w:rFonts w:hint="eastAsia" w:ascii="宋体" w:hAnsi="宋体"/>
          <w:kern w:val="0"/>
          <w:sz w:val="24"/>
          <w:lang w:eastAsia="zh-CN"/>
        </w:rPr>
        <w:t>报价人</w:t>
      </w:r>
      <w:r>
        <w:rPr>
          <w:rFonts w:hint="eastAsia" w:ascii="宋体" w:hAnsi="宋体"/>
          <w:kern w:val="0"/>
          <w:sz w:val="24"/>
        </w:rPr>
        <w:t>必须</w:t>
      </w:r>
      <w:r>
        <w:rPr>
          <w:rFonts w:ascii="宋体" w:hAnsi="宋体"/>
          <w:kern w:val="0"/>
          <w:sz w:val="24"/>
        </w:rPr>
        <w:t>提出明确的用于本项目方案，方案应包括但不限于以下内容：</w:t>
      </w:r>
    </w:p>
    <w:p w14:paraId="1A836C3D">
      <w:pPr>
        <w:spacing w:line="360" w:lineRule="auto"/>
        <w:ind w:firstLine="480" w:firstLineChars="200"/>
        <w:rPr>
          <w:rFonts w:ascii="宋体" w:hAnsi="宋体"/>
          <w:kern w:val="0"/>
          <w:sz w:val="24"/>
        </w:rPr>
      </w:pPr>
      <w:r>
        <w:rPr>
          <w:rFonts w:hint="eastAsia" w:ascii="宋体" w:hAnsi="宋体"/>
          <w:kern w:val="0"/>
          <w:sz w:val="24"/>
        </w:rPr>
        <w:t>（4）按照</w:t>
      </w:r>
      <w:r>
        <w:rPr>
          <w:rFonts w:hint="eastAsia" w:ascii="宋体" w:hAnsi="宋体"/>
          <w:kern w:val="0"/>
          <w:sz w:val="24"/>
          <w:lang w:eastAsia="zh-CN"/>
        </w:rPr>
        <w:t>报价人</w:t>
      </w:r>
      <w:r>
        <w:rPr>
          <w:rFonts w:ascii="宋体" w:hAnsi="宋体"/>
          <w:color w:val="000000" w:themeColor="text1"/>
          <w:kern w:val="0"/>
          <w:sz w:val="24"/>
          <w14:textFill>
            <w14:solidFill>
              <w14:schemeClr w14:val="tx1"/>
            </w14:solidFill>
          </w14:textFill>
        </w:rPr>
        <w:t>须知</w:t>
      </w:r>
      <w:r>
        <w:rPr>
          <w:rFonts w:ascii="宋体" w:hAnsi="宋体"/>
          <w:kern w:val="0"/>
          <w:sz w:val="24"/>
        </w:rPr>
        <w:t>出具的</w:t>
      </w:r>
      <w:r>
        <w:rPr>
          <w:rFonts w:hint="eastAsia" w:ascii="宋体" w:hAnsi="宋体"/>
          <w:kern w:val="0"/>
          <w:sz w:val="24"/>
          <w:lang w:eastAsia="zh-CN"/>
        </w:rPr>
        <w:t>报价人</w:t>
      </w:r>
      <w:r>
        <w:rPr>
          <w:rFonts w:ascii="宋体" w:hAnsi="宋体"/>
          <w:kern w:val="0"/>
          <w:sz w:val="24"/>
        </w:rPr>
        <w:t>资格证明文件</w:t>
      </w:r>
      <w:r>
        <w:rPr>
          <w:rFonts w:hint="eastAsia" w:ascii="宋体" w:hAnsi="宋体"/>
          <w:kern w:val="0"/>
          <w:sz w:val="24"/>
        </w:rPr>
        <w:t>；</w:t>
      </w:r>
    </w:p>
    <w:p w14:paraId="5D519E15">
      <w:pPr>
        <w:spacing w:line="360" w:lineRule="auto"/>
        <w:ind w:firstLine="482" w:firstLineChars="200"/>
        <w:rPr>
          <w:rFonts w:ascii="宋体" w:hAnsi="宋体"/>
          <w:b/>
          <w:kern w:val="0"/>
          <w:sz w:val="24"/>
        </w:rPr>
      </w:pPr>
      <w:r>
        <w:rPr>
          <w:rFonts w:ascii="宋体" w:hAnsi="宋体"/>
          <w:b/>
          <w:kern w:val="0"/>
          <w:sz w:val="24"/>
        </w:rPr>
        <w:t>4</w:t>
      </w:r>
      <w:r>
        <w:rPr>
          <w:rFonts w:hint="eastAsia" w:ascii="宋体" w:hAnsi="宋体"/>
          <w:b/>
          <w:kern w:val="0"/>
          <w:sz w:val="24"/>
        </w:rPr>
        <w:t>．谈判文件</w:t>
      </w:r>
      <w:r>
        <w:rPr>
          <w:rFonts w:ascii="宋体" w:hAnsi="宋体"/>
          <w:b/>
          <w:kern w:val="0"/>
          <w:sz w:val="24"/>
        </w:rPr>
        <w:t>格式</w:t>
      </w:r>
    </w:p>
    <w:p w14:paraId="6D03F1C7">
      <w:pPr>
        <w:spacing w:line="360" w:lineRule="auto"/>
        <w:ind w:firstLine="480" w:firstLineChars="200"/>
        <w:rPr>
          <w:rFonts w:ascii="宋体" w:hAnsi="宋体"/>
          <w:kern w:val="0"/>
          <w:sz w:val="24"/>
        </w:rPr>
      </w:pPr>
      <w:r>
        <w:rPr>
          <w:rFonts w:ascii="宋体" w:hAnsi="宋体"/>
          <w:kern w:val="0"/>
          <w:sz w:val="24"/>
        </w:rPr>
        <w:t>4</w:t>
      </w:r>
      <w:r>
        <w:rPr>
          <w:rFonts w:hint="eastAsia" w:ascii="宋体" w:hAnsi="宋体"/>
          <w:kern w:val="0"/>
          <w:sz w:val="24"/>
        </w:rPr>
        <w:t xml:space="preserve">.1 </w:t>
      </w:r>
      <w:r>
        <w:rPr>
          <w:rFonts w:hint="eastAsia" w:ascii="宋体" w:hAnsi="宋体"/>
          <w:kern w:val="0"/>
          <w:sz w:val="24"/>
          <w:lang w:eastAsia="zh-CN"/>
        </w:rPr>
        <w:t>报价人</w:t>
      </w:r>
      <w:r>
        <w:rPr>
          <w:rFonts w:ascii="宋体" w:hAnsi="宋体"/>
          <w:kern w:val="0"/>
          <w:sz w:val="24"/>
        </w:rPr>
        <w:t>应</w:t>
      </w:r>
      <w:r>
        <w:rPr>
          <w:rFonts w:hint="eastAsia" w:ascii="宋体" w:hAnsi="宋体"/>
          <w:kern w:val="0"/>
          <w:sz w:val="24"/>
        </w:rPr>
        <w:t>按</w:t>
      </w:r>
      <w:r>
        <w:rPr>
          <w:rFonts w:ascii="宋体" w:hAnsi="宋体"/>
          <w:kern w:val="0"/>
          <w:sz w:val="24"/>
        </w:rPr>
        <w:t>谈判文件中提供的</w:t>
      </w:r>
      <w:r>
        <w:rPr>
          <w:rFonts w:hint="eastAsia" w:ascii="宋体" w:hAnsi="宋体"/>
          <w:kern w:val="0"/>
          <w:sz w:val="24"/>
        </w:rPr>
        <w:t>谈判文件</w:t>
      </w:r>
      <w:r>
        <w:rPr>
          <w:rFonts w:ascii="宋体" w:hAnsi="宋体"/>
          <w:color w:val="000000" w:themeColor="text1"/>
          <w:kern w:val="0"/>
          <w:sz w:val="24"/>
          <w14:textFill>
            <w14:solidFill>
              <w14:schemeClr w14:val="tx1"/>
            </w14:solidFill>
          </w14:textFill>
        </w:rPr>
        <w:t>格式填写“</w:t>
      </w:r>
      <w:r>
        <w:rPr>
          <w:rFonts w:hint="eastAsia" w:ascii="宋体" w:hAnsi="宋体"/>
          <w:color w:val="000000" w:themeColor="text1"/>
          <w:kern w:val="0"/>
          <w:sz w:val="24"/>
          <w14:textFill>
            <w14:solidFill>
              <w14:schemeClr w14:val="tx1"/>
            </w14:solidFill>
          </w14:textFill>
        </w:rPr>
        <w:t>响应书</w:t>
      </w:r>
      <w:r>
        <w:rPr>
          <w:rFonts w:ascii="宋体" w:hAnsi="宋体"/>
          <w:color w:val="000000" w:themeColor="text1"/>
          <w:kern w:val="0"/>
          <w:sz w:val="24"/>
          <w14:textFill>
            <w14:solidFill>
              <w14:schemeClr w14:val="tx1"/>
            </w14:solidFill>
          </w14:textFill>
        </w:rPr>
        <w:t>”</w:t>
      </w:r>
      <w:r>
        <w:rPr>
          <w:rFonts w:hint="eastAsia" w:ascii="宋体" w:hAnsi="宋体"/>
          <w:color w:val="000000" w:themeColor="text1"/>
          <w:kern w:val="0"/>
          <w:sz w:val="24"/>
          <w14:textFill>
            <w14:solidFill>
              <w14:schemeClr w14:val="tx1"/>
            </w14:solidFill>
          </w14:textFill>
        </w:rPr>
        <w:t>、</w:t>
      </w:r>
      <w:r>
        <w:rPr>
          <w:rFonts w:ascii="宋体" w:hAnsi="宋体"/>
          <w:color w:val="000000" w:themeColor="text1"/>
          <w:kern w:val="0"/>
          <w:sz w:val="24"/>
          <w14:textFill>
            <w14:solidFill>
              <w14:schemeClr w14:val="tx1"/>
            </w14:solidFill>
          </w14:textFill>
        </w:rPr>
        <w:t>“</w:t>
      </w:r>
      <w:r>
        <w:rPr>
          <w:rFonts w:hint="eastAsia" w:ascii="宋体" w:hAnsi="宋体"/>
          <w:color w:val="000000" w:themeColor="text1"/>
          <w:kern w:val="0"/>
          <w:sz w:val="24"/>
          <w:lang w:eastAsia="zh-CN"/>
          <w14:textFill>
            <w14:solidFill>
              <w14:schemeClr w14:val="tx1"/>
            </w14:solidFill>
          </w14:textFill>
        </w:rPr>
        <w:t>报价人</w:t>
      </w:r>
      <w:r>
        <w:rPr>
          <w:rFonts w:ascii="宋体" w:hAnsi="宋体"/>
          <w:color w:val="000000" w:themeColor="text1"/>
          <w:kern w:val="0"/>
          <w:sz w:val="24"/>
          <w14:textFill>
            <w14:solidFill>
              <w14:schemeClr w14:val="tx1"/>
            </w14:solidFill>
          </w14:textFill>
        </w:rPr>
        <w:t>资格证明文件”</w:t>
      </w:r>
      <w:r>
        <w:rPr>
          <w:rFonts w:hint="eastAsia" w:ascii="宋体" w:hAnsi="宋体"/>
          <w:color w:val="000000" w:themeColor="text1"/>
          <w:kern w:val="0"/>
          <w:sz w:val="24"/>
          <w14:textFill>
            <w14:solidFill>
              <w14:schemeClr w14:val="tx1"/>
            </w14:solidFill>
          </w14:textFill>
        </w:rPr>
        <w:t>以及</w:t>
      </w:r>
      <w:r>
        <w:rPr>
          <w:rFonts w:ascii="宋体" w:hAnsi="宋体"/>
          <w:color w:val="000000" w:themeColor="text1"/>
          <w:kern w:val="0"/>
          <w:sz w:val="24"/>
          <w14:textFill>
            <w14:solidFill>
              <w14:schemeClr w14:val="tx1"/>
            </w14:solidFill>
          </w14:textFill>
        </w:rPr>
        <w:t>其他注</w:t>
      </w:r>
      <w:r>
        <w:rPr>
          <w:rFonts w:ascii="宋体" w:hAnsi="宋体"/>
          <w:kern w:val="0"/>
          <w:sz w:val="24"/>
        </w:rPr>
        <w:t>明提供的相关文件。</w:t>
      </w:r>
    </w:p>
    <w:p w14:paraId="72594E3B">
      <w:pPr>
        <w:spacing w:line="360" w:lineRule="auto"/>
        <w:ind w:firstLine="482" w:firstLineChars="200"/>
        <w:rPr>
          <w:rFonts w:ascii="宋体" w:hAnsi="宋体"/>
          <w:b/>
          <w:kern w:val="0"/>
          <w:sz w:val="24"/>
        </w:rPr>
      </w:pPr>
      <w:r>
        <w:rPr>
          <w:rFonts w:ascii="宋体" w:hAnsi="宋体"/>
          <w:b/>
          <w:kern w:val="0"/>
          <w:sz w:val="24"/>
        </w:rPr>
        <w:t>5</w:t>
      </w:r>
      <w:r>
        <w:rPr>
          <w:rFonts w:hint="eastAsia" w:ascii="宋体" w:hAnsi="宋体"/>
          <w:b/>
          <w:kern w:val="0"/>
          <w:sz w:val="24"/>
        </w:rPr>
        <w:t>．</w:t>
      </w:r>
      <w:r>
        <w:rPr>
          <w:rFonts w:ascii="宋体" w:hAnsi="宋体"/>
          <w:b/>
          <w:kern w:val="0"/>
          <w:sz w:val="24"/>
        </w:rPr>
        <w:t>报价</w:t>
      </w:r>
    </w:p>
    <w:p w14:paraId="6ECB1F73">
      <w:pPr>
        <w:spacing w:line="360" w:lineRule="auto"/>
        <w:ind w:firstLine="480" w:firstLineChars="200"/>
        <w:rPr>
          <w:rFonts w:ascii="宋体" w:hAnsi="宋体"/>
          <w:kern w:val="0"/>
          <w:sz w:val="24"/>
        </w:rPr>
      </w:pPr>
      <w:r>
        <w:rPr>
          <w:rFonts w:ascii="宋体" w:hAnsi="宋体"/>
          <w:kern w:val="0"/>
          <w:sz w:val="24"/>
        </w:rPr>
        <w:t>5</w:t>
      </w:r>
      <w:r>
        <w:rPr>
          <w:rFonts w:hint="eastAsia" w:ascii="宋体" w:hAnsi="宋体"/>
          <w:kern w:val="0"/>
          <w:sz w:val="24"/>
        </w:rPr>
        <w:t xml:space="preserve">.1 </w:t>
      </w:r>
      <w:r>
        <w:rPr>
          <w:rFonts w:hint="eastAsia" w:ascii="宋体" w:hAnsi="宋体"/>
          <w:kern w:val="0"/>
          <w:sz w:val="24"/>
          <w:lang w:eastAsia="zh-CN"/>
        </w:rPr>
        <w:t>报价人</w:t>
      </w:r>
      <w:r>
        <w:rPr>
          <w:rFonts w:ascii="宋体" w:hAnsi="宋体"/>
          <w:kern w:val="0"/>
          <w:sz w:val="24"/>
        </w:rPr>
        <w:t>必须按照本谈判文件所要求的</w:t>
      </w:r>
      <w:r>
        <w:rPr>
          <w:rFonts w:hint="eastAsia" w:ascii="宋体" w:hAnsi="宋体"/>
          <w:kern w:val="0"/>
          <w:sz w:val="24"/>
          <w:lang w:eastAsia="zh-CN"/>
        </w:rPr>
        <w:t>报价人</w:t>
      </w:r>
      <w:r>
        <w:rPr>
          <w:rFonts w:ascii="宋体" w:hAnsi="宋体"/>
          <w:kern w:val="0"/>
          <w:sz w:val="24"/>
        </w:rPr>
        <w:t>应提供的所有</w:t>
      </w:r>
      <w:r>
        <w:rPr>
          <w:rFonts w:hint="eastAsia" w:ascii="宋体" w:hAnsi="宋体"/>
          <w:kern w:val="0"/>
          <w:sz w:val="24"/>
        </w:rPr>
        <w:t>项目</w:t>
      </w:r>
      <w:r>
        <w:rPr>
          <w:rFonts w:ascii="宋体" w:hAnsi="宋体"/>
          <w:kern w:val="0"/>
          <w:sz w:val="24"/>
        </w:rPr>
        <w:t>进行报价</w:t>
      </w:r>
      <w:r>
        <w:rPr>
          <w:rFonts w:hint="eastAsia" w:ascii="宋体" w:hAnsi="宋体"/>
          <w:color w:val="000000" w:themeColor="text1"/>
          <w:kern w:val="0"/>
          <w:sz w:val="24"/>
          <w14:textFill>
            <w14:solidFill>
              <w14:schemeClr w14:val="tx1"/>
            </w14:solidFill>
          </w14:textFill>
        </w:rPr>
        <w:t>；</w:t>
      </w:r>
    </w:p>
    <w:p w14:paraId="2B6ABC7C">
      <w:pPr>
        <w:spacing w:line="360" w:lineRule="auto"/>
        <w:ind w:firstLine="482" w:firstLineChars="200"/>
        <w:rPr>
          <w:rFonts w:ascii="宋体" w:hAnsi="宋体"/>
          <w:b/>
          <w:kern w:val="0"/>
          <w:sz w:val="24"/>
        </w:rPr>
      </w:pPr>
      <w:r>
        <w:rPr>
          <w:rFonts w:ascii="宋体" w:hAnsi="宋体"/>
          <w:b/>
          <w:kern w:val="0"/>
          <w:sz w:val="24"/>
        </w:rPr>
        <w:t xml:space="preserve">5.2 </w:t>
      </w:r>
      <w:r>
        <w:rPr>
          <w:rFonts w:hint="eastAsia" w:ascii="宋体" w:hAnsi="宋体"/>
          <w:b/>
          <w:kern w:val="0"/>
          <w:sz w:val="24"/>
          <w:lang w:eastAsia="zh-CN"/>
        </w:rPr>
        <w:t>报价人</w:t>
      </w:r>
      <w:r>
        <w:rPr>
          <w:rFonts w:ascii="宋体" w:hAnsi="宋体"/>
          <w:b/>
          <w:kern w:val="0"/>
          <w:sz w:val="24"/>
        </w:rPr>
        <w:t>必须对</w:t>
      </w:r>
      <w:r>
        <w:rPr>
          <w:rFonts w:hint="eastAsia" w:ascii="宋体" w:hAnsi="宋体"/>
          <w:b/>
          <w:kern w:val="0"/>
          <w:sz w:val="24"/>
        </w:rPr>
        <w:t>承诺</w:t>
      </w:r>
      <w:r>
        <w:rPr>
          <w:rFonts w:ascii="宋体" w:hAnsi="宋体"/>
          <w:b/>
          <w:kern w:val="0"/>
          <w:sz w:val="24"/>
        </w:rPr>
        <w:t>期限内的服务做出承诺</w:t>
      </w:r>
      <w:r>
        <w:rPr>
          <w:rFonts w:hint="eastAsia" w:ascii="宋体" w:hAnsi="宋体"/>
          <w:b/>
          <w:kern w:val="0"/>
          <w:sz w:val="24"/>
        </w:rPr>
        <w:t>。</w:t>
      </w:r>
    </w:p>
    <w:p w14:paraId="0ABA6E10">
      <w:pPr>
        <w:spacing w:line="360" w:lineRule="auto"/>
        <w:ind w:firstLine="482" w:firstLineChars="200"/>
        <w:rPr>
          <w:rFonts w:ascii="宋体" w:hAnsi="宋体"/>
          <w:b/>
          <w:kern w:val="0"/>
          <w:sz w:val="24"/>
        </w:rPr>
      </w:pPr>
      <w:r>
        <w:rPr>
          <w:rFonts w:ascii="宋体" w:hAnsi="宋体"/>
          <w:b/>
          <w:kern w:val="0"/>
          <w:sz w:val="24"/>
        </w:rPr>
        <w:t>6</w:t>
      </w:r>
      <w:r>
        <w:rPr>
          <w:rFonts w:hint="eastAsia" w:ascii="宋体" w:hAnsi="宋体"/>
          <w:b/>
          <w:kern w:val="0"/>
          <w:sz w:val="24"/>
        </w:rPr>
        <w:t>. 报价</w:t>
      </w:r>
      <w:r>
        <w:rPr>
          <w:rFonts w:ascii="宋体" w:hAnsi="宋体"/>
          <w:b/>
          <w:kern w:val="0"/>
          <w:sz w:val="24"/>
        </w:rPr>
        <w:t>货币</w:t>
      </w:r>
    </w:p>
    <w:p w14:paraId="256B8D46">
      <w:pPr>
        <w:spacing w:line="360" w:lineRule="auto"/>
        <w:ind w:firstLine="480" w:firstLineChars="200"/>
        <w:rPr>
          <w:rFonts w:ascii="宋体" w:hAnsi="宋体"/>
          <w:kern w:val="0"/>
          <w:sz w:val="24"/>
        </w:rPr>
      </w:pPr>
      <w:r>
        <w:rPr>
          <w:rFonts w:ascii="宋体" w:hAnsi="宋体"/>
          <w:kern w:val="0"/>
          <w:sz w:val="24"/>
        </w:rPr>
        <w:t>6</w:t>
      </w:r>
      <w:r>
        <w:rPr>
          <w:rFonts w:hint="eastAsia" w:ascii="宋体" w:hAnsi="宋体"/>
          <w:kern w:val="0"/>
          <w:sz w:val="24"/>
        </w:rPr>
        <w:t>.1 谈判文件</w:t>
      </w:r>
      <w:r>
        <w:rPr>
          <w:rFonts w:ascii="宋体" w:hAnsi="宋体"/>
          <w:kern w:val="0"/>
          <w:sz w:val="24"/>
        </w:rPr>
        <w:t>中的</w:t>
      </w:r>
      <w:r>
        <w:rPr>
          <w:rFonts w:hint="eastAsia" w:ascii="宋体" w:hAnsi="宋体"/>
          <w:kern w:val="0"/>
          <w:sz w:val="24"/>
        </w:rPr>
        <w:t>报价</w:t>
      </w:r>
      <w:r>
        <w:rPr>
          <w:rFonts w:ascii="宋体" w:hAnsi="宋体"/>
          <w:kern w:val="0"/>
          <w:sz w:val="24"/>
        </w:rPr>
        <w:t>一律用人民币币种填报。</w:t>
      </w:r>
    </w:p>
    <w:p w14:paraId="491ACB64">
      <w:pPr>
        <w:spacing w:line="360" w:lineRule="auto"/>
        <w:ind w:firstLine="482" w:firstLineChars="200"/>
        <w:rPr>
          <w:rFonts w:ascii="宋体" w:hAnsi="宋体"/>
          <w:b/>
          <w:kern w:val="0"/>
          <w:sz w:val="24"/>
        </w:rPr>
      </w:pPr>
      <w:r>
        <w:rPr>
          <w:rFonts w:ascii="宋体" w:hAnsi="宋体"/>
          <w:b/>
          <w:kern w:val="0"/>
          <w:sz w:val="24"/>
        </w:rPr>
        <w:t>7.</w:t>
      </w:r>
      <w:r>
        <w:rPr>
          <w:rFonts w:hint="eastAsia" w:ascii="宋体" w:hAnsi="宋体"/>
          <w:b/>
          <w:kern w:val="0"/>
          <w:sz w:val="24"/>
        </w:rPr>
        <w:t>证明</w:t>
      </w:r>
      <w:r>
        <w:rPr>
          <w:rFonts w:hint="eastAsia" w:ascii="宋体" w:hAnsi="宋体"/>
          <w:b/>
          <w:kern w:val="0"/>
          <w:sz w:val="24"/>
          <w:lang w:eastAsia="zh-CN"/>
        </w:rPr>
        <w:t>报价人</w:t>
      </w:r>
      <w:r>
        <w:rPr>
          <w:rFonts w:ascii="宋体" w:hAnsi="宋体"/>
          <w:b/>
          <w:kern w:val="0"/>
          <w:sz w:val="24"/>
        </w:rPr>
        <w:t>资格的证明文件</w:t>
      </w:r>
    </w:p>
    <w:p w14:paraId="10A07B49">
      <w:pPr>
        <w:spacing w:line="360" w:lineRule="auto"/>
        <w:ind w:firstLine="480" w:firstLineChars="200"/>
        <w:rPr>
          <w:rFonts w:ascii="宋体" w:hAnsi="宋体"/>
          <w:kern w:val="0"/>
          <w:sz w:val="24"/>
        </w:rPr>
      </w:pPr>
      <w:r>
        <w:rPr>
          <w:rFonts w:ascii="宋体" w:hAnsi="宋体"/>
          <w:kern w:val="0"/>
          <w:sz w:val="24"/>
        </w:rPr>
        <w:t xml:space="preserve">7.1 </w:t>
      </w:r>
      <w:r>
        <w:rPr>
          <w:rFonts w:hint="eastAsia" w:ascii="宋体" w:hAnsi="宋体"/>
          <w:kern w:val="0"/>
          <w:sz w:val="24"/>
          <w:lang w:eastAsia="zh-CN"/>
        </w:rPr>
        <w:t>报价人</w:t>
      </w:r>
      <w:r>
        <w:rPr>
          <w:rFonts w:ascii="宋体" w:hAnsi="宋体"/>
          <w:color w:val="000000" w:themeColor="text1"/>
          <w:kern w:val="0"/>
          <w:sz w:val="24"/>
          <w14:textFill>
            <w14:solidFill>
              <w14:schemeClr w14:val="tx1"/>
            </w14:solidFill>
          </w14:textFill>
        </w:rPr>
        <w:t>必须</w:t>
      </w:r>
      <w:r>
        <w:rPr>
          <w:rFonts w:hint="eastAsia" w:ascii="宋体" w:hAnsi="宋体"/>
          <w:color w:val="000000" w:themeColor="text1"/>
          <w:kern w:val="0"/>
          <w:sz w:val="24"/>
          <w14:textFill>
            <w14:solidFill>
              <w14:schemeClr w14:val="tx1"/>
            </w14:solidFill>
          </w14:textFill>
        </w:rPr>
        <w:t>按</w:t>
      </w:r>
      <w:r>
        <w:rPr>
          <w:rFonts w:ascii="宋体" w:hAnsi="宋体"/>
          <w:color w:val="000000" w:themeColor="text1"/>
          <w:kern w:val="0"/>
          <w:sz w:val="24"/>
          <w14:textFill>
            <w14:solidFill>
              <w14:schemeClr w14:val="tx1"/>
            </w14:solidFill>
          </w14:textFill>
        </w:rPr>
        <w:t>附件</w:t>
      </w:r>
      <w:r>
        <w:rPr>
          <w:rFonts w:hint="eastAsia" w:ascii="宋体" w:hAnsi="宋体"/>
          <w:color w:val="000000" w:themeColor="text1"/>
          <w:kern w:val="0"/>
          <w:sz w:val="24"/>
          <w14:textFill>
            <w14:solidFill>
              <w14:schemeClr w14:val="tx1"/>
            </w14:solidFill>
          </w14:textFill>
        </w:rPr>
        <w:t>3的</w:t>
      </w:r>
      <w:r>
        <w:rPr>
          <w:rFonts w:ascii="宋体" w:hAnsi="宋体"/>
          <w:color w:val="000000" w:themeColor="text1"/>
          <w:kern w:val="0"/>
          <w:sz w:val="24"/>
          <w14:textFill>
            <w14:solidFill>
              <w14:schemeClr w14:val="tx1"/>
            </w14:solidFill>
          </w14:textFill>
        </w:rPr>
        <w:t>要求</w:t>
      </w:r>
      <w:r>
        <w:rPr>
          <w:rFonts w:ascii="宋体" w:hAnsi="宋体"/>
          <w:kern w:val="0"/>
          <w:sz w:val="24"/>
        </w:rPr>
        <w:t>提交证明文件，以证明其有资格参加</w:t>
      </w:r>
      <w:r>
        <w:rPr>
          <w:rFonts w:hint="eastAsia" w:ascii="宋体" w:hAnsi="宋体"/>
          <w:kern w:val="0"/>
          <w:sz w:val="24"/>
        </w:rPr>
        <w:t>谈判采购和成交</w:t>
      </w:r>
      <w:r>
        <w:rPr>
          <w:rFonts w:ascii="宋体" w:hAnsi="宋体"/>
          <w:kern w:val="0"/>
          <w:sz w:val="24"/>
        </w:rPr>
        <w:t>后有履行合同的能力，并作为其</w:t>
      </w:r>
      <w:r>
        <w:rPr>
          <w:rFonts w:hint="eastAsia" w:ascii="宋体" w:hAnsi="宋体"/>
          <w:kern w:val="0"/>
          <w:sz w:val="24"/>
        </w:rPr>
        <w:t>谈判文件</w:t>
      </w:r>
      <w:r>
        <w:rPr>
          <w:rFonts w:ascii="宋体" w:hAnsi="宋体"/>
          <w:kern w:val="0"/>
          <w:sz w:val="24"/>
        </w:rPr>
        <w:t>的一部分</w:t>
      </w:r>
      <w:r>
        <w:rPr>
          <w:rFonts w:hint="eastAsia" w:ascii="宋体" w:hAnsi="宋体"/>
          <w:kern w:val="0"/>
          <w:sz w:val="24"/>
        </w:rPr>
        <w:t>；</w:t>
      </w:r>
    </w:p>
    <w:p w14:paraId="1AD03269">
      <w:pPr>
        <w:widowControl/>
        <w:spacing w:line="360" w:lineRule="auto"/>
        <w:ind w:firstLine="480" w:firstLineChars="200"/>
        <w:jc w:val="left"/>
        <w:rPr>
          <w:rFonts w:ascii="宋体" w:hAnsi="宋体"/>
          <w:kern w:val="0"/>
          <w:sz w:val="24"/>
        </w:rPr>
      </w:pPr>
      <w:r>
        <w:rPr>
          <w:rFonts w:ascii="宋体" w:hAnsi="宋体" w:cs="宋体"/>
          <w:kern w:val="0"/>
          <w:sz w:val="24"/>
        </w:rPr>
        <w:t xml:space="preserve">7.2 </w:t>
      </w:r>
      <w:r>
        <w:rPr>
          <w:rFonts w:hint="eastAsia" w:ascii="宋体" w:hAnsi="宋体"/>
          <w:kern w:val="0"/>
          <w:sz w:val="24"/>
          <w:lang w:eastAsia="zh-CN"/>
        </w:rPr>
        <w:t>报价人</w:t>
      </w:r>
      <w:r>
        <w:rPr>
          <w:rFonts w:ascii="宋体" w:hAnsi="宋体"/>
          <w:kern w:val="0"/>
          <w:sz w:val="24"/>
        </w:rPr>
        <w:t>应具有</w:t>
      </w:r>
      <w:r>
        <w:rPr>
          <w:rFonts w:hint="eastAsia" w:ascii="宋体" w:hAnsi="宋体"/>
          <w:kern w:val="0"/>
          <w:sz w:val="24"/>
        </w:rPr>
        <w:t>独立</w:t>
      </w:r>
      <w:r>
        <w:rPr>
          <w:rFonts w:ascii="宋体" w:hAnsi="宋体"/>
          <w:kern w:val="0"/>
          <w:sz w:val="24"/>
        </w:rPr>
        <w:t>履行合同所需的财务、业务和管理能力。</w:t>
      </w:r>
    </w:p>
    <w:p w14:paraId="5EA4084A">
      <w:pPr>
        <w:spacing w:line="360" w:lineRule="auto"/>
        <w:ind w:firstLine="482" w:firstLineChars="200"/>
        <w:rPr>
          <w:rFonts w:ascii="宋体" w:hAnsi="宋体"/>
          <w:b/>
          <w:kern w:val="0"/>
          <w:sz w:val="24"/>
        </w:rPr>
      </w:pPr>
      <w:r>
        <w:rPr>
          <w:rFonts w:ascii="宋体" w:hAnsi="宋体"/>
          <w:b/>
          <w:kern w:val="0"/>
          <w:sz w:val="24"/>
        </w:rPr>
        <w:t>8.</w:t>
      </w:r>
      <w:r>
        <w:rPr>
          <w:rFonts w:hint="eastAsia" w:ascii="宋体" w:hAnsi="宋体"/>
          <w:b/>
          <w:kern w:val="0"/>
          <w:sz w:val="24"/>
        </w:rPr>
        <w:t xml:space="preserve"> 谈判文件</w:t>
      </w:r>
      <w:r>
        <w:rPr>
          <w:rFonts w:ascii="宋体" w:hAnsi="宋体"/>
          <w:b/>
          <w:kern w:val="0"/>
          <w:sz w:val="24"/>
        </w:rPr>
        <w:t>的签署及规定</w:t>
      </w:r>
    </w:p>
    <w:p w14:paraId="4B492276">
      <w:pPr>
        <w:spacing w:line="360" w:lineRule="auto"/>
        <w:ind w:firstLine="480" w:firstLineChars="200"/>
        <w:rPr>
          <w:rFonts w:ascii="宋体" w:hAnsi="宋体"/>
          <w:kern w:val="0"/>
          <w:sz w:val="24"/>
        </w:rPr>
      </w:pPr>
      <w:r>
        <w:rPr>
          <w:rFonts w:ascii="宋体" w:hAnsi="宋体"/>
          <w:kern w:val="0"/>
          <w:sz w:val="24"/>
        </w:rPr>
        <w:t>8</w:t>
      </w:r>
      <w:r>
        <w:rPr>
          <w:rFonts w:hint="eastAsia" w:ascii="宋体" w:hAnsi="宋体"/>
          <w:kern w:val="0"/>
          <w:sz w:val="24"/>
        </w:rPr>
        <w:t>.1 谈判文件</w:t>
      </w:r>
      <w:r>
        <w:rPr>
          <w:rFonts w:ascii="宋体" w:hAnsi="宋体"/>
          <w:kern w:val="0"/>
          <w:sz w:val="24"/>
        </w:rPr>
        <w:t>签署人系指法定代表人或法定代表人针对本次项目正式授权的</w:t>
      </w:r>
      <w:r>
        <w:rPr>
          <w:rFonts w:hint="eastAsia" w:ascii="宋体" w:hAnsi="宋体"/>
          <w:kern w:val="0"/>
          <w:sz w:val="24"/>
          <w:lang w:eastAsia="zh-CN"/>
        </w:rPr>
        <w:t>报价人</w:t>
      </w:r>
      <w:r>
        <w:rPr>
          <w:rFonts w:ascii="宋体" w:hAnsi="宋体"/>
          <w:kern w:val="0"/>
          <w:sz w:val="24"/>
        </w:rPr>
        <w:t>代表</w:t>
      </w:r>
      <w:r>
        <w:rPr>
          <w:rFonts w:hint="eastAsia" w:ascii="宋体" w:hAnsi="宋体"/>
          <w:kern w:val="0"/>
          <w:sz w:val="24"/>
        </w:rPr>
        <w:t>；</w:t>
      </w:r>
    </w:p>
    <w:p w14:paraId="44BB19C1">
      <w:pPr>
        <w:spacing w:line="360" w:lineRule="auto"/>
        <w:ind w:firstLine="480" w:firstLineChars="200"/>
        <w:rPr>
          <w:rFonts w:ascii="宋体" w:hAnsi="宋体"/>
          <w:kern w:val="0"/>
          <w:sz w:val="24"/>
        </w:rPr>
      </w:pPr>
      <w:r>
        <w:rPr>
          <w:rFonts w:ascii="宋体" w:hAnsi="宋体"/>
          <w:kern w:val="0"/>
          <w:sz w:val="24"/>
        </w:rPr>
        <w:t>8</w:t>
      </w:r>
      <w:r>
        <w:rPr>
          <w:rFonts w:hint="eastAsia" w:ascii="宋体" w:hAnsi="宋体"/>
          <w:kern w:val="0"/>
          <w:sz w:val="24"/>
        </w:rPr>
        <w:t>.2 谈判文件</w:t>
      </w:r>
      <w:r>
        <w:rPr>
          <w:rFonts w:ascii="宋体" w:hAnsi="宋体"/>
          <w:kern w:val="0"/>
          <w:sz w:val="24"/>
        </w:rPr>
        <w:t>须是打印文件。</w:t>
      </w:r>
      <w:r>
        <w:rPr>
          <w:rFonts w:hint="eastAsia" w:ascii="宋体" w:hAnsi="宋体"/>
          <w:kern w:val="0"/>
          <w:sz w:val="24"/>
        </w:rPr>
        <w:t>谈判文件</w:t>
      </w:r>
      <w:r>
        <w:rPr>
          <w:rFonts w:ascii="宋体" w:hAnsi="宋体"/>
          <w:kern w:val="0"/>
          <w:sz w:val="24"/>
        </w:rPr>
        <w:t>应由</w:t>
      </w:r>
      <w:r>
        <w:rPr>
          <w:rFonts w:hint="eastAsia" w:ascii="宋体" w:hAnsi="宋体"/>
          <w:kern w:val="0"/>
          <w:sz w:val="24"/>
        </w:rPr>
        <w:t>谈判文件</w:t>
      </w:r>
      <w:r>
        <w:rPr>
          <w:rFonts w:ascii="宋体" w:hAnsi="宋体"/>
          <w:kern w:val="0"/>
          <w:sz w:val="24"/>
        </w:rPr>
        <w:t>签署人在</w:t>
      </w:r>
      <w:r>
        <w:rPr>
          <w:rFonts w:hint="eastAsia" w:ascii="宋体" w:hAnsi="宋体"/>
          <w:kern w:val="0"/>
          <w:sz w:val="24"/>
        </w:rPr>
        <w:t>“谈判文件”要求</w:t>
      </w:r>
      <w:r>
        <w:rPr>
          <w:rFonts w:ascii="宋体" w:hAnsi="宋体"/>
          <w:kern w:val="0"/>
          <w:sz w:val="24"/>
        </w:rPr>
        <w:t>的地方签字并加盖</w:t>
      </w:r>
      <w:r>
        <w:rPr>
          <w:rFonts w:hint="eastAsia" w:ascii="宋体" w:hAnsi="宋体"/>
          <w:kern w:val="0"/>
          <w:sz w:val="24"/>
          <w:lang w:eastAsia="zh-CN"/>
        </w:rPr>
        <w:t>报价人</w:t>
      </w:r>
      <w:r>
        <w:rPr>
          <w:rFonts w:ascii="宋体" w:hAnsi="宋体"/>
          <w:kern w:val="0"/>
          <w:sz w:val="24"/>
        </w:rPr>
        <w:t>单位公章。</w:t>
      </w:r>
    </w:p>
    <w:p w14:paraId="09B64EFF">
      <w:pPr>
        <w:spacing w:line="360" w:lineRule="auto"/>
        <w:ind w:firstLine="480" w:firstLineChars="200"/>
        <w:rPr>
          <w:rFonts w:ascii="宋体" w:hAnsi="宋体"/>
          <w:kern w:val="0"/>
          <w:sz w:val="24"/>
        </w:rPr>
      </w:pPr>
      <w:r>
        <w:rPr>
          <w:rFonts w:ascii="宋体" w:hAnsi="宋体"/>
          <w:kern w:val="0"/>
          <w:sz w:val="24"/>
        </w:rPr>
        <w:t>8</w:t>
      </w:r>
      <w:r>
        <w:rPr>
          <w:rFonts w:hint="eastAsia" w:ascii="宋体" w:hAnsi="宋体"/>
          <w:kern w:val="0"/>
          <w:sz w:val="24"/>
        </w:rPr>
        <w:t>.3 除</w:t>
      </w:r>
      <w:r>
        <w:rPr>
          <w:rFonts w:hint="eastAsia" w:ascii="宋体" w:hAnsi="宋体"/>
          <w:kern w:val="0"/>
          <w:sz w:val="24"/>
          <w:lang w:eastAsia="zh-CN"/>
        </w:rPr>
        <w:t>报价人</w:t>
      </w:r>
      <w:r>
        <w:rPr>
          <w:rFonts w:ascii="宋体" w:hAnsi="宋体"/>
          <w:kern w:val="0"/>
          <w:sz w:val="24"/>
        </w:rPr>
        <w:t>对错误处做必要修改外，</w:t>
      </w:r>
      <w:r>
        <w:rPr>
          <w:rFonts w:hint="eastAsia" w:ascii="宋体" w:hAnsi="宋体"/>
          <w:kern w:val="0"/>
          <w:sz w:val="24"/>
        </w:rPr>
        <w:t>谈判文件</w:t>
      </w:r>
      <w:r>
        <w:rPr>
          <w:rFonts w:ascii="宋体" w:hAnsi="宋体"/>
          <w:kern w:val="0"/>
          <w:sz w:val="24"/>
        </w:rPr>
        <w:t>中不许有加行、涂抹</w:t>
      </w:r>
      <w:r>
        <w:rPr>
          <w:rFonts w:hint="eastAsia" w:ascii="宋体" w:hAnsi="宋体"/>
          <w:kern w:val="0"/>
          <w:sz w:val="24"/>
        </w:rPr>
        <w:t>或</w:t>
      </w:r>
      <w:r>
        <w:rPr>
          <w:rFonts w:ascii="宋体" w:hAnsi="宋体"/>
          <w:kern w:val="0"/>
          <w:sz w:val="24"/>
        </w:rPr>
        <w:t>改写。若有</w:t>
      </w:r>
      <w:r>
        <w:rPr>
          <w:rFonts w:hint="eastAsia" w:ascii="宋体" w:hAnsi="宋体"/>
          <w:kern w:val="0"/>
          <w:sz w:val="24"/>
        </w:rPr>
        <w:t>修改</w:t>
      </w:r>
      <w:r>
        <w:rPr>
          <w:rFonts w:ascii="宋体" w:hAnsi="宋体"/>
          <w:kern w:val="0"/>
          <w:sz w:val="24"/>
        </w:rPr>
        <w:t>内容，须由</w:t>
      </w:r>
      <w:r>
        <w:rPr>
          <w:rFonts w:hint="eastAsia" w:ascii="宋体" w:hAnsi="宋体"/>
          <w:kern w:val="0"/>
          <w:sz w:val="24"/>
        </w:rPr>
        <w:t>谈判文件</w:t>
      </w:r>
      <w:r>
        <w:rPr>
          <w:rFonts w:ascii="宋体" w:hAnsi="宋体"/>
          <w:kern w:val="0"/>
          <w:sz w:val="24"/>
        </w:rPr>
        <w:t>签署人在修改处签字为有效。</w:t>
      </w:r>
    </w:p>
    <w:p w14:paraId="7F3FEDE6">
      <w:pPr>
        <w:spacing w:line="360" w:lineRule="auto"/>
        <w:ind w:firstLine="480" w:firstLineChars="200"/>
        <w:rPr>
          <w:rFonts w:ascii="宋体" w:hAnsi="宋体"/>
          <w:kern w:val="0"/>
          <w:sz w:val="24"/>
        </w:rPr>
      </w:pPr>
      <w:r>
        <w:rPr>
          <w:rFonts w:ascii="宋体" w:hAnsi="宋体"/>
          <w:kern w:val="0"/>
          <w:sz w:val="24"/>
        </w:rPr>
        <w:t>8</w:t>
      </w:r>
      <w:r>
        <w:rPr>
          <w:rFonts w:hint="eastAsia" w:ascii="宋体" w:hAnsi="宋体"/>
          <w:kern w:val="0"/>
          <w:sz w:val="24"/>
        </w:rPr>
        <w:t>.4 谈判文件</w:t>
      </w:r>
      <w:r>
        <w:rPr>
          <w:rFonts w:ascii="宋体" w:hAnsi="宋体"/>
          <w:kern w:val="0"/>
          <w:sz w:val="24"/>
        </w:rPr>
        <w:t>因字迹潦草或表达不清所引起的后果由</w:t>
      </w:r>
      <w:r>
        <w:rPr>
          <w:rFonts w:hint="eastAsia" w:ascii="宋体" w:hAnsi="宋体"/>
          <w:kern w:val="0"/>
          <w:sz w:val="24"/>
          <w:lang w:eastAsia="zh-CN"/>
        </w:rPr>
        <w:t>报价人</w:t>
      </w:r>
      <w:r>
        <w:rPr>
          <w:rFonts w:hint="eastAsia" w:ascii="宋体" w:hAnsi="宋体"/>
          <w:kern w:val="0"/>
          <w:sz w:val="24"/>
        </w:rPr>
        <w:t>自己</w:t>
      </w:r>
      <w:r>
        <w:rPr>
          <w:rFonts w:ascii="宋体" w:hAnsi="宋体"/>
          <w:kern w:val="0"/>
          <w:sz w:val="24"/>
        </w:rPr>
        <w:t>承担。</w:t>
      </w:r>
    </w:p>
    <w:p w14:paraId="079CD785">
      <w:pPr>
        <w:spacing w:line="360" w:lineRule="auto"/>
        <w:ind w:firstLine="480" w:firstLineChars="200"/>
        <w:rPr>
          <w:rFonts w:ascii="宋体" w:hAnsi="宋体"/>
          <w:kern w:val="0"/>
          <w:sz w:val="24"/>
        </w:rPr>
      </w:pPr>
      <w:r>
        <w:rPr>
          <w:rFonts w:ascii="宋体" w:hAnsi="宋体"/>
          <w:kern w:val="0"/>
          <w:sz w:val="24"/>
        </w:rPr>
        <w:t xml:space="preserve">8.5 </w:t>
      </w:r>
      <w:r>
        <w:rPr>
          <w:rFonts w:hint="eastAsia" w:ascii="宋体" w:hAnsi="宋体"/>
          <w:kern w:val="0"/>
          <w:sz w:val="24"/>
        </w:rPr>
        <w:t>采购人</w:t>
      </w:r>
      <w:r>
        <w:rPr>
          <w:rFonts w:ascii="宋体" w:hAnsi="宋体"/>
          <w:kern w:val="0"/>
          <w:sz w:val="24"/>
        </w:rPr>
        <w:t>拒绝接受以电话、传真或电子邮件形式的</w:t>
      </w:r>
      <w:r>
        <w:rPr>
          <w:rFonts w:hint="eastAsia" w:ascii="宋体" w:hAnsi="宋体"/>
          <w:kern w:val="0"/>
          <w:sz w:val="24"/>
        </w:rPr>
        <w:t>投递</w:t>
      </w:r>
      <w:r>
        <w:rPr>
          <w:rFonts w:ascii="宋体" w:hAnsi="宋体"/>
          <w:kern w:val="0"/>
          <w:sz w:val="24"/>
        </w:rPr>
        <w:t>。</w:t>
      </w:r>
    </w:p>
    <w:p w14:paraId="7560265C">
      <w:pPr>
        <w:widowControl/>
        <w:spacing w:line="360" w:lineRule="auto"/>
        <w:ind w:firstLine="482" w:firstLineChars="200"/>
        <w:jc w:val="left"/>
        <w:rPr>
          <w:rFonts w:ascii="宋体" w:hAnsi="宋体" w:cs="宋体"/>
          <w:b/>
          <w:kern w:val="0"/>
          <w:sz w:val="24"/>
        </w:rPr>
      </w:pPr>
      <w:r>
        <w:rPr>
          <w:rFonts w:hint="eastAsia" w:ascii="宋体" w:hAnsi="宋体" w:cs="宋体"/>
          <w:b/>
          <w:kern w:val="0"/>
          <w:sz w:val="24"/>
        </w:rPr>
        <w:t>四</w:t>
      </w:r>
      <w:r>
        <w:rPr>
          <w:rFonts w:ascii="宋体" w:hAnsi="宋体" w:cs="宋体"/>
          <w:b/>
          <w:kern w:val="0"/>
          <w:sz w:val="24"/>
        </w:rPr>
        <w:t>、</w:t>
      </w:r>
      <w:r>
        <w:rPr>
          <w:rFonts w:hint="eastAsia" w:ascii="宋体" w:hAnsi="宋体" w:cs="宋体"/>
          <w:b/>
          <w:kern w:val="0"/>
          <w:sz w:val="24"/>
        </w:rPr>
        <w:t>谈判文件</w:t>
      </w:r>
      <w:r>
        <w:rPr>
          <w:rFonts w:ascii="宋体" w:hAnsi="宋体" w:cs="宋体"/>
          <w:b/>
          <w:kern w:val="0"/>
          <w:sz w:val="24"/>
        </w:rPr>
        <w:t>的递交</w:t>
      </w:r>
    </w:p>
    <w:p w14:paraId="6F8B7ABD">
      <w:pPr>
        <w:widowControl/>
        <w:spacing w:line="360" w:lineRule="auto"/>
        <w:ind w:firstLine="482" w:firstLineChars="200"/>
        <w:jc w:val="left"/>
        <w:rPr>
          <w:rFonts w:ascii="宋体" w:hAnsi="宋体" w:cs="宋体"/>
          <w:b/>
          <w:kern w:val="0"/>
          <w:sz w:val="24"/>
        </w:rPr>
      </w:pPr>
      <w:r>
        <w:rPr>
          <w:rFonts w:ascii="宋体" w:hAnsi="宋体" w:cs="宋体"/>
          <w:b/>
          <w:kern w:val="0"/>
          <w:sz w:val="24"/>
        </w:rPr>
        <w:t>1</w:t>
      </w:r>
      <w:r>
        <w:rPr>
          <w:rFonts w:hint="eastAsia" w:ascii="宋体" w:hAnsi="宋体" w:cs="宋体"/>
          <w:b/>
          <w:kern w:val="0"/>
          <w:sz w:val="24"/>
        </w:rPr>
        <w:t>.谈判文件</w:t>
      </w:r>
      <w:r>
        <w:rPr>
          <w:rFonts w:ascii="宋体" w:hAnsi="宋体" w:cs="宋体"/>
          <w:b/>
          <w:kern w:val="0"/>
          <w:sz w:val="24"/>
        </w:rPr>
        <w:t>的数量、包装</w:t>
      </w:r>
      <w:r>
        <w:rPr>
          <w:rFonts w:hint="eastAsia" w:ascii="宋体" w:hAnsi="宋体" w:cs="宋体"/>
          <w:b/>
          <w:kern w:val="0"/>
          <w:sz w:val="24"/>
        </w:rPr>
        <w:t>和</w:t>
      </w:r>
      <w:r>
        <w:rPr>
          <w:rFonts w:ascii="宋体" w:hAnsi="宋体" w:cs="宋体"/>
          <w:b/>
          <w:kern w:val="0"/>
          <w:sz w:val="24"/>
        </w:rPr>
        <w:t>标记</w:t>
      </w:r>
    </w:p>
    <w:p w14:paraId="44F4F5BD">
      <w:pPr>
        <w:widowControl/>
        <w:spacing w:line="360" w:lineRule="auto"/>
        <w:ind w:firstLine="480" w:firstLineChars="200"/>
        <w:jc w:val="left"/>
        <w:rPr>
          <w:rFonts w:ascii="宋体" w:hAnsi="宋体" w:cs="宋体"/>
          <w:kern w:val="0"/>
          <w:sz w:val="24"/>
        </w:rPr>
      </w:pPr>
      <w:r>
        <w:rPr>
          <w:rFonts w:ascii="宋体" w:hAnsi="宋体" w:cs="宋体"/>
          <w:kern w:val="0"/>
          <w:sz w:val="24"/>
        </w:rPr>
        <w:t xml:space="preserve">1.1 </w:t>
      </w:r>
      <w:r>
        <w:rPr>
          <w:rFonts w:hint="eastAsia" w:ascii="宋体" w:hAnsi="宋体" w:cs="宋体"/>
          <w:kern w:val="0"/>
          <w:sz w:val="24"/>
          <w:lang w:eastAsia="zh-CN"/>
        </w:rPr>
        <w:t>报价人</w:t>
      </w:r>
      <w:r>
        <w:rPr>
          <w:rFonts w:ascii="宋体" w:hAnsi="宋体" w:cs="宋体"/>
          <w:kern w:val="0"/>
          <w:sz w:val="24"/>
        </w:rPr>
        <w:t>应提交“</w:t>
      </w:r>
      <w:r>
        <w:rPr>
          <w:rFonts w:hint="eastAsia" w:ascii="宋体" w:hAnsi="宋体" w:cs="宋体"/>
          <w:kern w:val="0"/>
          <w:sz w:val="24"/>
        </w:rPr>
        <w:t>谈判文件</w:t>
      </w:r>
      <w:r>
        <w:rPr>
          <w:rFonts w:ascii="宋体" w:hAnsi="宋体" w:cs="宋体"/>
          <w:kern w:val="0"/>
          <w:sz w:val="24"/>
        </w:rPr>
        <w:t>”</w:t>
      </w:r>
      <w:r>
        <w:rPr>
          <w:rFonts w:hint="eastAsia" w:ascii="宋体" w:hAnsi="宋体" w:cs="宋体"/>
          <w:kern w:val="0"/>
          <w:sz w:val="24"/>
        </w:rPr>
        <w:t>正本</w:t>
      </w:r>
      <w:r>
        <w:rPr>
          <w:rFonts w:ascii="宋体" w:hAnsi="宋体" w:cs="宋体"/>
          <w:kern w:val="0"/>
          <w:sz w:val="24"/>
        </w:rPr>
        <w:t>一套</w:t>
      </w:r>
      <w:r>
        <w:rPr>
          <w:rFonts w:hint="eastAsia" w:ascii="宋体" w:hAnsi="宋体" w:cs="宋体"/>
          <w:kern w:val="0"/>
          <w:sz w:val="24"/>
        </w:rPr>
        <w:t>。电子版文件（盖鲜章的PDF扫描件）一套（提供形式：U盘）</w:t>
      </w:r>
    </w:p>
    <w:p w14:paraId="688D2C53">
      <w:pPr>
        <w:widowControl/>
        <w:spacing w:line="360" w:lineRule="auto"/>
        <w:ind w:firstLine="480" w:firstLineChars="200"/>
        <w:jc w:val="left"/>
        <w:rPr>
          <w:rFonts w:ascii="宋体" w:hAnsi="宋体" w:cs="宋体"/>
          <w:kern w:val="0"/>
          <w:sz w:val="24"/>
        </w:rPr>
      </w:pPr>
      <w:r>
        <w:rPr>
          <w:rFonts w:ascii="宋体" w:hAnsi="宋体" w:cs="宋体"/>
          <w:kern w:val="0"/>
          <w:sz w:val="24"/>
        </w:rPr>
        <w:t xml:space="preserve">1.2 </w:t>
      </w:r>
      <w:r>
        <w:rPr>
          <w:rFonts w:hint="eastAsia" w:ascii="宋体" w:hAnsi="宋体" w:cs="宋体"/>
          <w:kern w:val="0"/>
          <w:sz w:val="24"/>
        </w:rPr>
        <w:t>谈判文件</w:t>
      </w:r>
      <w:r>
        <w:rPr>
          <w:rFonts w:ascii="宋体" w:hAnsi="宋体" w:cs="宋体"/>
          <w:kern w:val="0"/>
          <w:sz w:val="24"/>
        </w:rPr>
        <w:t>的包装、标记要求</w:t>
      </w:r>
    </w:p>
    <w:p w14:paraId="7B1CCB46">
      <w:pPr>
        <w:widowControl/>
        <w:spacing w:line="360" w:lineRule="auto"/>
        <w:ind w:firstLine="480" w:firstLineChars="200"/>
        <w:jc w:val="left"/>
        <w:rPr>
          <w:rFonts w:ascii="宋体" w:hAnsi="宋体" w:cs="宋体"/>
          <w:kern w:val="0"/>
          <w:sz w:val="24"/>
        </w:rPr>
      </w:pPr>
      <w:r>
        <w:rPr>
          <w:rFonts w:ascii="宋体" w:hAnsi="宋体" w:cs="宋体"/>
          <w:kern w:val="0"/>
          <w:sz w:val="24"/>
        </w:rPr>
        <w:t xml:space="preserve">1.2.1 </w:t>
      </w:r>
      <w:r>
        <w:rPr>
          <w:rFonts w:hint="eastAsia" w:ascii="宋体" w:hAnsi="宋体" w:cs="宋体"/>
          <w:kern w:val="0"/>
          <w:sz w:val="24"/>
        </w:rPr>
        <w:t>谈判文件</w:t>
      </w:r>
      <w:r>
        <w:rPr>
          <w:rFonts w:ascii="宋体" w:hAnsi="宋体" w:cs="宋体"/>
          <w:kern w:val="0"/>
          <w:sz w:val="24"/>
        </w:rPr>
        <w:t>、</w:t>
      </w:r>
      <w:r>
        <w:rPr>
          <w:rFonts w:hint="eastAsia" w:ascii="宋体" w:hAnsi="宋体" w:cs="宋体"/>
          <w:kern w:val="0"/>
          <w:sz w:val="24"/>
        </w:rPr>
        <w:t>保证金转账</w:t>
      </w:r>
      <w:r>
        <w:rPr>
          <w:rFonts w:ascii="宋体" w:hAnsi="宋体" w:cs="宋体"/>
          <w:kern w:val="0"/>
          <w:sz w:val="24"/>
        </w:rPr>
        <w:t>证明</w:t>
      </w:r>
      <w:r>
        <w:rPr>
          <w:rFonts w:hint="eastAsia" w:ascii="宋体" w:hAnsi="宋体" w:cs="宋体"/>
          <w:kern w:val="0"/>
          <w:sz w:val="24"/>
        </w:rPr>
        <w:t>（如有）</w:t>
      </w:r>
      <w:r>
        <w:rPr>
          <w:rFonts w:ascii="宋体" w:hAnsi="宋体" w:cs="宋体"/>
          <w:kern w:val="0"/>
          <w:sz w:val="24"/>
        </w:rPr>
        <w:t>文件应单独封装</w:t>
      </w:r>
      <w:r>
        <w:rPr>
          <w:rFonts w:hint="eastAsia" w:ascii="宋体" w:hAnsi="宋体" w:cs="宋体"/>
          <w:kern w:val="0"/>
          <w:sz w:val="24"/>
        </w:rPr>
        <w:t>，一并</w:t>
      </w:r>
      <w:r>
        <w:rPr>
          <w:rFonts w:ascii="宋体" w:hAnsi="宋体" w:cs="宋体"/>
          <w:kern w:val="0"/>
          <w:sz w:val="24"/>
        </w:rPr>
        <w:t>提交</w:t>
      </w:r>
      <w:r>
        <w:rPr>
          <w:rFonts w:hint="eastAsia" w:ascii="宋体" w:hAnsi="宋体" w:cs="宋体"/>
          <w:kern w:val="0"/>
          <w:sz w:val="24"/>
        </w:rPr>
        <w:t>。</w:t>
      </w:r>
    </w:p>
    <w:p w14:paraId="2270AD39">
      <w:pPr>
        <w:widowControl/>
        <w:spacing w:line="360" w:lineRule="auto"/>
        <w:ind w:firstLine="480" w:firstLineChars="200"/>
        <w:jc w:val="left"/>
        <w:rPr>
          <w:rFonts w:ascii="宋体" w:hAnsi="宋体" w:cs="宋体"/>
          <w:kern w:val="0"/>
          <w:sz w:val="24"/>
        </w:rPr>
      </w:pPr>
      <w:r>
        <w:rPr>
          <w:rFonts w:ascii="宋体" w:hAnsi="宋体" w:cs="宋体"/>
          <w:kern w:val="0"/>
          <w:sz w:val="24"/>
        </w:rPr>
        <w:t>1</w:t>
      </w:r>
      <w:r>
        <w:rPr>
          <w:rFonts w:hint="eastAsia" w:ascii="宋体" w:hAnsi="宋体" w:cs="宋体"/>
          <w:kern w:val="0"/>
          <w:sz w:val="24"/>
        </w:rPr>
        <w:t xml:space="preserve">.2.2 </w:t>
      </w:r>
      <w:r>
        <w:rPr>
          <w:rFonts w:hint="eastAsia" w:ascii="宋体" w:hAnsi="宋体" w:cs="宋体"/>
          <w:kern w:val="0"/>
          <w:sz w:val="24"/>
          <w:lang w:eastAsia="zh-CN"/>
        </w:rPr>
        <w:t>报价人</w:t>
      </w:r>
      <w:r>
        <w:rPr>
          <w:rFonts w:ascii="宋体" w:hAnsi="宋体" w:cs="宋体"/>
          <w:kern w:val="0"/>
          <w:sz w:val="24"/>
        </w:rPr>
        <w:t>应将</w:t>
      </w:r>
      <w:r>
        <w:rPr>
          <w:rFonts w:hint="eastAsia" w:ascii="宋体" w:hAnsi="宋体" w:cs="宋体"/>
          <w:kern w:val="0"/>
          <w:sz w:val="24"/>
        </w:rPr>
        <w:t>谈判文件</w:t>
      </w:r>
      <w:r>
        <w:rPr>
          <w:rFonts w:ascii="宋体" w:hAnsi="宋体" w:cs="宋体"/>
          <w:kern w:val="0"/>
          <w:sz w:val="24"/>
        </w:rPr>
        <w:t>封装，并标明</w:t>
      </w:r>
      <w:r>
        <w:rPr>
          <w:rFonts w:hint="eastAsia" w:ascii="宋体" w:hAnsi="宋体" w:cs="宋体"/>
          <w:kern w:val="0"/>
          <w:sz w:val="24"/>
        </w:rPr>
        <w:t>采购</w:t>
      </w:r>
      <w:r>
        <w:rPr>
          <w:rFonts w:ascii="宋体" w:hAnsi="宋体" w:cs="宋体"/>
          <w:kern w:val="0"/>
          <w:sz w:val="24"/>
        </w:rPr>
        <w:t>项目名称、</w:t>
      </w:r>
      <w:r>
        <w:rPr>
          <w:rFonts w:hint="eastAsia" w:ascii="宋体" w:hAnsi="宋体" w:cs="宋体"/>
          <w:kern w:val="0"/>
          <w:sz w:val="24"/>
          <w:lang w:eastAsia="zh-CN"/>
        </w:rPr>
        <w:t>报价人</w:t>
      </w:r>
      <w:r>
        <w:rPr>
          <w:rFonts w:ascii="宋体" w:hAnsi="宋体" w:cs="宋体"/>
          <w:kern w:val="0"/>
          <w:sz w:val="24"/>
        </w:rPr>
        <w:t>名称、地址、邮政编码。文件统一封装在</w:t>
      </w:r>
      <w:r>
        <w:rPr>
          <w:rFonts w:hint="eastAsia" w:ascii="宋体" w:hAnsi="宋体" w:cs="宋体"/>
          <w:kern w:val="0"/>
          <w:sz w:val="24"/>
        </w:rPr>
        <w:t>一件</w:t>
      </w:r>
      <w:r>
        <w:rPr>
          <w:rFonts w:ascii="宋体" w:hAnsi="宋体" w:cs="宋体"/>
          <w:kern w:val="0"/>
          <w:sz w:val="24"/>
        </w:rPr>
        <w:t>包装内。</w:t>
      </w:r>
    </w:p>
    <w:p w14:paraId="6D8858B7">
      <w:pPr>
        <w:spacing w:line="360" w:lineRule="auto"/>
        <w:ind w:firstLine="480" w:firstLineChars="200"/>
        <w:rPr>
          <w:rFonts w:ascii="宋体" w:hAnsi="宋体" w:cs="宋体"/>
          <w:kern w:val="0"/>
          <w:sz w:val="24"/>
        </w:rPr>
      </w:pPr>
      <w:r>
        <w:rPr>
          <w:rFonts w:ascii="宋体" w:hAnsi="宋体" w:cs="宋体"/>
          <w:kern w:val="0"/>
          <w:sz w:val="24"/>
        </w:rPr>
        <w:t>1.2.3 每一密封</w:t>
      </w:r>
      <w:r>
        <w:rPr>
          <w:rFonts w:hint="eastAsia" w:ascii="宋体" w:hAnsi="宋体" w:cs="宋体"/>
          <w:kern w:val="0"/>
          <w:sz w:val="24"/>
        </w:rPr>
        <w:t>袋的封口处均应加盖密封章或</w:t>
      </w:r>
      <w:r>
        <w:rPr>
          <w:rFonts w:hint="eastAsia" w:ascii="宋体" w:hAnsi="宋体" w:cs="宋体"/>
          <w:kern w:val="0"/>
          <w:sz w:val="24"/>
          <w:lang w:eastAsia="zh-CN"/>
        </w:rPr>
        <w:t>报价人</w:t>
      </w:r>
      <w:r>
        <w:rPr>
          <w:rFonts w:hint="eastAsia" w:ascii="宋体" w:hAnsi="宋体" w:cs="宋体"/>
          <w:kern w:val="0"/>
          <w:sz w:val="24"/>
        </w:rPr>
        <w:t>公章，</w:t>
      </w:r>
      <w:r>
        <w:rPr>
          <w:rFonts w:ascii="宋体" w:hAnsi="宋体" w:cs="宋体"/>
          <w:kern w:val="0"/>
          <w:sz w:val="24"/>
        </w:rPr>
        <w:t>并在封面上标明</w:t>
      </w:r>
      <w:r>
        <w:rPr>
          <w:rFonts w:hint="eastAsia" w:ascii="宋体" w:hAnsi="宋体" w:cs="宋体"/>
          <w:kern w:val="0"/>
          <w:sz w:val="24"/>
        </w:rPr>
        <w:t>采购项目名称、</w:t>
      </w:r>
      <w:r>
        <w:rPr>
          <w:rFonts w:hint="eastAsia" w:ascii="宋体" w:hAnsi="宋体" w:cs="宋体"/>
          <w:kern w:val="0"/>
          <w:sz w:val="24"/>
          <w:lang w:eastAsia="zh-CN"/>
        </w:rPr>
        <w:t>报价人</w:t>
      </w:r>
      <w:r>
        <w:rPr>
          <w:rFonts w:hint="eastAsia" w:ascii="宋体" w:hAnsi="宋体" w:cs="宋体"/>
          <w:kern w:val="0"/>
          <w:sz w:val="24"/>
        </w:rPr>
        <w:t>名称及“</w:t>
      </w:r>
      <w:r>
        <w:rPr>
          <w:rFonts w:hint="eastAsia" w:ascii="宋体" w:hAnsi="宋体" w:cs="宋体"/>
          <w:color w:val="0000FF"/>
          <w:kern w:val="0"/>
          <w:sz w:val="24"/>
          <w:u w:val="single"/>
        </w:rPr>
        <w:t>在</w:t>
      </w:r>
      <w:r>
        <w:rPr>
          <w:rFonts w:hint="eastAsia" w:ascii="宋体" w:hAnsi="宋体" w:cs="宋体"/>
          <w:color w:val="0000FF"/>
          <w:kern w:val="0"/>
          <w:sz w:val="24"/>
          <w:u w:val="single"/>
          <w:lang w:val="en-US" w:eastAsia="zh-CN"/>
        </w:rPr>
        <w:t>2026</w:t>
      </w:r>
      <w:r>
        <w:rPr>
          <w:rFonts w:hint="eastAsia" w:ascii="宋体" w:hAnsi="宋体" w:cs="宋体"/>
          <w:color w:val="0000FF"/>
          <w:kern w:val="0"/>
          <w:sz w:val="24"/>
          <w:u w:val="single"/>
        </w:rPr>
        <w:t>年</w:t>
      </w:r>
      <w:r>
        <w:rPr>
          <w:rFonts w:hint="eastAsia" w:ascii="宋体" w:hAnsi="宋体" w:cs="宋体"/>
          <w:color w:val="0000FF"/>
          <w:kern w:val="0"/>
          <w:sz w:val="24"/>
          <w:u w:val="single"/>
          <w:lang w:val="en-US" w:eastAsia="zh-CN"/>
        </w:rPr>
        <w:t>9</w:t>
      </w:r>
      <w:r>
        <w:rPr>
          <w:rFonts w:hint="eastAsia" w:ascii="宋体" w:hAnsi="宋体" w:cs="宋体"/>
          <w:color w:val="0000FF"/>
          <w:kern w:val="0"/>
          <w:sz w:val="24"/>
          <w:u w:val="single"/>
        </w:rPr>
        <w:t>月</w:t>
      </w:r>
      <w:r>
        <w:rPr>
          <w:rFonts w:hint="eastAsia" w:ascii="宋体" w:hAnsi="宋体" w:cs="宋体"/>
          <w:color w:val="0000FF"/>
          <w:kern w:val="0"/>
          <w:sz w:val="24"/>
          <w:u w:val="single"/>
          <w:lang w:val="en-US" w:eastAsia="zh-CN"/>
        </w:rPr>
        <w:t xml:space="preserve"> 22  </w:t>
      </w:r>
      <w:r>
        <w:rPr>
          <w:rFonts w:hint="eastAsia" w:ascii="宋体" w:hAnsi="宋体" w:cs="宋体"/>
          <w:color w:val="0000FF"/>
          <w:kern w:val="0"/>
          <w:sz w:val="24"/>
          <w:u w:val="single"/>
        </w:rPr>
        <w:t>日</w:t>
      </w:r>
      <w:r>
        <w:rPr>
          <w:rFonts w:hint="eastAsia" w:ascii="宋体" w:hAnsi="宋体" w:cs="宋体"/>
          <w:color w:val="0000FF"/>
          <w:kern w:val="0"/>
          <w:sz w:val="24"/>
          <w:u w:val="single"/>
          <w:lang w:val="en-US" w:eastAsia="zh-CN"/>
        </w:rPr>
        <w:t>10时</w:t>
      </w:r>
      <w:r>
        <w:rPr>
          <w:rFonts w:ascii="宋体" w:hAnsi="宋体" w:cs="宋体"/>
          <w:color w:val="0000FF"/>
          <w:kern w:val="0"/>
          <w:sz w:val="24"/>
          <w:u w:val="single"/>
        </w:rPr>
        <w:t>（</w:t>
      </w:r>
      <w:r>
        <w:rPr>
          <w:rFonts w:hint="eastAsia" w:ascii="宋体" w:hAnsi="宋体" w:cs="宋体"/>
          <w:color w:val="0000FF"/>
          <w:kern w:val="0"/>
          <w:sz w:val="24"/>
          <w:u w:val="single"/>
        </w:rPr>
        <w:t>评审时间</w:t>
      </w:r>
      <w:r>
        <w:rPr>
          <w:rFonts w:ascii="宋体" w:hAnsi="宋体" w:cs="宋体"/>
          <w:color w:val="0000FF"/>
          <w:kern w:val="0"/>
          <w:sz w:val="24"/>
          <w:u w:val="single"/>
        </w:rPr>
        <w:t>）</w:t>
      </w:r>
      <w:r>
        <w:rPr>
          <w:rFonts w:ascii="宋体" w:hAnsi="宋体" w:cs="宋体"/>
          <w:kern w:val="0"/>
          <w:sz w:val="24"/>
        </w:rPr>
        <w:t>之前不准启封</w:t>
      </w:r>
      <w:r>
        <w:rPr>
          <w:rFonts w:hint="eastAsia" w:ascii="宋体" w:hAnsi="宋体" w:cs="宋体"/>
          <w:kern w:val="0"/>
          <w:sz w:val="24"/>
        </w:rPr>
        <w:t>”的</w:t>
      </w:r>
      <w:r>
        <w:rPr>
          <w:rFonts w:ascii="宋体" w:hAnsi="宋体" w:cs="宋体"/>
          <w:kern w:val="0"/>
          <w:sz w:val="24"/>
        </w:rPr>
        <w:t>字样。</w:t>
      </w:r>
    </w:p>
    <w:p w14:paraId="2AFDD4F3">
      <w:pPr>
        <w:widowControl/>
        <w:spacing w:line="360" w:lineRule="auto"/>
        <w:ind w:firstLine="480" w:firstLineChars="200"/>
        <w:jc w:val="left"/>
        <w:rPr>
          <w:rFonts w:ascii="宋体" w:hAnsi="宋体" w:cs="宋体"/>
          <w:kern w:val="0"/>
          <w:sz w:val="24"/>
        </w:rPr>
      </w:pPr>
      <w:r>
        <w:rPr>
          <w:rFonts w:ascii="宋体" w:hAnsi="宋体" w:cs="宋体"/>
          <w:kern w:val="0"/>
          <w:sz w:val="24"/>
        </w:rPr>
        <w:t xml:space="preserve">1.3 </w:t>
      </w:r>
      <w:r>
        <w:rPr>
          <w:rFonts w:hint="eastAsia" w:ascii="宋体" w:hAnsi="宋体" w:cs="宋体"/>
          <w:kern w:val="0"/>
          <w:sz w:val="24"/>
        </w:rPr>
        <w:t>谈判文件</w:t>
      </w:r>
      <w:r>
        <w:rPr>
          <w:rFonts w:ascii="宋体" w:hAnsi="宋体" w:cs="宋体"/>
          <w:kern w:val="0"/>
          <w:sz w:val="24"/>
        </w:rPr>
        <w:t>的提交：</w:t>
      </w:r>
      <w:r>
        <w:rPr>
          <w:rFonts w:hint="eastAsia" w:ascii="宋体" w:hAnsi="宋体" w:cs="宋体"/>
          <w:kern w:val="0"/>
          <w:sz w:val="24"/>
          <w:lang w:eastAsia="zh-CN"/>
        </w:rPr>
        <w:t>报价人</w:t>
      </w:r>
      <w:r>
        <w:rPr>
          <w:rFonts w:ascii="宋体" w:hAnsi="宋体" w:cs="宋体"/>
          <w:kern w:val="0"/>
          <w:sz w:val="24"/>
        </w:rPr>
        <w:t>应</w:t>
      </w:r>
      <w:r>
        <w:rPr>
          <w:rFonts w:hint="eastAsia" w:ascii="宋体" w:hAnsi="宋体" w:cs="宋体"/>
          <w:kern w:val="0"/>
          <w:sz w:val="24"/>
        </w:rPr>
        <w:t>于谈判文件递交</w:t>
      </w:r>
      <w:r>
        <w:rPr>
          <w:rFonts w:ascii="宋体" w:hAnsi="宋体" w:cs="宋体"/>
          <w:kern w:val="0"/>
          <w:sz w:val="24"/>
        </w:rPr>
        <w:t>截止时间前由专人将</w:t>
      </w:r>
      <w:r>
        <w:rPr>
          <w:rFonts w:hint="eastAsia" w:ascii="宋体" w:hAnsi="宋体" w:cs="宋体"/>
          <w:kern w:val="0"/>
          <w:sz w:val="24"/>
        </w:rPr>
        <w:t>谈判文件</w:t>
      </w:r>
      <w:r>
        <w:rPr>
          <w:rFonts w:ascii="宋体" w:hAnsi="宋体" w:cs="宋体"/>
          <w:kern w:val="0"/>
          <w:sz w:val="24"/>
        </w:rPr>
        <w:t>送至</w:t>
      </w:r>
      <w:r>
        <w:rPr>
          <w:rFonts w:hint="eastAsia" w:ascii="宋体" w:hAnsi="宋体" w:cs="宋体"/>
          <w:kern w:val="0"/>
          <w:sz w:val="24"/>
        </w:rPr>
        <w:t>指定地点</w:t>
      </w:r>
      <w:r>
        <w:rPr>
          <w:rFonts w:ascii="宋体" w:hAnsi="宋体" w:cs="宋体"/>
          <w:kern w:val="0"/>
          <w:sz w:val="24"/>
        </w:rPr>
        <w:t>。</w:t>
      </w:r>
    </w:p>
    <w:p w14:paraId="1DCC01D1">
      <w:pPr>
        <w:spacing w:line="360" w:lineRule="auto"/>
        <w:ind w:firstLine="482" w:firstLineChars="200"/>
        <w:rPr>
          <w:rFonts w:ascii="宋体" w:hAnsi="宋体"/>
          <w:b/>
          <w:kern w:val="0"/>
          <w:sz w:val="24"/>
        </w:rPr>
      </w:pPr>
      <w:r>
        <w:rPr>
          <w:rFonts w:ascii="宋体" w:hAnsi="宋体"/>
          <w:b/>
          <w:kern w:val="0"/>
          <w:sz w:val="24"/>
        </w:rPr>
        <w:t>2</w:t>
      </w:r>
      <w:r>
        <w:rPr>
          <w:rFonts w:hint="eastAsia" w:ascii="宋体" w:hAnsi="宋体"/>
          <w:b/>
          <w:kern w:val="0"/>
          <w:sz w:val="24"/>
        </w:rPr>
        <w:t>.递交</w:t>
      </w:r>
      <w:r>
        <w:rPr>
          <w:rFonts w:ascii="宋体" w:hAnsi="宋体"/>
          <w:b/>
          <w:kern w:val="0"/>
          <w:sz w:val="24"/>
        </w:rPr>
        <w:t>截止时间</w:t>
      </w:r>
    </w:p>
    <w:p w14:paraId="313D946D">
      <w:pPr>
        <w:spacing w:line="360" w:lineRule="auto"/>
        <w:ind w:firstLine="480" w:firstLineChars="200"/>
        <w:rPr>
          <w:rFonts w:ascii="宋体" w:hAnsi="宋体"/>
          <w:kern w:val="0"/>
          <w:sz w:val="24"/>
        </w:rPr>
      </w:pPr>
      <w:r>
        <w:rPr>
          <w:rFonts w:ascii="宋体" w:hAnsi="宋体"/>
          <w:kern w:val="0"/>
          <w:sz w:val="24"/>
        </w:rPr>
        <w:t xml:space="preserve">2.1 </w:t>
      </w:r>
      <w:r>
        <w:rPr>
          <w:rFonts w:hint="eastAsia" w:ascii="宋体" w:hAnsi="宋体"/>
          <w:kern w:val="0"/>
          <w:sz w:val="24"/>
        </w:rPr>
        <w:t>谈判文件递交截止时间</w:t>
      </w:r>
      <w:r>
        <w:rPr>
          <w:rFonts w:ascii="宋体" w:hAnsi="宋体"/>
          <w:kern w:val="0"/>
          <w:sz w:val="24"/>
        </w:rPr>
        <w:t>见</w:t>
      </w:r>
      <w:r>
        <w:rPr>
          <w:rFonts w:hint="eastAsia" w:ascii="宋体" w:hAnsi="宋体"/>
          <w:kern w:val="0"/>
          <w:sz w:val="24"/>
        </w:rPr>
        <w:t>本次谈判采购公告的规定。</w:t>
      </w:r>
    </w:p>
    <w:p w14:paraId="7437F55C">
      <w:pPr>
        <w:spacing w:line="360" w:lineRule="auto"/>
        <w:ind w:firstLine="482" w:firstLineChars="200"/>
        <w:rPr>
          <w:rFonts w:ascii="宋体" w:hAnsi="宋体"/>
          <w:b/>
          <w:kern w:val="0"/>
          <w:sz w:val="24"/>
        </w:rPr>
      </w:pPr>
      <w:r>
        <w:rPr>
          <w:rFonts w:ascii="宋体" w:hAnsi="宋体"/>
          <w:b/>
          <w:kern w:val="0"/>
          <w:sz w:val="24"/>
        </w:rPr>
        <w:t xml:space="preserve">3. </w:t>
      </w:r>
      <w:r>
        <w:rPr>
          <w:rFonts w:hint="eastAsia" w:ascii="宋体" w:hAnsi="宋体"/>
          <w:b/>
          <w:kern w:val="0"/>
          <w:sz w:val="24"/>
        </w:rPr>
        <w:t>迟交</w:t>
      </w:r>
      <w:r>
        <w:rPr>
          <w:rFonts w:ascii="宋体" w:hAnsi="宋体"/>
          <w:b/>
          <w:kern w:val="0"/>
          <w:sz w:val="24"/>
        </w:rPr>
        <w:t>的</w:t>
      </w:r>
      <w:r>
        <w:rPr>
          <w:rFonts w:hint="eastAsia" w:ascii="宋体" w:hAnsi="宋体"/>
          <w:b/>
          <w:kern w:val="0"/>
          <w:sz w:val="24"/>
        </w:rPr>
        <w:t>谈判文件</w:t>
      </w:r>
    </w:p>
    <w:p w14:paraId="690AECB3">
      <w:pPr>
        <w:spacing w:line="360" w:lineRule="auto"/>
        <w:ind w:firstLine="480" w:firstLineChars="200"/>
        <w:rPr>
          <w:rFonts w:ascii="宋体" w:hAnsi="宋体"/>
          <w:kern w:val="0"/>
          <w:sz w:val="24"/>
        </w:rPr>
      </w:pPr>
      <w:r>
        <w:rPr>
          <w:rFonts w:ascii="宋体" w:hAnsi="宋体"/>
          <w:kern w:val="0"/>
          <w:sz w:val="24"/>
        </w:rPr>
        <w:t>3</w:t>
      </w:r>
      <w:r>
        <w:rPr>
          <w:rFonts w:hint="eastAsia" w:ascii="宋体" w:hAnsi="宋体"/>
          <w:kern w:val="0"/>
          <w:sz w:val="24"/>
        </w:rPr>
        <w:t>.1 采购人</w:t>
      </w:r>
      <w:r>
        <w:rPr>
          <w:rFonts w:ascii="宋体" w:hAnsi="宋体"/>
          <w:kern w:val="0"/>
          <w:sz w:val="24"/>
        </w:rPr>
        <w:t>将拒绝</w:t>
      </w:r>
      <w:r>
        <w:rPr>
          <w:rFonts w:hint="eastAsia" w:ascii="宋体" w:hAnsi="宋体"/>
          <w:kern w:val="0"/>
          <w:sz w:val="24"/>
        </w:rPr>
        <w:t>接收</w:t>
      </w:r>
      <w:r>
        <w:rPr>
          <w:rFonts w:ascii="宋体" w:hAnsi="宋体"/>
          <w:kern w:val="0"/>
          <w:sz w:val="24"/>
        </w:rPr>
        <w:t>并原封退回在</w:t>
      </w:r>
      <w:r>
        <w:rPr>
          <w:rFonts w:hint="eastAsia" w:ascii="宋体" w:hAnsi="宋体"/>
          <w:kern w:val="0"/>
          <w:sz w:val="24"/>
        </w:rPr>
        <w:t>递交</w:t>
      </w:r>
      <w:r>
        <w:rPr>
          <w:rFonts w:ascii="宋体" w:hAnsi="宋体"/>
          <w:kern w:val="0"/>
          <w:sz w:val="24"/>
        </w:rPr>
        <w:t>截止时间</w:t>
      </w:r>
      <w:r>
        <w:rPr>
          <w:rFonts w:hint="eastAsia" w:ascii="宋体" w:hAnsi="宋体"/>
          <w:kern w:val="0"/>
          <w:sz w:val="24"/>
        </w:rPr>
        <w:t>后</w:t>
      </w:r>
      <w:r>
        <w:rPr>
          <w:rFonts w:ascii="宋体" w:hAnsi="宋体"/>
          <w:kern w:val="0"/>
          <w:sz w:val="24"/>
        </w:rPr>
        <w:t>收到的任何</w:t>
      </w:r>
      <w:r>
        <w:rPr>
          <w:rFonts w:hint="eastAsia" w:ascii="宋体" w:hAnsi="宋体"/>
          <w:kern w:val="0"/>
          <w:sz w:val="24"/>
        </w:rPr>
        <w:t>谈判文件</w:t>
      </w:r>
      <w:r>
        <w:rPr>
          <w:rFonts w:ascii="宋体" w:hAnsi="宋体"/>
          <w:kern w:val="0"/>
          <w:sz w:val="24"/>
        </w:rPr>
        <w:t>。</w:t>
      </w:r>
    </w:p>
    <w:p w14:paraId="21898063">
      <w:pPr>
        <w:spacing w:line="360" w:lineRule="auto"/>
        <w:ind w:firstLine="482" w:firstLineChars="200"/>
        <w:rPr>
          <w:rFonts w:ascii="宋体" w:hAnsi="宋体"/>
          <w:b/>
          <w:kern w:val="0"/>
          <w:sz w:val="24"/>
        </w:rPr>
      </w:pPr>
      <w:r>
        <w:rPr>
          <w:rFonts w:ascii="宋体" w:hAnsi="宋体"/>
          <w:b/>
          <w:kern w:val="0"/>
          <w:sz w:val="24"/>
        </w:rPr>
        <w:t>4.</w:t>
      </w:r>
      <w:r>
        <w:rPr>
          <w:rFonts w:hint="eastAsia" w:ascii="宋体" w:hAnsi="宋体"/>
          <w:b/>
          <w:kern w:val="0"/>
          <w:sz w:val="24"/>
        </w:rPr>
        <w:t>谈判文件</w:t>
      </w:r>
      <w:r>
        <w:rPr>
          <w:rFonts w:ascii="宋体" w:hAnsi="宋体"/>
          <w:b/>
          <w:kern w:val="0"/>
          <w:sz w:val="24"/>
        </w:rPr>
        <w:t>的修改和撤回</w:t>
      </w:r>
    </w:p>
    <w:p w14:paraId="4E45083C">
      <w:pPr>
        <w:spacing w:line="360" w:lineRule="auto"/>
        <w:ind w:firstLine="480" w:firstLineChars="200"/>
        <w:rPr>
          <w:rFonts w:ascii="宋体" w:hAnsi="宋体"/>
          <w:kern w:val="0"/>
          <w:sz w:val="24"/>
        </w:rPr>
      </w:pPr>
      <w:r>
        <w:rPr>
          <w:rFonts w:ascii="宋体" w:hAnsi="宋体"/>
          <w:kern w:val="0"/>
          <w:sz w:val="24"/>
        </w:rPr>
        <w:t>4</w:t>
      </w:r>
      <w:r>
        <w:rPr>
          <w:rFonts w:hint="eastAsia" w:ascii="宋体" w:hAnsi="宋体"/>
          <w:kern w:val="0"/>
          <w:sz w:val="24"/>
        </w:rPr>
        <w:t xml:space="preserve">.1 </w:t>
      </w:r>
      <w:r>
        <w:rPr>
          <w:rFonts w:hint="eastAsia" w:ascii="宋体" w:hAnsi="宋体"/>
          <w:kern w:val="0"/>
          <w:sz w:val="24"/>
          <w:lang w:eastAsia="zh-CN"/>
        </w:rPr>
        <w:t>报价人</w:t>
      </w:r>
      <w:r>
        <w:rPr>
          <w:rFonts w:ascii="宋体" w:hAnsi="宋体"/>
          <w:kern w:val="0"/>
          <w:sz w:val="24"/>
        </w:rPr>
        <w:t>在提交</w:t>
      </w:r>
      <w:r>
        <w:rPr>
          <w:rFonts w:hint="eastAsia" w:ascii="宋体" w:hAnsi="宋体"/>
          <w:kern w:val="0"/>
          <w:sz w:val="24"/>
        </w:rPr>
        <w:t>谈判文件</w:t>
      </w:r>
      <w:r>
        <w:rPr>
          <w:rFonts w:ascii="宋体" w:hAnsi="宋体"/>
          <w:kern w:val="0"/>
          <w:sz w:val="24"/>
        </w:rPr>
        <w:t>后可对其</w:t>
      </w:r>
      <w:r>
        <w:rPr>
          <w:rFonts w:hint="eastAsia" w:ascii="宋体" w:hAnsi="宋体"/>
          <w:kern w:val="0"/>
          <w:sz w:val="24"/>
        </w:rPr>
        <w:t>谈判文件</w:t>
      </w:r>
      <w:r>
        <w:rPr>
          <w:rFonts w:ascii="宋体" w:hAnsi="宋体"/>
          <w:kern w:val="0"/>
          <w:sz w:val="24"/>
        </w:rPr>
        <w:t>进行修改或撤回</w:t>
      </w:r>
      <w:r>
        <w:rPr>
          <w:rFonts w:hint="eastAsia" w:ascii="宋体" w:hAnsi="宋体"/>
          <w:kern w:val="0"/>
          <w:sz w:val="24"/>
        </w:rPr>
        <w:t>，</w:t>
      </w:r>
      <w:r>
        <w:rPr>
          <w:rFonts w:ascii="宋体" w:hAnsi="宋体"/>
          <w:kern w:val="0"/>
          <w:sz w:val="24"/>
        </w:rPr>
        <w:t>但该修改或撤回的书面通知需经</w:t>
      </w:r>
      <w:r>
        <w:rPr>
          <w:rFonts w:hint="eastAsia" w:ascii="宋体" w:hAnsi="宋体"/>
          <w:kern w:val="0"/>
          <w:sz w:val="24"/>
        </w:rPr>
        <w:t>谈判文件</w:t>
      </w:r>
      <w:r>
        <w:rPr>
          <w:rFonts w:ascii="宋体" w:hAnsi="宋体"/>
          <w:kern w:val="0"/>
          <w:sz w:val="24"/>
        </w:rPr>
        <w:t>签署人签字，并在</w:t>
      </w:r>
      <w:r>
        <w:rPr>
          <w:rFonts w:hint="eastAsia" w:ascii="宋体" w:hAnsi="宋体"/>
          <w:kern w:val="0"/>
          <w:sz w:val="24"/>
        </w:rPr>
        <w:t>递交</w:t>
      </w:r>
      <w:r>
        <w:rPr>
          <w:rFonts w:ascii="宋体" w:hAnsi="宋体"/>
          <w:kern w:val="0"/>
          <w:sz w:val="24"/>
        </w:rPr>
        <w:t>截止</w:t>
      </w:r>
      <w:r>
        <w:rPr>
          <w:rFonts w:hint="eastAsia" w:ascii="宋体" w:hAnsi="宋体"/>
          <w:kern w:val="0"/>
          <w:sz w:val="24"/>
        </w:rPr>
        <w:t>时间</w:t>
      </w:r>
      <w:r>
        <w:rPr>
          <w:rFonts w:ascii="宋体" w:hAnsi="宋体"/>
          <w:kern w:val="0"/>
          <w:sz w:val="24"/>
        </w:rPr>
        <w:t>之前送达采购人。</w:t>
      </w:r>
    </w:p>
    <w:p w14:paraId="6209F169">
      <w:pPr>
        <w:spacing w:line="360" w:lineRule="auto"/>
        <w:ind w:firstLine="480" w:firstLineChars="200"/>
        <w:rPr>
          <w:rFonts w:ascii="宋体" w:hAnsi="宋体"/>
          <w:kern w:val="0"/>
          <w:sz w:val="24"/>
        </w:rPr>
      </w:pPr>
      <w:r>
        <w:rPr>
          <w:rFonts w:ascii="宋体" w:hAnsi="宋体"/>
          <w:kern w:val="0"/>
          <w:sz w:val="24"/>
        </w:rPr>
        <w:t xml:space="preserve">4.2 </w:t>
      </w:r>
      <w:r>
        <w:rPr>
          <w:rFonts w:hint="eastAsia" w:ascii="宋体" w:hAnsi="宋体"/>
          <w:kern w:val="0"/>
          <w:sz w:val="24"/>
          <w:lang w:eastAsia="zh-CN"/>
        </w:rPr>
        <w:t>报价人</w:t>
      </w:r>
      <w:r>
        <w:rPr>
          <w:rFonts w:ascii="宋体" w:hAnsi="宋体"/>
          <w:kern w:val="0"/>
          <w:sz w:val="24"/>
        </w:rPr>
        <w:t>对</w:t>
      </w:r>
      <w:r>
        <w:rPr>
          <w:rFonts w:hint="eastAsia" w:ascii="宋体" w:hAnsi="宋体"/>
          <w:kern w:val="0"/>
          <w:sz w:val="24"/>
        </w:rPr>
        <w:t>谈判文件</w:t>
      </w:r>
      <w:r>
        <w:rPr>
          <w:rFonts w:ascii="宋体" w:hAnsi="宋体"/>
          <w:kern w:val="0"/>
          <w:sz w:val="24"/>
        </w:rPr>
        <w:t>修改的书面材料或撤回的</w:t>
      </w:r>
      <w:r>
        <w:rPr>
          <w:rFonts w:hint="eastAsia" w:ascii="宋体" w:hAnsi="宋体"/>
          <w:kern w:val="0"/>
          <w:sz w:val="24"/>
        </w:rPr>
        <w:t>通知</w:t>
      </w:r>
      <w:r>
        <w:rPr>
          <w:rFonts w:ascii="宋体" w:hAnsi="宋体"/>
          <w:kern w:val="0"/>
          <w:sz w:val="24"/>
        </w:rPr>
        <w:t>应按</w:t>
      </w:r>
      <w:r>
        <w:rPr>
          <w:rFonts w:hint="eastAsia" w:ascii="宋体" w:hAnsi="宋体"/>
          <w:kern w:val="0"/>
          <w:sz w:val="24"/>
        </w:rPr>
        <w:t>规定</w:t>
      </w:r>
      <w:r>
        <w:rPr>
          <w:rFonts w:ascii="宋体" w:hAnsi="宋体"/>
          <w:kern w:val="0"/>
          <w:sz w:val="24"/>
        </w:rPr>
        <w:t>进行编写、密封、标注和递送，并注明“</w:t>
      </w:r>
      <w:r>
        <w:rPr>
          <w:rFonts w:hint="eastAsia" w:ascii="宋体" w:hAnsi="宋体"/>
          <w:kern w:val="0"/>
          <w:sz w:val="24"/>
        </w:rPr>
        <w:t>修改谈判文件</w:t>
      </w:r>
      <w:r>
        <w:rPr>
          <w:rFonts w:ascii="宋体" w:hAnsi="宋体"/>
          <w:kern w:val="0"/>
          <w:sz w:val="24"/>
        </w:rPr>
        <w:t>”</w:t>
      </w:r>
      <w:r>
        <w:rPr>
          <w:rFonts w:hint="eastAsia" w:ascii="宋体" w:hAnsi="宋体"/>
          <w:kern w:val="0"/>
          <w:sz w:val="24"/>
        </w:rPr>
        <w:t>或</w:t>
      </w:r>
      <w:r>
        <w:rPr>
          <w:rFonts w:ascii="宋体" w:hAnsi="宋体"/>
          <w:kern w:val="0"/>
          <w:sz w:val="24"/>
        </w:rPr>
        <w:t>“</w:t>
      </w:r>
      <w:r>
        <w:rPr>
          <w:rFonts w:hint="eastAsia" w:ascii="宋体" w:hAnsi="宋体"/>
          <w:kern w:val="0"/>
          <w:sz w:val="24"/>
        </w:rPr>
        <w:t>撤回谈判采购</w:t>
      </w:r>
      <w:r>
        <w:rPr>
          <w:rFonts w:ascii="宋体" w:hAnsi="宋体"/>
          <w:kern w:val="0"/>
          <w:sz w:val="24"/>
        </w:rPr>
        <w:t>”</w:t>
      </w:r>
      <w:r>
        <w:rPr>
          <w:rFonts w:hint="eastAsia" w:ascii="宋体" w:hAnsi="宋体"/>
          <w:kern w:val="0"/>
          <w:sz w:val="24"/>
        </w:rPr>
        <w:t>字样</w:t>
      </w:r>
      <w:r>
        <w:rPr>
          <w:rFonts w:ascii="宋体" w:hAnsi="宋体"/>
          <w:kern w:val="0"/>
          <w:sz w:val="24"/>
        </w:rPr>
        <w:t>。</w:t>
      </w:r>
    </w:p>
    <w:p w14:paraId="128CE0B6">
      <w:pPr>
        <w:spacing w:line="360" w:lineRule="auto"/>
        <w:ind w:firstLine="480" w:firstLineChars="200"/>
        <w:rPr>
          <w:rFonts w:ascii="宋体" w:hAnsi="宋体"/>
          <w:kern w:val="0"/>
          <w:sz w:val="24"/>
        </w:rPr>
      </w:pPr>
      <w:r>
        <w:rPr>
          <w:rFonts w:ascii="宋体" w:hAnsi="宋体"/>
          <w:kern w:val="0"/>
          <w:sz w:val="24"/>
        </w:rPr>
        <w:t>4.3</w:t>
      </w:r>
      <w:r>
        <w:rPr>
          <w:rFonts w:hint="eastAsia" w:ascii="宋体" w:hAnsi="宋体"/>
          <w:kern w:val="0"/>
          <w:sz w:val="24"/>
        </w:rPr>
        <w:t xml:space="preserve"> 在谈判文件递交截止时间</w:t>
      </w:r>
      <w:r>
        <w:rPr>
          <w:rFonts w:ascii="宋体" w:hAnsi="宋体"/>
          <w:kern w:val="0"/>
          <w:sz w:val="24"/>
        </w:rPr>
        <w:t>之后，</w:t>
      </w:r>
      <w:r>
        <w:rPr>
          <w:rFonts w:hint="eastAsia" w:ascii="宋体" w:hAnsi="宋体"/>
          <w:kern w:val="0"/>
          <w:sz w:val="24"/>
          <w:lang w:eastAsia="zh-CN"/>
        </w:rPr>
        <w:t>报价人</w:t>
      </w:r>
      <w:r>
        <w:rPr>
          <w:rFonts w:ascii="宋体" w:hAnsi="宋体"/>
          <w:kern w:val="0"/>
          <w:sz w:val="24"/>
        </w:rPr>
        <w:t>不得对其</w:t>
      </w:r>
      <w:r>
        <w:rPr>
          <w:rFonts w:hint="eastAsia" w:ascii="宋体" w:hAnsi="宋体"/>
          <w:kern w:val="0"/>
          <w:sz w:val="24"/>
        </w:rPr>
        <w:t>谈判文件</w:t>
      </w:r>
      <w:r>
        <w:rPr>
          <w:rFonts w:ascii="宋体" w:hAnsi="宋体"/>
          <w:kern w:val="0"/>
          <w:sz w:val="24"/>
        </w:rPr>
        <w:t>做任何修改</w:t>
      </w:r>
      <w:r>
        <w:rPr>
          <w:rFonts w:hint="eastAsia" w:ascii="宋体" w:hAnsi="宋体"/>
          <w:kern w:val="0"/>
          <w:sz w:val="24"/>
        </w:rPr>
        <w:t>或</w:t>
      </w:r>
      <w:r>
        <w:rPr>
          <w:rFonts w:ascii="宋体" w:hAnsi="宋体"/>
          <w:kern w:val="0"/>
          <w:sz w:val="24"/>
        </w:rPr>
        <w:t>撤回。</w:t>
      </w:r>
    </w:p>
    <w:p w14:paraId="0C62FE03">
      <w:pPr>
        <w:spacing w:line="360" w:lineRule="auto"/>
        <w:ind w:firstLine="482" w:firstLineChars="200"/>
        <w:rPr>
          <w:rFonts w:ascii="宋体" w:hAnsi="宋体"/>
          <w:b/>
          <w:kern w:val="0"/>
          <w:sz w:val="24"/>
        </w:rPr>
      </w:pPr>
      <w:r>
        <w:rPr>
          <w:rFonts w:hint="eastAsia" w:ascii="宋体" w:hAnsi="宋体"/>
          <w:b/>
          <w:kern w:val="0"/>
          <w:sz w:val="24"/>
        </w:rPr>
        <w:t>五</w:t>
      </w:r>
      <w:r>
        <w:rPr>
          <w:rFonts w:ascii="宋体" w:hAnsi="宋体"/>
          <w:b/>
          <w:kern w:val="0"/>
          <w:sz w:val="24"/>
        </w:rPr>
        <w:t>、</w:t>
      </w:r>
      <w:r>
        <w:rPr>
          <w:rFonts w:hint="eastAsia" w:ascii="宋体" w:hAnsi="宋体"/>
          <w:b/>
          <w:kern w:val="0"/>
          <w:sz w:val="24"/>
        </w:rPr>
        <w:t>评审</w:t>
      </w:r>
    </w:p>
    <w:p w14:paraId="40204555">
      <w:pPr>
        <w:spacing w:line="360" w:lineRule="auto"/>
        <w:ind w:firstLine="482" w:firstLineChars="200"/>
        <w:rPr>
          <w:rFonts w:ascii="宋体" w:hAnsi="宋体"/>
          <w:b/>
          <w:kern w:val="0"/>
          <w:sz w:val="24"/>
        </w:rPr>
      </w:pPr>
      <w:r>
        <w:rPr>
          <w:rFonts w:ascii="宋体" w:hAnsi="宋体"/>
          <w:b/>
          <w:kern w:val="0"/>
          <w:sz w:val="24"/>
        </w:rPr>
        <w:t>1</w:t>
      </w:r>
      <w:r>
        <w:rPr>
          <w:rFonts w:hint="eastAsia" w:ascii="宋体" w:hAnsi="宋体"/>
          <w:b/>
          <w:kern w:val="0"/>
          <w:sz w:val="24"/>
        </w:rPr>
        <w:t>.否决</w:t>
      </w:r>
    </w:p>
    <w:p w14:paraId="2F6D95F7">
      <w:pPr>
        <w:spacing w:line="360" w:lineRule="auto"/>
        <w:ind w:firstLine="480" w:firstLineChars="200"/>
        <w:rPr>
          <w:rFonts w:ascii="宋体" w:hAnsi="宋体"/>
          <w:kern w:val="0"/>
          <w:sz w:val="24"/>
        </w:rPr>
      </w:pPr>
      <w:r>
        <w:rPr>
          <w:rFonts w:ascii="宋体" w:hAnsi="宋体"/>
          <w:kern w:val="0"/>
          <w:sz w:val="24"/>
        </w:rPr>
        <w:t>1</w:t>
      </w:r>
      <w:r>
        <w:rPr>
          <w:rFonts w:hint="eastAsia" w:ascii="宋体" w:hAnsi="宋体"/>
          <w:kern w:val="0"/>
          <w:sz w:val="24"/>
        </w:rPr>
        <w:t xml:space="preserve">.1 </w:t>
      </w:r>
      <w:r>
        <w:rPr>
          <w:rFonts w:ascii="宋体" w:hAnsi="宋体"/>
          <w:kern w:val="0"/>
          <w:sz w:val="24"/>
        </w:rPr>
        <w:t>“</w:t>
      </w:r>
      <w:r>
        <w:rPr>
          <w:rFonts w:hint="eastAsia" w:ascii="宋体" w:hAnsi="宋体"/>
          <w:kern w:val="0"/>
          <w:sz w:val="24"/>
        </w:rPr>
        <w:t>谈判文件</w:t>
      </w:r>
      <w:r>
        <w:rPr>
          <w:rFonts w:ascii="宋体" w:hAnsi="宋体"/>
          <w:kern w:val="0"/>
          <w:sz w:val="24"/>
        </w:rPr>
        <w:t>”</w:t>
      </w:r>
      <w:r>
        <w:rPr>
          <w:rFonts w:hint="eastAsia" w:ascii="宋体" w:hAnsi="宋体"/>
          <w:kern w:val="0"/>
          <w:sz w:val="24"/>
        </w:rPr>
        <w:t>属下列</w:t>
      </w:r>
      <w:r>
        <w:rPr>
          <w:rFonts w:ascii="宋体" w:hAnsi="宋体"/>
          <w:kern w:val="0"/>
          <w:sz w:val="24"/>
        </w:rPr>
        <w:t>情况之一的，</w:t>
      </w:r>
      <w:r>
        <w:rPr>
          <w:rFonts w:hint="eastAsia" w:ascii="宋体" w:hAnsi="宋体"/>
          <w:kern w:val="0"/>
          <w:sz w:val="24"/>
        </w:rPr>
        <w:t>采购人</w:t>
      </w:r>
      <w:r>
        <w:rPr>
          <w:rFonts w:ascii="宋体" w:hAnsi="宋体"/>
          <w:kern w:val="0"/>
          <w:sz w:val="24"/>
        </w:rPr>
        <w:t>有权将其作</w:t>
      </w:r>
      <w:r>
        <w:rPr>
          <w:rFonts w:hint="eastAsia" w:ascii="宋体" w:hAnsi="宋体"/>
          <w:kern w:val="0"/>
          <w:sz w:val="24"/>
        </w:rPr>
        <w:t>否决</w:t>
      </w:r>
      <w:r>
        <w:rPr>
          <w:rFonts w:ascii="宋体" w:hAnsi="宋体"/>
          <w:kern w:val="0"/>
          <w:sz w:val="24"/>
        </w:rPr>
        <w:t>处理：</w:t>
      </w:r>
    </w:p>
    <w:p w14:paraId="7DEB2B13">
      <w:pPr>
        <w:spacing w:line="360" w:lineRule="auto"/>
        <w:ind w:firstLine="480" w:firstLineChars="200"/>
        <w:rPr>
          <w:rFonts w:ascii="宋体" w:hAnsi="宋体"/>
          <w:kern w:val="0"/>
          <w:sz w:val="24"/>
        </w:rPr>
      </w:pPr>
      <w:r>
        <w:rPr>
          <w:rFonts w:hint="eastAsia" w:ascii="宋体" w:hAnsi="宋体"/>
          <w:kern w:val="0"/>
          <w:sz w:val="24"/>
        </w:rPr>
        <w:t>（1）逾期</w:t>
      </w:r>
      <w:r>
        <w:rPr>
          <w:rFonts w:ascii="宋体" w:hAnsi="宋体"/>
          <w:kern w:val="0"/>
          <w:sz w:val="24"/>
        </w:rPr>
        <w:t>送达的；</w:t>
      </w:r>
    </w:p>
    <w:p w14:paraId="050AAC9D">
      <w:pPr>
        <w:spacing w:line="360" w:lineRule="auto"/>
        <w:ind w:firstLine="480" w:firstLineChars="200"/>
        <w:rPr>
          <w:rFonts w:ascii="宋体" w:hAnsi="宋体"/>
          <w:kern w:val="0"/>
          <w:sz w:val="24"/>
        </w:rPr>
      </w:pPr>
      <w:r>
        <w:rPr>
          <w:rFonts w:hint="eastAsia" w:ascii="宋体" w:hAnsi="宋体"/>
          <w:kern w:val="0"/>
          <w:sz w:val="24"/>
        </w:rPr>
        <w:t>（2）</w:t>
      </w:r>
      <w:r>
        <w:rPr>
          <w:rFonts w:hint="eastAsia" w:ascii="宋体" w:hAnsi="宋体"/>
          <w:kern w:val="0"/>
          <w:sz w:val="24"/>
          <w:lang w:eastAsia="zh-CN"/>
        </w:rPr>
        <w:t>报价人</w:t>
      </w:r>
      <w:r>
        <w:rPr>
          <w:rFonts w:hint="eastAsia" w:ascii="宋体" w:hAnsi="宋体"/>
          <w:kern w:val="0"/>
          <w:sz w:val="24"/>
        </w:rPr>
        <w:t>针对</w:t>
      </w:r>
      <w:r>
        <w:rPr>
          <w:rFonts w:ascii="宋体" w:hAnsi="宋体"/>
          <w:kern w:val="0"/>
          <w:sz w:val="24"/>
        </w:rPr>
        <w:t>同一服务</w:t>
      </w:r>
      <w:r>
        <w:rPr>
          <w:rFonts w:hint="eastAsia" w:ascii="宋体" w:hAnsi="宋体"/>
          <w:kern w:val="0"/>
          <w:sz w:val="24"/>
        </w:rPr>
        <w:t>递交</w:t>
      </w:r>
      <w:r>
        <w:rPr>
          <w:rFonts w:ascii="宋体" w:hAnsi="宋体"/>
          <w:kern w:val="0"/>
          <w:sz w:val="24"/>
        </w:rPr>
        <w:t>两份或</w:t>
      </w:r>
      <w:r>
        <w:rPr>
          <w:rFonts w:hint="eastAsia" w:ascii="宋体" w:hAnsi="宋体"/>
          <w:kern w:val="0"/>
          <w:sz w:val="24"/>
        </w:rPr>
        <w:t>多份</w:t>
      </w:r>
      <w:r>
        <w:rPr>
          <w:rFonts w:ascii="宋体" w:hAnsi="宋体"/>
          <w:kern w:val="0"/>
          <w:sz w:val="24"/>
        </w:rPr>
        <w:t>内容不同的</w:t>
      </w:r>
      <w:r>
        <w:rPr>
          <w:rFonts w:hint="eastAsia" w:ascii="宋体" w:hAnsi="宋体"/>
          <w:kern w:val="0"/>
          <w:sz w:val="24"/>
        </w:rPr>
        <w:t>响应</w:t>
      </w:r>
      <w:r>
        <w:rPr>
          <w:rFonts w:ascii="宋体" w:hAnsi="宋体"/>
          <w:kern w:val="0"/>
          <w:sz w:val="24"/>
        </w:rPr>
        <w:t>书，未书面声明哪一个有效的；</w:t>
      </w:r>
    </w:p>
    <w:p w14:paraId="591D7D66">
      <w:pPr>
        <w:spacing w:line="360" w:lineRule="auto"/>
        <w:ind w:firstLine="480" w:firstLineChars="200"/>
        <w:rPr>
          <w:rFonts w:ascii="宋体" w:hAnsi="宋体"/>
          <w:kern w:val="0"/>
          <w:sz w:val="24"/>
        </w:rPr>
      </w:pPr>
      <w:r>
        <w:rPr>
          <w:rFonts w:ascii="宋体" w:hAnsi="宋体"/>
          <w:kern w:val="0"/>
          <w:sz w:val="24"/>
        </w:rPr>
        <w:t xml:space="preserve">1.2 </w:t>
      </w:r>
      <w:r>
        <w:rPr>
          <w:rFonts w:hint="eastAsia" w:ascii="宋体" w:hAnsi="宋体"/>
          <w:kern w:val="0"/>
          <w:sz w:val="24"/>
        </w:rPr>
        <w:t>无论</w:t>
      </w:r>
      <w:r>
        <w:rPr>
          <w:rFonts w:ascii="宋体" w:hAnsi="宋体"/>
          <w:kern w:val="0"/>
          <w:sz w:val="24"/>
        </w:rPr>
        <w:t>何种原因在</w:t>
      </w:r>
      <w:r>
        <w:rPr>
          <w:rFonts w:hint="eastAsia" w:ascii="宋体" w:hAnsi="宋体"/>
          <w:kern w:val="0"/>
          <w:sz w:val="24"/>
        </w:rPr>
        <w:t>评审</w:t>
      </w:r>
      <w:r>
        <w:rPr>
          <w:rFonts w:ascii="宋体" w:hAnsi="宋体"/>
          <w:kern w:val="0"/>
          <w:sz w:val="24"/>
        </w:rPr>
        <w:t>时未被接</w:t>
      </w:r>
      <w:r>
        <w:rPr>
          <w:rFonts w:hint="eastAsia" w:ascii="宋体" w:hAnsi="宋体"/>
          <w:kern w:val="0"/>
          <w:sz w:val="24"/>
        </w:rPr>
        <w:t>收</w:t>
      </w:r>
      <w:r>
        <w:rPr>
          <w:rFonts w:ascii="宋体" w:hAnsi="宋体"/>
          <w:kern w:val="0"/>
          <w:sz w:val="24"/>
        </w:rPr>
        <w:t>的</w:t>
      </w:r>
      <w:r>
        <w:rPr>
          <w:rFonts w:hint="eastAsia" w:ascii="宋体" w:hAnsi="宋体"/>
          <w:kern w:val="0"/>
          <w:sz w:val="24"/>
        </w:rPr>
        <w:t>谈判</w:t>
      </w:r>
      <w:r>
        <w:rPr>
          <w:rFonts w:ascii="宋体" w:hAnsi="宋体"/>
          <w:kern w:val="0"/>
          <w:sz w:val="24"/>
        </w:rPr>
        <w:t>书在评</w:t>
      </w:r>
      <w:r>
        <w:rPr>
          <w:rFonts w:hint="eastAsia" w:ascii="宋体" w:hAnsi="宋体"/>
          <w:kern w:val="0"/>
          <w:sz w:val="24"/>
        </w:rPr>
        <w:t>审</w:t>
      </w:r>
      <w:r>
        <w:rPr>
          <w:rFonts w:ascii="宋体" w:hAnsi="宋体"/>
          <w:kern w:val="0"/>
          <w:sz w:val="24"/>
        </w:rPr>
        <w:t>时将不予考虑</w:t>
      </w:r>
      <w:r>
        <w:rPr>
          <w:rFonts w:hint="eastAsia" w:ascii="宋体" w:hAnsi="宋体"/>
          <w:kern w:val="0"/>
          <w:sz w:val="24"/>
        </w:rPr>
        <w:t>，</w:t>
      </w:r>
      <w:r>
        <w:rPr>
          <w:rFonts w:ascii="宋体" w:hAnsi="宋体"/>
          <w:kern w:val="0"/>
          <w:sz w:val="24"/>
        </w:rPr>
        <w:t>采购人</w:t>
      </w:r>
      <w:r>
        <w:rPr>
          <w:rFonts w:hint="eastAsia" w:ascii="宋体" w:hAnsi="宋体"/>
          <w:kern w:val="0"/>
          <w:sz w:val="24"/>
        </w:rPr>
        <w:t>对此</w:t>
      </w:r>
      <w:r>
        <w:rPr>
          <w:rFonts w:ascii="宋体" w:hAnsi="宋体"/>
          <w:kern w:val="0"/>
          <w:sz w:val="24"/>
        </w:rPr>
        <w:t>不承担任何责任。</w:t>
      </w:r>
    </w:p>
    <w:p w14:paraId="40E55A2F">
      <w:pPr>
        <w:spacing w:line="360" w:lineRule="auto"/>
        <w:ind w:firstLine="480" w:firstLineChars="200"/>
        <w:rPr>
          <w:rFonts w:ascii="宋体" w:hAnsi="宋体"/>
          <w:kern w:val="0"/>
          <w:sz w:val="24"/>
        </w:rPr>
      </w:pPr>
      <w:r>
        <w:rPr>
          <w:rFonts w:ascii="宋体" w:hAnsi="宋体"/>
          <w:kern w:val="0"/>
          <w:sz w:val="24"/>
        </w:rPr>
        <w:t>1.3 经初步审查及资质审查后，有效响应文件不足3家的，评审小组可按相关采购规则继续评审或报采购人重新组织谈判采购。</w:t>
      </w:r>
    </w:p>
    <w:p w14:paraId="70E345C7">
      <w:pPr>
        <w:spacing w:line="360" w:lineRule="auto"/>
        <w:ind w:firstLine="482" w:firstLineChars="200"/>
        <w:rPr>
          <w:rFonts w:ascii="宋体" w:hAnsi="宋体"/>
          <w:b/>
          <w:kern w:val="0"/>
          <w:sz w:val="24"/>
        </w:rPr>
      </w:pPr>
      <w:r>
        <w:rPr>
          <w:rFonts w:ascii="宋体" w:hAnsi="宋体"/>
          <w:b/>
          <w:kern w:val="0"/>
          <w:sz w:val="24"/>
        </w:rPr>
        <w:t>2</w:t>
      </w:r>
      <w:r>
        <w:rPr>
          <w:rFonts w:hint="eastAsia" w:ascii="宋体" w:hAnsi="宋体"/>
          <w:b/>
          <w:kern w:val="0"/>
          <w:sz w:val="24"/>
        </w:rPr>
        <w:t>.评审组织</w:t>
      </w:r>
    </w:p>
    <w:p w14:paraId="1224961F">
      <w:pPr>
        <w:spacing w:line="360" w:lineRule="auto"/>
        <w:ind w:firstLine="480" w:firstLineChars="200"/>
        <w:rPr>
          <w:rFonts w:ascii="宋体" w:hAnsi="宋体"/>
          <w:kern w:val="0"/>
          <w:sz w:val="24"/>
        </w:rPr>
      </w:pPr>
      <w:r>
        <w:rPr>
          <w:rFonts w:ascii="宋体" w:hAnsi="宋体"/>
          <w:kern w:val="0"/>
          <w:sz w:val="24"/>
        </w:rPr>
        <w:t>2</w:t>
      </w:r>
      <w:r>
        <w:rPr>
          <w:rFonts w:hint="eastAsia" w:ascii="宋体" w:hAnsi="宋体"/>
          <w:kern w:val="0"/>
          <w:sz w:val="24"/>
        </w:rPr>
        <w:t>.1</w:t>
      </w:r>
      <w:r>
        <w:rPr>
          <w:rFonts w:ascii="宋体" w:hAnsi="宋体"/>
          <w:kern w:val="0"/>
          <w:sz w:val="24"/>
        </w:rPr>
        <w:t xml:space="preserve"> </w:t>
      </w:r>
      <w:r>
        <w:rPr>
          <w:rFonts w:hint="eastAsia" w:ascii="宋体" w:hAnsi="宋体"/>
          <w:kern w:val="0"/>
          <w:sz w:val="24"/>
        </w:rPr>
        <w:t>采购人</w:t>
      </w:r>
      <w:r>
        <w:rPr>
          <w:rFonts w:ascii="宋体" w:hAnsi="宋体"/>
          <w:kern w:val="0"/>
          <w:sz w:val="24"/>
        </w:rPr>
        <w:t>将根据本次</w:t>
      </w:r>
      <w:r>
        <w:rPr>
          <w:rFonts w:hint="eastAsia" w:ascii="宋体" w:hAnsi="宋体"/>
          <w:kern w:val="0"/>
          <w:sz w:val="24"/>
        </w:rPr>
        <w:t>谈判采购采购项目</w:t>
      </w:r>
      <w:r>
        <w:rPr>
          <w:rFonts w:ascii="宋体" w:hAnsi="宋体"/>
          <w:kern w:val="0"/>
          <w:sz w:val="24"/>
        </w:rPr>
        <w:t>的特点，</w:t>
      </w:r>
      <w:r>
        <w:rPr>
          <w:rFonts w:hint="eastAsia" w:ascii="宋体" w:hAnsi="宋体"/>
          <w:kern w:val="0"/>
          <w:sz w:val="24"/>
        </w:rPr>
        <w:t>根据相关规章制度</w:t>
      </w:r>
      <w:r>
        <w:rPr>
          <w:rFonts w:ascii="宋体" w:hAnsi="宋体"/>
          <w:kern w:val="0"/>
          <w:sz w:val="24"/>
        </w:rPr>
        <w:t>制定</w:t>
      </w:r>
      <w:r>
        <w:rPr>
          <w:rFonts w:hint="eastAsia" w:ascii="宋体" w:hAnsi="宋体"/>
          <w:kern w:val="0"/>
          <w:sz w:val="24"/>
        </w:rPr>
        <w:t>评审</w:t>
      </w:r>
      <w:r>
        <w:rPr>
          <w:rFonts w:ascii="宋体" w:hAnsi="宋体"/>
          <w:kern w:val="0"/>
          <w:sz w:val="24"/>
        </w:rPr>
        <w:t>办法，成立</w:t>
      </w:r>
      <w:r>
        <w:rPr>
          <w:rFonts w:hint="eastAsia" w:ascii="宋体" w:hAnsi="宋体"/>
          <w:kern w:val="0"/>
          <w:sz w:val="24"/>
        </w:rPr>
        <w:t>评审</w:t>
      </w:r>
      <w:r>
        <w:rPr>
          <w:rFonts w:ascii="宋体" w:hAnsi="宋体"/>
          <w:kern w:val="0"/>
          <w:sz w:val="24"/>
        </w:rPr>
        <w:t>小组。</w:t>
      </w:r>
    </w:p>
    <w:p w14:paraId="323A0127">
      <w:pPr>
        <w:spacing w:line="360" w:lineRule="auto"/>
        <w:ind w:firstLine="480" w:firstLineChars="200"/>
        <w:rPr>
          <w:rFonts w:ascii="宋体" w:hAnsi="宋体"/>
          <w:kern w:val="0"/>
          <w:sz w:val="24"/>
        </w:rPr>
      </w:pPr>
      <w:r>
        <w:rPr>
          <w:rFonts w:ascii="宋体" w:hAnsi="宋体"/>
          <w:kern w:val="0"/>
          <w:sz w:val="24"/>
        </w:rPr>
        <w:t xml:space="preserve">2.2 </w:t>
      </w:r>
      <w:r>
        <w:rPr>
          <w:rFonts w:hint="eastAsia" w:ascii="宋体" w:hAnsi="宋体"/>
          <w:kern w:val="0"/>
          <w:sz w:val="24"/>
        </w:rPr>
        <w:t>评审</w:t>
      </w:r>
      <w:r>
        <w:rPr>
          <w:rFonts w:ascii="宋体" w:hAnsi="宋体"/>
          <w:kern w:val="0"/>
          <w:sz w:val="24"/>
        </w:rPr>
        <w:t>小组成员由采购人</w:t>
      </w:r>
      <w:r>
        <w:rPr>
          <w:rFonts w:hint="eastAsia" w:ascii="宋体" w:hAnsi="宋体"/>
          <w:kern w:val="0"/>
          <w:sz w:val="24"/>
        </w:rPr>
        <w:t>代表</w:t>
      </w:r>
      <w:r>
        <w:rPr>
          <w:rFonts w:ascii="宋体" w:hAnsi="宋体"/>
          <w:kern w:val="0"/>
          <w:sz w:val="24"/>
        </w:rPr>
        <w:t>组成。</w:t>
      </w:r>
    </w:p>
    <w:p w14:paraId="116A468A">
      <w:pPr>
        <w:spacing w:line="360" w:lineRule="auto"/>
        <w:ind w:firstLine="480" w:firstLineChars="200"/>
        <w:rPr>
          <w:rFonts w:ascii="宋体" w:hAnsi="宋体"/>
          <w:kern w:val="0"/>
          <w:sz w:val="24"/>
        </w:rPr>
      </w:pPr>
      <w:r>
        <w:rPr>
          <w:rFonts w:ascii="宋体" w:hAnsi="宋体"/>
          <w:kern w:val="0"/>
          <w:sz w:val="24"/>
        </w:rPr>
        <w:t xml:space="preserve">2.3 </w:t>
      </w:r>
      <w:r>
        <w:rPr>
          <w:rFonts w:hint="eastAsia" w:ascii="宋体" w:hAnsi="宋体"/>
          <w:kern w:val="0"/>
          <w:sz w:val="24"/>
        </w:rPr>
        <w:t>评审</w:t>
      </w:r>
      <w:r>
        <w:rPr>
          <w:rFonts w:ascii="宋体" w:hAnsi="宋体"/>
          <w:kern w:val="0"/>
          <w:sz w:val="24"/>
        </w:rPr>
        <w:t>小组</w:t>
      </w:r>
      <w:r>
        <w:rPr>
          <w:rFonts w:hint="eastAsia" w:ascii="宋体" w:hAnsi="宋体"/>
          <w:kern w:val="0"/>
          <w:sz w:val="24"/>
        </w:rPr>
        <w:t>对谈判文件</w:t>
      </w:r>
      <w:r>
        <w:rPr>
          <w:rFonts w:ascii="宋体" w:hAnsi="宋体"/>
          <w:kern w:val="0"/>
          <w:sz w:val="24"/>
        </w:rPr>
        <w:t>进行审查、质疑、评估和比较。</w:t>
      </w:r>
    </w:p>
    <w:p w14:paraId="43DCD65F">
      <w:pPr>
        <w:spacing w:line="360" w:lineRule="auto"/>
        <w:ind w:firstLine="482" w:firstLineChars="200"/>
        <w:rPr>
          <w:rFonts w:ascii="宋体" w:hAnsi="宋体"/>
          <w:b/>
          <w:kern w:val="0"/>
          <w:sz w:val="24"/>
        </w:rPr>
      </w:pPr>
      <w:r>
        <w:rPr>
          <w:rFonts w:ascii="宋体" w:hAnsi="宋体"/>
          <w:b/>
          <w:kern w:val="0"/>
          <w:sz w:val="24"/>
        </w:rPr>
        <w:t>3.</w:t>
      </w:r>
      <w:r>
        <w:rPr>
          <w:rFonts w:hint="eastAsia" w:ascii="宋体" w:hAnsi="宋体"/>
          <w:b/>
          <w:kern w:val="0"/>
          <w:sz w:val="24"/>
        </w:rPr>
        <w:t>对谈判文件</w:t>
      </w:r>
      <w:r>
        <w:rPr>
          <w:rFonts w:ascii="宋体" w:hAnsi="宋体"/>
          <w:b/>
          <w:kern w:val="0"/>
          <w:sz w:val="24"/>
        </w:rPr>
        <w:t>的审查和响应性的确定</w:t>
      </w:r>
    </w:p>
    <w:p w14:paraId="3FB827D0">
      <w:pPr>
        <w:spacing w:line="360" w:lineRule="auto"/>
        <w:ind w:firstLine="480" w:firstLineChars="200"/>
        <w:rPr>
          <w:rFonts w:ascii="宋体" w:hAnsi="宋体"/>
          <w:kern w:val="0"/>
          <w:sz w:val="24"/>
        </w:rPr>
      </w:pPr>
      <w:r>
        <w:rPr>
          <w:rFonts w:ascii="宋体" w:hAnsi="宋体"/>
          <w:kern w:val="0"/>
          <w:sz w:val="24"/>
        </w:rPr>
        <w:t xml:space="preserve">3.1 </w:t>
      </w:r>
      <w:r>
        <w:rPr>
          <w:rFonts w:hint="eastAsia" w:ascii="宋体" w:hAnsi="宋体"/>
          <w:kern w:val="0"/>
          <w:sz w:val="24"/>
        </w:rPr>
        <w:t>拆封后</w:t>
      </w:r>
      <w:r>
        <w:rPr>
          <w:rFonts w:ascii="宋体" w:hAnsi="宋体"/>
          <w:kern w:val="0"/>
          <w:sz w:val="24"/>
        </w:rPr>
        <w:t>，</w:t>
      </w:r>
      <w:r>
        <w:rPr>
          <w:rFonts w:hint="eastAsia" w:ascii="宋体" w:hAnsi="宋体"/>
          <w:kern w:val="0"/>
          <w:sz w:val="24"/>
        </w:rPr>
        <w:t>评审小组检查审查谈判文件</w:t>
      </w:r>
      <w:r>
        <w:rPr>
          <w:rFonts w:ascii="宋体" w:hAnsi="宋体"/>
          <w:kern w:val="0"/>
          <w:sz w:val="24"/>
        </w:rPr>
        <w:t>是否</w:t>
      </w:r>
      <w:r>
        <w:rPr>
          <w:rFonts w:hint="eastAsia" w:ascii="宋体" w:hAnsi="宋体"/>
          <w:kern w:val="0"/>
          <w:sz w:val="24"/>
        </w:rPr>
        <w:t>完整</w:t>
      </w:r>
      <w:r>
        <w:rPr>
          <w:rFonts w:ascii="宋体" w:hAnsi="宋体"/>
          <w:kern w:val="0"/>
          <w:sz w:val="24"/>
        </w:rPr>
        <w:t>。</w:t>
      </w:r>
    </w:p>
    <w:p w14:paraId="74545AA0">
      <w:pPr>
        <w:spacing w:line="360" w:lineRule="auto"/>
        <w:ind w:firstLine="480" w:firstLineChars="200"/>
        <w:rPr>
          <w:rFonts w:ascii="宋体" w:hAnsi="宋体"/>
          <w:kern w:val="0"/>
          <w:sz w:val="24"/>
        </w:rPr>
      </w:pPr>
      <w:r>
        <w:rPr>
          <w:rFonts w:ascii="宋体" w:hAnsi="宋体"/>
          <w:kern w:val="0"/>
          <w:sz w:val="24"/>
        </w:rPr>
        <w:t xml:space="preserve">3.2 </w:t>
      </w:r>
      <w:r>
        <w:rPr>
          <w:rFonts w:hint="eastAsia" w:ascii="宋体" w:hAnsi="宋体"/>
          <w:kern w:val="0"/>
          <w:sz w:val="24"/>
        </w:rPr>
        <w:t>采购人</w:t>
      </w:r>
      <w:r>
        <w:rPr>
          <w:rFonts w:ascii="宋体" w:hAnsi="宋体"/>
          <w:kern w:val="0"/>
          <w:sz w:val="24"/>
        </w:rPr>
        <w:t>将确定</w:t>
      </w:r>
      <w:r>
        <w:rPr>
          <w:rFonts w:hint="eastAsia" w:ascii="宋体" w:hAnsi="宋体"/>
          <w:kern w:val="0"/>
          <w:sz w:val="24"/>
        </w:rPr>
        <w:t>每一</w:t>
      </w:r>
      <w:r>
        <w:rPr>
          <w:rFonts w:hint="eastAsia" w:ascii="宋体" w:hAnsi="宋体"/>
          <w:kern w:val="0"/>
          <w:sz w:val="24"/>
          <w:lang w:eastAsia="zh-CN"/>
        </w:rPr>
        <w:t>报价人</w:t>
      </w:r>
      <w:r>
        <w:rPr>
          <w:rFonts w:ascii="宋体" w:hAnsi="宋体"/>
          <w:kern w:val="0"/>
          <w:sz w:val="24"/>
        </w:rPr>
        <w:t>是否对</w:t>
      </w:r>
      <w:r>
        <w:rPr>
          <w:rFonts w:hint="eastAsia" w:ascii="宋体" w:hAnsi="宋体"/>
          <w:kern w:val="0"/>
          <w:sz w:val="24"/>
        </w:rPr>
        <w:t>《谈判采购</w:t>
      </w:r>
      <w:r>
        <w:rPr>
          <w:rFonts w:ascii="宋体" w:hAnsi="宋体"/>
          <w:kern w:val="0"/>
          <w:sz w:val="24"/>
        </w:rPr>
        <w:t>文件</w:t>
      </w:r>
      <w:r>
        <w:rPr>
          <w:rFonts w:hint="eastAsia" w:ascii="宋体" w:hAnsi="宋体"/>
          <w:kern w:val="0"/>
          <w:sz w:val="24"/>
        </w:rPr>
        <w:t>》的</w:t>
      </w:r>
      <w:r>
        <w:rPr>
          <w:rFonts w:ascii="宋体" w:hAnsi="宋体"/>
          <w:kern w:val="0"/>
          <w:sz w:val="24"/>
        </w:rPr>
        <w:t>要求作出了实质性的响应，而没有重大偏离。实质性</w:t>
      </w:r>
      <w:r>
        <w:rPr>
          <w:rFonts w:hint="eastAsia" w:ascii="宋体" w:hAnsi="宋体"/>
          <w:kern w:val="0"/>
          <w:sz w:val="24"/>
        </w:rPr>
        <w:t>谈判</w:t>
      </w:r>
      <w:r>
        <w:rPr>
          <w:rFonts w:ascii="宋体" w:hAnsi="宋体"/>
          <w:kern w:val="0"/>
          <w:sz w:val="24"/>
        </w:rPr>
        <w:t>是指</w:t>
      </w:r>
      <w:r>
        <w:rPr>
          <w:rFonts w:hint="eastAsia" w:ascii="宋体" w:hAnsi="宋体"/>
          <w:kern w:val="0"/>
          <w:sz w:val="24"/>
        </w:rPr>
        <w:t>谈判文件</w:t>
      </w:r>
      <w:r>
        <w:rPr>
          <w:rFonts w:ascii="宋体" w:hAnsi="宋体"/>
          <w:kern w:val="0"/>
          <w:sz w:val="24"/>
        </w:rPr>
        <w:t>符合谈判文件的所有条款、条件和规定且没有重大偏离或保留。重大</w:t>
      </w:r>
      <w:r>
        <w:rPr>
          <w:rFonts w:hint="eastAsia" w:ascii="宋体" w:hAnsi="宋体"/>
          <w:kern w:val="0"/>
          <w:sz w:val="24"/>
        </w:rPr>
        <w:t>偏离</w:t>
      </w:r>
      <w:r>
        <w:rPr>
          <w:rFonts w:ascii="宋体" w:hAnsi="宋体"/>
          <w:kern w:val="0"/>
          <w:sz w:val="24"/>
        </w:rPr>
        <w:t>或保留系指影响到谈判文件规定的服务范围、质量和性能</w:t>
      </w:r>
      <w:r>
        <w:rPr>
          <w:rFonts w:hint="eastAsia" w:ascii="宋体" w:hAnsi="宋体"/>
          <w:kern w:val="0"/>
          <w:sz w:val="24"/>
        </w:rPr>
        <w:t>，</w:t>
      </w:r>
      <w:r>
        <w:rPr>
          <w:rFonts w:ascii="宋体" w:hAnsi="宋体"/>
          <w:kern w:val="0"/>
          <w:sz w:val="24"/>
        </w:rPr>
        <w:t>或限制了采购人的</w:t>
      </w:r>
      <w:r>
        <w:rPr>
          <w:rFonts w:hint="eastAsia" w:ascii="宋体" w:hAnsi="宋体"/>
          <w:kern w:val="0"/>
          <w:sz w:val="24"/>
        </w:rPr>
        <w:t>权利或减轻了</w:t>
      </w:r>
      <w:r>
        <w:rPr>
          <w:rFonts w:hint="eastAsia" w:ascii="宋体" w:hAnsi="宋体"/>
          <w:kern w:val="0"/>
          <w:sz w:val="24"/>
          <w:lang w:eastAsia="zh-CN"/>
        </w:rPr>
        <w:t>报价人</w:t>
      </w:r>
      <w:r>
        <w:rPr>
          <w:rFonts w:ascii="宋体" w:hAnsi="宋体"/>
          <w:kern w:val="0"/>
          <w:sz w:val="24"/>
        </w:rPr>
        <w:t>的义务，</w:t>
      </w:r>
      <w:r>
        <w:rPr>
          <w:rFonts w:hint="eastAsia" w:ascii="宋体" w:hAnsi="宋体"/>
          <w:kern w:val="0"/>
          <w:sz w:val="24"/>
        </w:rPr>
        <w:t>而</w:t>
      </w:r>
      <w:r>
        <w:rPr>
          <w:rFonts w:ascii="宋体" w:hAnsi="宋体"/>
          <w:kern w:val="0"/>
          <w:sz w:val="24"/>
        </w:rPr>
        <w:t>纠正这些偏离将</w:t>
      </w:r>
      <w:r>
        <w:rPr>
          <w:rFonts w:hint="eastAsia" w:ascii="宋体" w:hAnsi="宋体"/>
          <w:kern w:val="0"/>
          <w:sz w:val="24"/>
        </w:rPr>
        <w:t>影响</w:t>
      </w:r>
      <w:r>
        <w:rPr>
          <w:rFonts w:ascii="宋体" w:hAnsi="宋体"/>
          <w:kern w:val="0"/>
          <w:sz w:val="24"/>
        </w:rPr>
        <w:t>到其他提交实质性响应</w:t>
      </w:r>
      <w:r>
        <w:rPr>
          <w:rFonts w:hint="eastAsia" w:ascii="宋体" w:hAnsi="宋体"/>
          <w:kern w:val="0"/>
          <w:sz w:val="24"/>
          <w:lang w:eastAsia="zh-CN"/>
        </w:rPr>
        <w:t>报价人</w:t>
      </w:r>
      <w:r>
        <w:rPr>
          <w:rFonts w:ascii="宋体" w:hAnsi="宋体"/>
          <w:kern w:val="0"/>
          <w:sz w:val="24"/>
        </w:rPr>
        <w:t>的公平竞争地位。</w:t>
      </w:r>
    </w:p>
    <w:p w14:paraId="62F78132">
      <w:pPr>
        <w:spacing w:line="360" w:lineRule="auto"/>
        <w:ind w:firstLine="480" w:firstLineChars="200"/>
        <w:rPr>
          <w:rFonts w:ascii="宋体" w:hAnsi="宋体"/>
          <w:kern w:val="0"/>
          <w:sz w:val="24"/>
        </w:rPr>
      </w:pPr>
      <w:r>
        <w:rPr>
          <w:rFonts w:ascii="宋体" w:hAnsi="宋体"/>
          <w:kern w:val="0"/>
          <w:sz w:val="24"/>
        </w:rPr>
        <w:t xml:space="preserve">3.3 </w:t>
      </w:r>
      <w:r>
        <w:rPr>
          <w:rFonts w:hint="eastAsia" w:ascii="宋体" w:hAnsi="宋体"/>
          <w:kern w:val="0"/>
          <w:sz w:val="24"/>
        </w:rPr>
        <w:t>采购人</w:t>
      </w:r>
      <w:r>
        <w:rPr>
          <w:rFonts w:ascii="宋体" w:hAnsi="宋体"/>
          <w:kern w:val="0"/>
          <w:sz w:val="24"/>
        </w:rPr>
        <w:t>判断</w:t>
      </w:r>
      <w:r>
        <w:rPr>
          <w:rFonts w:hint="eastAsia" w:ascii="宋体" w:hAnsi="宋体"/>
          <w:kern w:val="0"/>
          <w:sz w:val="24"/>
        </w:rPr>
        <w:t>谈判文件</w:t>
      </w:r>
      <w:r>
        <w:rPr>
          <w:rFonts w:ascii="宋体" w:hAnsi="宋体"/>
          <w:kern w:val="0"/>
          <w:sz w:val="24"/>
        </w:rPr>
        <w:t>的响应性仅基于</w:t>
      </w:r>
      <w:r>
        <w:rPr>
          <w:rFonts w:hint="eastAsia" w:ascii="宋体" w:hAnsi="宋体"/>
          <w:kern w:val="0"/>
          <w:sz w:val="24"/>
        </w:rPr>
        <w:t>谈判文件</w:t>
      </w:r>
      <w:r>
        <w:rPr>
          <w:rFonts w:ascii="宋体" w:hAnsi="宋体"/>
          <w:kern w:val="0"/>
          <w:sz w:val="24"/>
        </w:rPr>
        <w:t>本身而不靠外部证据。</w:t>
      </w:r>
    </w:p>
    <w:p w14:paraId="5EFB6466">
      <w:pPr>
        <w:spacing w:line="360" w:lineRule="auto"/>
        <w:ind w:firstLine="480" w:firstLineChars="200"/>
        <w:rPr>
          <w:rFonts w:ascii="宋体" w:hAnsi="宋体"/>
          <w:kern w:val="0"/>
          <w:sz w:val="24"/>
        </w:rPr>
      </w:pPr>
      <w:r>
        <w:rPr>
          <w:rFonts w:ascii="宋体" w:hAnsi="宋体"/>
          <w:kern w:val="0"/>
          <w:sz w:val="24"/>
        </w:rPr>
        <w:t xml:space="preserve">3.4 </w:t>
      </w:r>
      <w:r>
        <w:rPr>
          <w:rFonts w:hint="eastAsia" w:ascii="宋体" w:hAnsi="宋体"/>
          <w:kern w:val="0"/>
          <w:sz w:val="24"/>
        </w:rPr>
        <w:t>采购人有权</w:t>
      </w:r>
      <w:r>
        <w:rPr>
          <w:rFonts w:ascii="宋体" w:hAnsi="宋体"/>
          <w:kern w:val="0"/>
          <w:sz w:val="24"/>
        </w:rPr>
        <w:t>拒绝被确定为非实质性</w:t>
      </w:r>
      <w:r>
        <w:rPr>
          <w:rFonts w:hint="eastAsia" w:ascii="宋体" w:hAnsi="宋体"/>
          <w:kern w:val="0"/>
          <w:sz w:val="24"/>
        </w:rPr>
        <w:t>的</w:t>
      </w:r>
      <w:r>
        <w:rPr>
          <w:rFonts w:ascii="宋体" w:hAnsi="宋体"/>
          <w:kern w:val="0"/>
          <w:sz w:val="24"/>
        </w:rPr>
        <w:t>响应，</w:t>
      </w:r>
      <w:r>
        <w:rPr>
          <w:rFonts w:hint="eastAsia" w:ascii="宋体" w:hAnsi="宋体"/>
          <w:kern w:val="0"/>
          <w:sz w:val="24"/>
          <w:lang w:eastAsia="zh-CN"/>
        </w:rPr>
        <w:t>报价人</w:t>
      </w:r>
      <w:r>
        <w:rPr>
          <w:rFonts w:ascii="宋体" w:hAnsi="宋体"/>
          <w:kern w:val="0"/>
          <w:sz w:val="24"/>
        </w:rPr>
        <w:t>不能通过</w:t>
      </w:r>
      <w:r>
        <w:rPr>
          <w:rFonts w:hint="eastAsia" w:ascii="宋体" w:hAnsi="宋体"/>
          <w:kern w:val="0"/>
          <w:sz w:val="24"/>
        </w:rPr>
        <w:t>修正</w:t>
      </w:r>
      <w:r>
        <w:rPr>
          <w:rFonts w:ascii="宋体" w:hAnsi="宋体"/>
          <w:kern w:val="0"/>
          <w:sz w:val="24"/>
        </w:rPr>
        <w:t>或撤销不符之处而使其成为实质性响应。</w:t>
      </w:r>
    </w:p>
    <w:p w14:paraId="23279084">
      <w:pPr>
        <w:spacing w:line="360" w:lineRule="auto"/>
        <w:ind w:firstLine="482" w:firstLineChars="200"/>
        <w:rPr>
          <w:rFonts w:ascii="宋体" w:hAnsi="宋体"/>
          <w:b/>
          <w:kern w:val="0"/>
          <w:sz w:val="24"/>
        </w:rPr>
      </w:pPr>
      <w:r>
        <w:rPr>
          <w:rFonts w:ascii="宋体" w:hAnsi="宋体"/>
          <w:b/>
          <w:kern w:val="0"/>
          <w:sz w:val="24"/>
        </w:rPr>
        <w:t>4.</w:t>
      </w:r>
      <w:r>
        <w:rPr>
          <w:rFonts w:hint="eastAsia" w:ascii="宋体" w:hAnsi="宋体"/>
          <w:b/>
          <w:kern w:val="0"/>
          <w:sz w:val="24"/>
        </w:rPr>
        <w:t>谈判文件</w:t>
      </w:r>
      <w:r>
        <w:rPr>
          <w:rFonts w:ascii="宋体" w:hAnsi="宋体"/>
          <w:b/>
          <w:kern w:val="0"/>
          <w:sz w:val="24"/>
        </w:rPr>
        <w:t>的澄清</w:t>
      </w:r>
    </w:p>
    <w:p w14:paraId="6FAD59EE">
      <w:pPr>
        <w:spacing w:line="360" w:lineRule="auto"/>
        <w:ind w:firstLine="480" w:firstLineChars="200"/>
        <w:rPr>
          <w:rFonts w:ascii="宋体" w:hAnsi="宋体"/>
          <w:kern w:val="0"/>
          <w:sz w:val="24"/>
        </w:rPr>
      </w:pPr>
      <w:r>
        <w:rPr>
          <w:rFonts w:ascii="宋体" w:hAnsi="宋体"/>
          <w:kern w:val="0"/>
          <w:sz w:val="24"/>
        </w:rPr>
        <w:t>4</w:t>
      </w:r>
      <w:r>
        <w:rPr>
          <w:rFonts w:hint="eastAsia" w:ascii="宋体" w:hAnsi="宋体"/>
          <w:kern w:val="0"/>
          <w:sz w:val="24"/>
        </w:rPr>
        <w:t>.1 为了</w:t>
      </w:r>
      <w:r>
        <w:rPr>
          <w:rFonts w:ascii="宋体" w:hAnsi="宋体"/>
          <w:kern w:val="0"/>
          <w:sz w:val="24"/>
        </w:rPr>
        <w:t>有助于对</w:t>
      </w:r>
      <w:r>
        <w:rPr>
          <w:rFonts w:hint="eastAsia" w:ascii="宋体" w:hAnsi="宋体"/>
          <w:kern w:val="0"/>
          <w:sz w:val="24"/>
        </w:rPr>
        <w:t>谈判文件</w:t>
      </w:r>
      <w:r>
        <w:rPr>
          <w:rFonts w:ascii="宋体" w:hAnsi="宋体"/>
          <w:kern w:val="0"/>
          <w:sz w:val="24"/>
        </w:rPr>
        <w:t>进行审查、评估和比较，</w:t>
      </w:r>
      <w:r>
        <w:rPr>
          <w:rFonts w:hint="eastAsia" w:ascii="宋体" w:hAnsi="宋体"/>
          <w:kern w:val="0"/>
          <w:sz w:val="24"/>
        </w:rPr>
        <w:t>采购人</w:t>
      </w:r>
      <w:r>
        <w:rPr>
          <w:rFonts w:ascii="宋体" w:hAnsi="宋体"/>
          <w:kern w:val="0"/>
          <w:sz w:val="24"/>
        </w:rPr>
        <w:t>有权向</w:t>
      </w:r>
      <w:r>
        <w:rPr>
          <w:rFonts w:hint="eastAsia" w:ascii="宋体" w:hAnsi="宋体"/>
          <w:kern w:val="0"/>
          <w:sz w:val="24"/>
          <w:lang w:eastAsia="zh-CN"/>
        </w:rPr>
        <w:t>报价人</w:t>
      </w:r>
      <w:r>
        <w:rPr>
          <w:rFonts w:ascii="宋体" w:hAnsi="宋体"/>
          <w:kern w:val="0"/>
          <w:sz w:val="24"/>
        </w:rPr>
        <w:t>质疑，请</w:t>
      </w:r>
      <w:r>
        <w:rPr>
          <w:rFonts w:hint="eastAsia" w:ascii="宋体" w:hAnsi="宋体"/>
          <w:kern w:val="0"/>
          <w:sz w:val="24"/>
          <w:lang w:eastAsia="zh-CN"/>
        </w:rPr>
        <w:t>报价人</w:t>
      </w:r>
      <w:r>
        <w:rPr>
          <w:rFonts w:ascii="宋体" w:hAnsi="宋体"/>
          <w:kern w:val="0"/>
          <w:sz w:val="24"/>
        </w:rPr>
        <w:t>以书面形式</w:t>
      </w:r>
      <w:r>
        <w:rPr>
          <w:rFonts w:hint="eastAsia" w:ascii="宋体" w:hAnsi="宋体"/>
          <w:kern w:val="0"/>
          <w:sz w:val="24"/>
        </w:rPr>
        <w:t>澄清其谈判文件</w:t>
      </w:r>
      <w:r>
        <w:rPr>
          <w:rFonts w:ascii="宋体" w:hAnsi="宋体"/>
          <w:kern w:val="0"/>
          <w:sz w:val="24"/>
        </w:rPr>
        <w:t>内容</w:t>
      </w:r>
      <w:r>
        <w:rPr>
          <w:rFonts w:hint="eastAsia" w:ascii="宋体" w:hAnsi="宋体"/>
          <w:kern w:val="0"/>
          <w:sz w:val="24"/>
        </w:rPr>
        <w:t>。</w:t>
      </w:r>
      <w:r>
        <w:rPr>
          <w:rFonts w:hint="eastAsia" w:ascii="宋体" w:hAnsi="宋体"/>
          <w:kern w:val="0"/>
          <w:sz w:val="24"/>
          <w:lang w:eastAsia="zh-CN"/>
        </w:rPr>
        <w:t>报价人</w:t>
      </w:r>
      <w:r>
        <w:rPr>
          <w:rFonts w:hint="eastAsia" w:ascii="宋体" w:hAnsi="宋体"/>
          <w:kern w:val="0"/>
          <w:sz w:val="24"/>
        </w:rPr>
        <w:t>须</w:t>
      </w:r>
      <w:r>
        <w:rPr>
          <w:rFonts w:ascii="宋体" w:hAnsi="宋体"/>
          <w:kern w:val="0"/>
          <w:sz w:val="24"/>
        </w:rPr>
        <w:t>按照</w:t>
      </w:r>
      <w:r>
        <w:rPr>
          <w:rFonts w:hint="eastAsia" w:ascii="宋体" w:hAnsi="宋体"/>
          <w:kern w:val="0"/>
          <w:sz w:val="24"/>
        </w:rPr>
        <w:t>采购人</w:t>
      </w:r>
      <w:r>
        <w:rPr>
          <w:rFonts w:ascii="宋体" w:hAnsi="宋体"/>
          <w:kern w:val="0"/>
          <w:sz w:val="24"/>
        </w:rPr>
        <w:t>通知的时间、地点指派专人进行答疑和澄清。</w:t>
      </w:r>
    </w:p>
    <w:p w14:paraId="055BA4FF">
      <w:pPr>
        <w:spacing w:line="360" w:lineRule="auto"/>
        <w:ind w:firstLine="482" w:firstLineChars="200"/>
        <w:rPr>
          <w:rFonts w:ascii="宋体" w:hAnsi="宋体"/>
          <w:b/>
          <w:kern w:val="0"/>
          <w:sz w:val="24"/>
        </w:rPr>
      </w:pPr>
      <w:r>
        <w:rPr>
          <w:rFonts w:ascii="宋体" w:hAnsi="宋体"/>
          <w:b/>
          <w:kern w:val="0"/>
          <w:sz w:val="24"/>
        </w:rPr>
        <w:t>5.</w:t>
      </w:r>
      <w:r>
        <w:rPr>
          <w:rFonts w:hint="eastAsia" w:ascii="宋体" w:hAnsi="宋体"/>
          <w:b/>
          <w:kern w:val="0"/>
          <w:sz w:val="24"/>
        </w:rPr>
        <w:t>谈判文件</w:t>
      </w:r>
      <w:r>
        <w:rPr>
          <w:rFonts w:ascii="宋体" w:hAnsi="宋体"/>
          <w:b/>
          <w:kern w:val="0"/>
          <w:sz w:val="24"/>
        </w:rPr>
        <w:t>的评估和比较</w:t>
      </w:r>
    </w:p>
    <w:p w14:paraId="33CD063F">
      <w:pPr>
        <w:spacing w:line="360" w:lineRule="auto"/>
        <w:ind w:firstLine="480" w:firstLineChars="200"/>
        <w:rPr>
          <w:rFonts w:ascii="宋体" w:hAnsi="宋体"/>
          <w:kern w:val="0"/>
          <w:sz w:val="24"/>
        </w:rPr>
      </w:pPr>
      <w:r>
        <w:rPr>
          <w:rFonts w:ascii="宋体" w:hAnsi="宋体"/>
          <w:kern w:val="0"/>
          <w:sz w:val="24"/>
        </w:rPr>
        <w:t>5</w:t>
      </w:r>
      <w:r>
        <w:rPr>
          <w:rFonts w:hint="eastAsia" w:ascii="宋体" w:hAnsi="宋体"/>
          <w:kern w:val="0"/>
          <w:sz w:val="24"/>
        </w:rPr>
        <w:t>.1 采购人</w:t>
      </w:r>
      <w:r>
        <w:rPr>
          <w:rFonts w:ascii="宋体" w:hAnsi="宋体"/>
          <w:kern w:val="0"/>
          <w:sz w:val="24"/>
        </w:rPr>
        <w:t>及</w:t>
      </w:r>
      <w:r>
        <w:rPr>
          <w:rFonts w:hint="eastAsia" w:ascii="宋体" w:hAnsi="宋体"/>
          <w:kern w:val="0"/>
          <w:sz w:val="24"/>
        </w:rPr>
        <w:t>评审</w:t>
      </w:r>
      <w:r>
        <w:rPr>
          <w:rFonts w:ascii="宋体" w:hAnsi="宋体"/>
          <w:kern w:val="0"/>
          <w:sz w:val="24"/>
        </w:rPr>
        <w:t>小组</w:t>
      </w:r>
      <w:r>
        <w:rPr>
          <w:rFonts w:hint="eastAsia" w:ascii="宋体" w:hAnsi="宋体"/>
          <w:kern w:val="0"/>
          <w:sz w:val="24"/>
        </w:rPr>
        <w:t>将</w:t>
      </w:r>
      <w:r>
        <w:rPr>
          <w:rFonts w:ascii="宋体" w:hAnsi="宋体"/>
          <w:kern w:val="0"/>
          <w:sz w:val="24"/>
        </w:rPr>
        <w:t>对有效的</w:t>
      </w:r>
      <w:r>
        <w:rPr>
          <w:rFonts w:hint="eastAsia" w:ascii="宋体" w:hAnsi="宋体"/>
          <w:kern w:val="0"/>
          <w:sz w:val="24"/>
        </w:rPr>
        <w:t>谈判文件</w:t>
      </w:r>
      <w:r>
        <w:rPr>
          <w:rFonts w:ascii="宋体" w:hAnsi="宋体"/>
          <w:kern w:val="0"/>
          <w:sz w:val="24"/>
        </w:rPr>
        <w:t>进行评估和比较。</w:t>
      </w:r>
    </w:p>
    <w:p w14:paraId="47A8F61A">
      <w:pPr>
        <w:spacing w:line="360" w:lineRule="auto"/>
        <w:ind w:firstLine="482" w:firstLineChars="200"/>
        <w:rPr>
          <w:rFonts w:ascii="宋体" w:hAnsi="宋体"/>
          <w:b/>
          <w:kern w:val="0"/>
          <w:sz w:val="24"/>
        </w:rPr>
      </w:pPr>
      <w:r>
        <w:rPr>
          <w:rFonts w:ascii="宋体" w:hAnsi="宋体"/>
          <w:b/>
          <w:kern w:val="0"/>
          <w:sz w:val="24"/>
        </w:rPr>
        <w:t>6.</w:t>
      </w:r>
      <w:r>
        <w:rPr>
          <w:rFonts w:hint="eastAsia" w:ascii="宋体" w:hAnsi="宋体"/>
          <w:b/>
          <w:kern w:val="0"/>
          <w:sz w:val="24"/>
        </w:rPr>
        <w:t>评审</w:t>
      </w:r>
      <w:r>
        <w:rPr>
          <w:rFonts w:ascii="宋体" w:hAnsi="宋体"/>
          <w:b/>
          <w:kern w:val="0"/>
          <w:sz w:val="24"/>
        </w:rPr>
        <w:t>原则</w:t>
      </w:r>
      <w:r>
        <w:rPr>
          <w:rFonts w:hint="eastAsia" w:ascii="宋体" w:hAnsi="宋体"/>
          <w:b/>
          <w:kern w:val="0"/>
          <w:sz w:val="24"/>
        </w:rPr>
        <w:t>及</w:t>
      </w:r>
      <w:r>
        <w:rPr>
          <w:rFonts w:ascii="宋体" w:hAnsi="宋体"/>
          <w:b/>
          <w:kern w:val="0"/>
          <w:sz w:val="24"/>
        </w:rPr>
        <w:t>主要方法</w:t>
      </w:r>
    </w:p>
    <w:p w14:paraId="204D38FA">
      <w:pPr>
        <w:spacing w:line="360" w:lineRule="auto"/>
        <w:ind w:firstLine="480" w:firstLineChars="200"/>
        <w:rPr>
          <w:rFonts w:ascii="宋体" w:hAnsi="宋体"/>
          <w:kern w:val="0"/>
          <w:sz w:val="24"/>
        </w:rPr>
      </w:pPr>
      <w:r>
        <w:rPr>
          <w:rFonts w:ascii="宋体" w:hAnsi="宋体"/>
          <w:kern w:val="0"/>
          <w:sz w:val="24"/>
        </w:rPr>
        <w:t>6</w:t>
      </w:r>
      <w:r>
        <w:rPr>
          <w:rFonts w:hint="eastAsia" w:ascii="宋体" w:hAnsi="宋体"/>
          <w:kern w:val="0"/>
          <w:sz w:val="24"/>
        </w:rPr>
        <w:t>.1 评审</w:t>
      </w:r>
      <w:r>
        <w:rPr>
          <w:rFonts w:ascii="宋体" w:hAnsi="宋体"/>
          <w:kern w:val="0"/>
          <w:sz w:val="24"/>
        </w:rPr>
        <w:t>小组将遵循“</w:t>
      </w:r>
      <w:r>
        <w:rPr>
          <w:rFonts w:hint="eastAsia" w:ascii="宋体" w:hAnsi="宋体"/>
          <w:kern w:val="0"/>
          <w:sz w:val="24"/>
        </w:rPr>
        <w:t>公开</w:t>
      </w:r>
      <w:r>
        <w:rPr>
          <w:rFonts w:ascii="宋体" w:hAnsi="宋体"/>
          <w:kern w:val="0"/>
          <w:sz w:val="24"/>
        </w:rPr>
        <w:t>、公平、科学、择优”</w:t>
      </w:r>
      <w:r>
        <w:rPr>
          <w:rFonts w:hint="eastAsia" w:ascii="宋体" w:hAnsi="宋体"/>
          <w:kern w:val="0"/>
          <w:sz w:val="24"/>
        </w:rPr>
        <w:t>的</w:t>
      </w:r>
      <w:r>
        <w:rPr>
          <w:rFonts w:ascii="宋体" w:hAnsi="宋体"/>
          <w:kern w:val="0"/>
          <w:sz w:val="24"/>
        </w:rPr>
        <w:t>原则</w:t>
      </w:r>
      <w:r>
        <w:rPr>
          <w:rFonts w:hint="eastAsia" w:ascii="宋体" w:hAnsi="宋体"/>
          <w:kern w:val="0"/>
          <w:sz w:val="24"/>
        </w:rPr>
        <w:t>。</w:t>
      </w:r>
      <w:r>
        <w:rPr>
          <w:rFonts w:ascii="宋体" w:hAnsi="宋体"/>
          <w:kern w:val="0"/>
          <w:sz w:val="24"/>
        </w:rPr>
        <w:t>对</w:t>
      </w:r>
      <w:r>
        <w:rPr>
          <w:rFonts w:hint="eastAsia" w:ascii="宋体" w:hAnsi="宋体"/>
          <w:kern w:val="0"/>
          <w:sz w:val="24"/>
        </w:rPr>
        <w:t>所有</w:t>
      </w:r>
      <w:r>
        <w:rPr>
          <w:rFonts w:hint="eastAsia" w:ascii="宋体" w:hAnsi="宋体"/>
          <w:kern w:val="0"/>
          <w:sz w:val="24"/>
          <w:lang w:eastAsia="zh-CN"/>
        </w:rPr>
        <w:t>报价人</w:t>
      </w:r>
      <w:r>
        <w:rPr>
          <w:rFonts w:ascii="宋体" w:hAnsi="宋体"/>
          <w:kern w:val="0"/>
          <w:sz w:val="24"/>
        </w:rPr>
        <w:t>的</w:t>
      </w:r>
      <w:r>
        <w:rPr>
          <w:rFonts w:hint="eastAsia" w:ascii="宋体" w:hAnsi="宋体"/>
          <w:kern w:val="0"/>
          <w:sz w:val="24"/>
        </w:rPr>
        <w:t>谈判文件</w:t>
      </w:r>
      <w:r>
        <w:rPr>
          <w:rFonts w:ascii="宋体" w:hAnsi="宋体"/>
          <w:kern w:val="0"/>
          <w:sz w:val="24"/>
        </w:rPr>
        <w:t>评估，都采用</w:t>
      </w:r>
      <w:r>
        <w:rPr>
          <w:rFonts w:hint="eastAsia" w:ascii="宋体" w:hAnsi="宋体"/>
          <w:kern w:val="0"/>
          <w:sz w:val="24"/>
        </w:rPr>
        <w:t>相同</w:t>
      </w:r>
      <w:r>
        <w:rPr>
          <w:rFonts w:ascii="宋体" w:hAnsi="宋体"/>
          <w:kern w:val="0"/>
          <w:sz w:val="24"/>
        </w:rPr>
        <w:t>的程序和标准。</w:t>
      </w:r>
    </w:p>
    <w:p w14:paraId="290F5E56">
      <w:pPr>
        <w:spacing w:line="360" w:lineRule="auto"/>
        <w:ind w:firstLine="480" w:firstLineChars="200"/>
        <w:rPr>
          <w:rFonts w:ascii="宋体" w:hAnsi="宋体"/>
          <w:kern w:val="0"/>
          <w:sz w:val="24"/>
        </w:rPr>
      </w:pPr>
      <w:r>
        <w:rPr>
          <w:rFonts w:ascii="宋体" w:hAnsi="宋体"/>
          <w:kern w:val="0"/>
          <w:sz w:val="24"/>
        </w:rPr>
        <w:t>6</w:t>
      </w:r>
      <w:r>
        <w:rPr>
          <w:rFonts w:hint="eastAsia" w:ascii="宋体" w:hAnsi="宋体"/>
          <w:kern w:val="0"/>
          <w:sz w:val="24"/>
        </w:rPr>
        <w:t>.</w:t>
      </w:r>
      <w:r>
        <w:rPr>
          <w:rFonts w:ascii="宋体" w:hAnsi="宋体"/>
          <w:kern w:val="0"/>
          <w:sz w:val="24"/>
        </w:rPr>
        <w:t xml:space="preserve">2 </w:t>
      </w:r>
      <w:r>
        <w:rPr>
          <w:rFonts w:hint="eastAsia" w:ascii="宋体" w:hAnsi="宋体"/>
          <w:kern w:val="0"/>
          <w:sz w:val="24"/>
        </w:rPr>
        <w:t>评审主要内容</w:t>
      </w:r>
    </w:p>
    <w:p w14:paraId="72960280">
      <w:pPr>
        <w:spacing w:line="360" w:lineRule="auto"/>
        <w:ind w:firstLine="480" w:firstLineChars="200"/>
        <w:rPr>
          <w:rFonts w:ascii="宋体" w:hAnsi="宋体"/>
          <w:kern w:val="0"/>
          <w:sz w:val="24"/>
        </w:rPr>
      </w:pPr>
      <w:r>
        <w:rPr>
          <w:rFonts w:ascii="宋体" w:hAnsi="宋体"/>
          <w:kern w:val="0"/>
          <w:sz w:val="24"/>
        </w:rPr>
        <w:t>6</w:t>
      </w:r>
      <w:r>
        <w:rPr>
          <w:rFonts w:hint="eastAsia" w:ascii="宋体" w:hAnsi="宋体"/>
          <w:kern w:val="0"/>
          <w:sz w:val="24"/>
        </w:rPr>
        <w:t>.</w:t>
      </w:r>
      <w:r>
        <w:rPr>
          <w:rFonts w:ascii="宋体" w:hAnsi="宋体"/>
          <w:kern w:val="0"/>
          <w:sz w:val="24"/>
        </w:rPr>
        <w:t>2</w:t>
      </w:r>
      <w:r>
        <w:rPr>
          <w:rFonts w:hint="eastAsia" w:ascii="宋体" w:hAnsi="宋体"/>
          <w:kern w:val="0"/>
          <w:sz w:val="24"/>
        </w:rPr>
        <w:t>.1 初步</w:t>
      </w:r>
      <w:r>
        <w:rPr>
          <w:rFonts w:ascii="宋体" w:hAnsi="宋体"/>
          <w:kern w:val="0"/>
          <w:sz w:val="24"/>
        </w:rPr>
        <w:t>审查。</w:t>
      </w:r>
      <w:r>
        <w:rPr>
          <w:rFonts w:hint="eastAsia" w:ascii="宋体" w:hAnsi="宋体"/>
          <w:kern w:val="0"/>
          <w:sz w:val="24"/>
        </w:rPr>
        <w:t>初步</w:t>
      </w:r>
      <w:r>
        <w:rPr>
          <w:rFonts w:ascii="宋体" w:hAnsi="宋体"/>
          <w:kern w:val="0"/>
          <w:sz w:val="24"/>
        </w:rPr>
        <w:t>审查</w:t>
      </w:r>
      <w:r>
        <w:rPr>
          <w:rFonts w:hint="eastAsia" w:ascii="宋体" w:hAnsi="宋体"/>
          <w:kern w:val="0"/>
          <w:sz w:val="24"/>
        </w:rPr>
        <w:t>是</w:t>
      </w:r>
      <w:r>
        <w:rPr>
          <w:rFonts w:ascii="宋体" w:hAnsi="宋体"/>
          <w:kern w:val="0"/>
          <w:sz w:val="24"/>
        </w:rPr>
        <w:t>对</w:t>
      </w:r>
      <w:r>
        <w:rPr>
          <w:rFonts w:hint="eastAsia" w:ascii="宋体" w:hAnsi="宋体"/>
          <w:kern w:val="0"/>
          <w:sz w:val="24"/>
        </w:rPr>
        <w:t>谈判文件合格</w:t>
      </w:r>
      <w:r>
        <w:rPr>
          <w:rFonts w:ascii="宋体" w:hAnsi="宋体"/>
          <w:kern w:val="0"/>
          <w:sz w:val="24"/>
        </w:rPr>
        <w:t>性的审查，它所涉及到的主要文件和内容有：“</w:t>
      </w:r>
      <w:r>
        <w:rPr>
          <w:rFonts w:hint="eastAsia" w:ascii="宋体" w:hAnsi="宋体"/>
          <w:kern w:val="0"/>
          <w:sz w:val="24"/>
        </w:rPr>
        <w:t>响应书</w:t>
      </w:r>
      <w:r>
        <w:rPr>
          <w:rFonts w:ascii="宋体" w:hAnsi="宋体"/>
          <w:kern w:val="0"/>
          <w:sz w:val="24"/>
        </w:rPr>
        <w:t>”</w:t>
      </w:r>
      <w:r>
        <w:rPr>
          <w:rFonts w:hint="eastAsia" w:ascii="宋体" w:hAnsi="宋体"/>
          <w:kern w:val="0"/>
          <w:sz w:val="24"/>
        </w:rPr>
        <w:t>的</w:t>
      </w:r>
      <w:r>
        <w:rPr>
          <w:rFonts w:ascii="宋体" w:hAnsi="宋体"/>
          <w:kern w:val="0"/>
          <w:sz w:val="24"/>
        </w:rPr>
        <w:t>内容和签章的</w:t>
      </w:r>
      <w:r>
        <w:rPr>
          <w:rFonts w:hint="eastAsia" w:ascii="宋体" w:hAnsi="宋体"/>
          <w:kern w:val="0"/>
          <w:sz w:val="24"/>
        </w:rPr>
        <w:t>合格性</w:t>
      </w:r>
      <w:r>
        <w:rPr>
          <w:rFonts w:ascii="宋体" w:hAnsi="宋体"/>
          <w:kern w:val="0"/>
          <w:sz w:val="24"/>
        </w:rPr>
        <w:t>； “</w:t>
      </w:r>
      <w:r>
        <w:rPr>
          <w:rFonts w:hint="eastAsia" w:ascii="宋体" w:hAnsi="宋体"/>
          <w:kern w:val="0"/>
          <w:sz w:val="24"/>
        </w:rPr>
        <w:t>营业执照</w:t>
      </w:r>
      <w:r>
        <w:rPr>
          <w:rFonts w:ascii="宋体" w:hAnsi="宋体"/>
          <w:kern w:val="0"/>
          <w:sz w:val="24"/>
        </w:rPr>
        <w:t>”</w:t>
      </w:r>
      <w:r>
        <w:rPr>
          <w:rFonts w:hint="eastAsia" w:ascii="宋体" w:hAnsi="宋体"/>
          <w:kern w:val="0"/>
          <w:sz w:val="24"/>
        </w:rPr>
        <w:t>副本是否真实并加盖公章；</w:t>
      </w:r>
      <w:r>
        <w:rPr>
          <w:rFonts w:ascii="宋体" w:hAnsi="宋体"/>
          <w:kern w:val="0"/>
          <w:sz w:val="24"/>
        </w:rPr>
        <w:t>法人代表或</w:t>
      </w:r>
      <w:r>
        <w:rPr>
          <w:rFonts w:hint="eastAsia" w:ascii="宋体" w:hAnsi="宋体"/>
          <w:kern w:val="0"/>
          <w:sz w:val="24"/>
          <w:lang w:eastAsia="zh-CN"/>
        </w:rPr>
        <w:t>报价人</w:t>
      </w:r>
      <w:r>
        <w:rPr>
          <w:rFonts w:ascii="宋体" w:hAnsi="宋体"/>
          <w:kern w:val="0"/>
          <w:sz w:val="24"/>
        </w:rPr>
        <w:t>代表的</w:t>
      </w:r>
      <w:r>
        <w:rPr>
          <w:rFonts w:hint="eastAsia" w:ascii="宋体" w:hAnsi="宋体"/>
          <w:kern w:val="0"/>
          <w:sz w:val="24"/>
        </w:rPr>
        <w:t>合法性；响应</w:t>
      </w:r>
      <w:r>
        <w:rPr>
          <w:rFonts w:ascii="宋体" w:hAnsi="宋体"/>
          <w:kern w:val="0"/>
          <w:sz w:val="24"/>
        </w:rPr>
        <w:t>报价的</w:t>
      </w:r>
      <w:r>
        <w:rPr>
          <w:rFonts w:hint="eastAsia" w:ascii="宋体" w:hAnsi="宋体"/>
          <w:kern w:val="0"/>
          <w:sz w:val="24"/>
        </w:rPr>
        <w:t>完整性</w:t>
      </w:r>
      <w:r>
        <w:rPr>
          <w:rFonts w:ascii="宋体" w:hAnsi="宋体"/>
          <w:kern w:val="0"/>
          <w:sz w:val="24"/>
        </w:rPr>
        <w:t>。</w:t>
      </w:r>
    </w:p>
    <w:p w14:paraId="272114E7">
      <w:pPr>
        <w:spacing w:line="360" w:lineRule="auto"/>
        <w:ind w:firstLine="480" w:firstLineChars="200"/>
        <w:rPr>
          <w:rFonts w:ascii="宋体" w:hAnsi="宋体"/>
          <w:kern w:val="0"/>
          <w:sz w:val="24"/>
        </w:rPr>
      </w:pPr>
      <w:r>
        <w:rPr>
          <w:rFonts w:ascii="宋体" w:hAnsi="宋体"/>
          <w:kern w:val="0"/>
          <w:sz w:val="24"/>
        </w:rPr>
        <w:t>6</w:t>
      </w:r>
      <w:r>
        <w:rPr>
          <w:rFonts w:hint="eastAsia" w:ascii="宋体" w:hAnsi="宋体"/>
          <w:kern w:val="0"/>
          <w:sz w:val="24"/>
        </w:rPr>
        <w:t>.</w:t>
      </w:r>
      <w:r>
        <w:rPr>
          <w:rFonts w:ascii="宋体" w:hAnsi="宋体"/>
          <w:kern w:val="0"/>
          <w:sz w:val="24"/>
        </w:rPr>
        <w:t>2</w:t>
      </w:r>
      <w:r>
        <w:rPr>
          <w:rFonts w:hint="eastAsia" w:ascii="宋体" w:hAnsi="宋体"/>
          <w:kern w:val="0"/>
          <w:sz w:val="24"/>
        </w:rPr>
        <w:t>.2 资质</w:t>
      </w:r>
      <w:r>
        <w:rPr>
          <w:rFonts w:ascii="宋体" w:hAnsi="宋体"/>
          <w:kern w:val="0"/>
          <w:sz w:val="24"/>
        </w:rPr>
        <w:t>审查。资质审查</w:t>
      </w:r>
      <w:r>
        <w:rPr>
          <w:rFonts w:hint="eastAsia" w:ascii="宋体" w:hAnsi="宋体"/>
          <w:kern w:val="0"/>
          <w:sz w:val="24"/>
        </w:rPr>
        <w:t>是</w:t>
      </w:r>
      <w:r>
        <w:rPr>
          <w:rFonts w:ascii="宋体" w:hAnsi="宋体"/>
          <w:kern w:val="0"/>
          <w:sz w:val="24"/>
        </w:rPr>
        <w:t>对</w:t>
      </w:r>
      <w:r>
        <w:rPr>
          <w:rFonts w:hint="eastAsia" w:ascii="宋体" w:hAnsi="宋体"/>
          <w:kern w:val="0"/>
          <w:sz w:val="24"/>
          <w:lang w:eastAsia="zh-CN"/>
        </w:rPr>
        <w:t>报价人</w:t>
      </w:r>
      <w:r>
        <w:rPr>
          <w:rFonts w:ascii="宋体" w:hAnsi="宋体"/>
          <w:kern w:val="0"/>
          <w:sz w:val="24"/>
        </w:rPr>
        <w:t>资格和业绩合格性的审查，</w:t>
      </w:r>
      <w:r>
        <w:rPr>
          <w:rFonts w:hint="eastAsia" w:ascii="宋体" w:hAnsi="宋体"/>
          <w:kern w:val="0"/>
          <w:sz w:val="24"/>
        </w:rPr>
        <w:t>要求满足</w:t>
      </w:r>
      <w:r>
        <w:rPr>
          <w:rFonts w:ascii="宋体" w:hAnsi="宋体"/>
          <w:kern w:val="0"/>
          <w:sz w:val="24"/>
        </w:rPr>
        <w:t>“</w:t>
      </w:r>
      <w:r>
        <w:rPr>
          <w:rFonts w:hint="eastAsia" w:ascii="宋体" w:hAnsi="宋体"/>
          <w:kern w:val="0"/>
          <w:sz w:val="24"/>
        </w:rPr>
        <w:t>谈判采购公告</w:t>
      </w:r>
      <w:r>
        <w:rPr>
          <w:rFonts w:ascii="宋体" w:hAnsi="宋体"/>
          <w:kern w:val="0"/>
          <w:sz w:val="24"/>
        </w:rPr>
        <w:t>”</w:t>
      </w:r>
      <w:r>
        <w:rPr>
          <w:rFonts w:hint="eastAsia" w:ascii="宋体" w:hAnsi="宋体"/>
          <w:kern w:val="0"/>
          <w:sz w:val="24"/>
        </w:rPr>
        <w:t>中</w:t>
      </w:r>
      <w:r>
        <w:rPr>
          <w:rFonts w:hint="eastAsia" w:ascii="宋体" w:hAnsi="宋体"/>
          <w:kern w:val="0"/>
          <w:sz w:val="24"/>
          <w:lang w:eastAsia="zh-CN"/>
        </w:rPr>
        <w:t>报价人</w:t>
      </w:r>
      <w:r>
        <w:rPr>
          <w:rFonts w:ascii="宋体" w:hAnsi="宋体"/>
          <w:kern w:val="0"/>
          <w:sz w:val="24"/>
        </w:rPr>
        <w:t>须具备的资格条件。</w:t>
      </w:r>
    </w:p>
    <w:p w14:paraId="37E78CD7">
      <w:pPr>
        <w:spacing w:line="360" w:lineRule="auto"/>
        <w:ind w:firstLine="480" w:firstLineChars="200"/>
        <w:rPr>
          <w:rFonts w:ascii="宋体" w:hAnsi="宋体"/>
          <w:kern w:val="0"/>
          <w:sz w:val="24"/>
        </w:rPr>
      </w:pPr>
      <w:r>
        <w:rPr>
          <w:rFonts w:ascii="宋体" w:hAnsi="宋体"/>
          <w:kern w:val="0"/>
          <w:sz w:val="24"/>
        </w:rPr>
        <w:t xml:space="preserve">6.2.3 </w:t>
      </w:r>
      <w:r>
        <w:rPr>
          <w:rFonts w:hint="eastAsia" w:ascii="宋体" w:hAnsi="宋体"/>
          <w:kern w:val="0"/>
          <w:sz w:val="24"/>
        </w:rPr>
        <w:t>综合评分法：（对通过初步审查及资质审查的谈判文件以综合评估的方法予以排序、选定。主要考评因素包括商务和技术两个方面。按照谈判文件要求对各谈判文件进行综合评分。）</w:t>
      </w:r>
    </w:p>
    <w:p w14:paraId="775A9AA1">
      <w:pPr>
        <w:spacing w:line="360" w:lineRule="auto"/>
        <w:ind w:firstLine="480" w:firstLineChars="200"/>
        <w:rPr>
          <w:rFonts w:ascii="宋体" w:hAnsi="宋体"/>
          <w:kern w:val="0"/>
          <w:sz w:val="24"/>
          <w:highlight w:val="none"/>
        </w:rPr>
      </w:pPr>
      <w:r>
        <w:rPr>
          <w:rFonts w:ascii="宋体" w:hAnsi="宋体"/>
          <w:kern w:val="0"/>
          <w:sz w:val="24"/>
          <w:highlight w:val="none"/>
        </w:rPr>
        <w:t xml:space="preserve">6.2.4 </w:t>
      </w:r>
      <w:r>
        <w:rPr>
          <w:rFonts w:hint="eastAsia" w:ascii="宋体" w:hAnsi="宋体"/>
          <w:kern w:val="0"/>
          <w:sz w:val="24"/>
          <w:highlight w:val="none"/>
        </w:rPr>
        <w:t>评分标准：</w:t>
      </w:r>
    </w:p>
    <w:tbl>
      <w:tblPr>
        <w:tblStyle w:val="20"/>
        <w:tblW w:w="94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1"/>
        <w:gridCol w:w="1915"/>
        <w:gridCol w:w="6528"/>
      </w:tblGrid>
      <w:tr w14:paraId="01ED0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atLeast"/>
        </w:trPr>
        <w:tc>
          <w:tcPr>
            <w:tcW w:w="981" w:type="dxa"/>
            <w:vMerge w:val="restart"/>
            <w:textDirection w:val="tbRlV"/>
            <w:vAlign w:val="center"/>
          </w:tcPr>
          <w:p w14:paraId="4CCECF0D">
            <w:pPr>
              <w:snapToGrid w:val="0"/>
              <w:spacing w:line="360" w:lineRule="auto"/>
              <w:jc w:val="center"/>
              <w:rPr>
                <w:rFonts w:ascii="宋体" w:cs="宋体"/>
                <w:color w:val="0000FF"/>
                <w:kern w:val="0"/>
                <w:szCs w:val="21"/>
              </w:rPr>
            </w:pPr>
          </w:p>
        </w:tc>
        <w:tc>
          <w:tcPr>
            <w:tcW w:w="1915" w:type="dxa"/>
            <w:vAlign w:val="center"/>
          </w:tcPr>
          <w:p w14:paraId="34EA07CE">
            <w:pPr>
              <w:jc w:val="both"/>
              <w:rPr>
                <w:color w:val="0000FF"/>
                <w:kern w:val="0"/>
              </w:rPr>
            </w:pPr>
            <w:r>
              <w:rPr>
                <w:rFonts w:hint="eastAsia" w:ascii="宋体" w:hAnsi="宋体"/>
                <w:kern w:val="0"/>
                <w:highlight w:val="none"/>
              </w:rPr>
              <w:t>内容完整性和编制水平</w:t>
            </w:r>
          </w:p>
        </w:tc>
        <w:tc>
          <w:tcPr>
            <w:tcW w:w="6528" w:type="dxa"/>
            <w:vAlign w:val="center"/>
          </w:tcPr>
          <w:p w14:paraId="113A3AC3">
            <w:pPr>
              <w:jc w:val="both"/>
              <w:rPr>
                <w:color w:val="0000FF"/>
              </w:rPr>
            </w:pPr>
            <w:r>
              <w:rPr>
                <w:rFonts w:hint="eastAsia" w:ascii="宋体" w:hAnsi="宋体"/>
                <w:highlight w:val="none"/>
                <w:u w:val="single"/>
              </w:rPr>
              <w:t>0-2</w:t>
            </w:r>
            <w:r>
              <w:rPr>
                <w:rFonts w:ascii="宋体" w:hAnsi="宋体"/>
                <w:highlight w:val="none"/>
              </w:rPr>
              <w:t xml:space="preserve">分 </w:t>
            </w:r>
            <w:r>
              <w:rPr>
                <w:rFonts w:hint="eastAsia" w:ascii="宋体" w:hAnsi="宋体"/>
                <w:highlight w:val="none"/>
              </w:rPr>
              <w:t xml:space="preserve"> </w:t>
            </w:r>
            <w:r>
              <w:rPr>
                <w:rFonts w:ascii="宋体" w:hAnsi="宋体"/>
                <w:highlight w:val="none"/>
              </w:rPr>
              <w:t xml:space="preserve"> 编制要点</w:t>
            </w:r>
            <w:r>
              <w:rPr>
                <w:rFonts w:hint="eastAsia" w:ascii="宋体" w:hAnsi="宋体"/>
                <w:highlight w:val="none"/>
              </w:rPr>
              <w:t>：</w:t>
            </w:r>
            <w:r>
              <w:rPr>
                <w:rFonts w:hint="eastAsia" w:ascii="宋体" w:hAnsi="宋体"/>
                <w:highlight w:val="none"/>
                <w:u w:val="single"/>
              </w:rPr>
              <w:t xml:space="preserve"> 对本工程施工重点、技术关键点的理解和认识，并提供有效的解决方案及措施；</w:t>
            </w:r>
            <w:r>
              <w:rPr>
                <w:rFonts w:hint="eastAsia" w:ascii="宋体" w:hAnsi="宋体" w:cs="宋体"/>
                <w:highlight w:val="none"/>
                <w:u w:val="single"/>
              </w:rPr>
              <w:t>优得1.8分-2.0分，良得1.6分-1.8分（不含），一般得1.2分-1.6分（不含），差得0分-1.2分（不含）。</w:t>
            </w:r>
          </w:p>
        </w:tc>
      </w:tr>
      <w:tr w14:paraId="627F0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atLeast"/>
        </w:trPr>
        <w:tc>
          <w:tcPr>
            <w:tcW w:w="981" w:type="dxa"/>
            <w:vMerge w:val="continue"/>
            <w:textDirection w:val="tbRlV"/>
            <w:vAlign w:val="center"/>
          </w:tcPr>
          <w:p w14:paraId="7CE22FB7">
            <w:pPr>
              <w:snapToGrid w:val="0"/>
              <w:spacing w:line="360" w:lineRule="auto"/>
              <w:jc w:val="center"/>
              <w:rPr>
                <w:rFonts w:ascii="宋体" w:cs="宋体"/>
                <w:color w:val="0000FF"/>
                <w:kern w:val="0"/>
                <w:szCs w:val="21"/>
              </w:rPr>
            </w:pPr>
          </w:p>
        </w:tc>
        <w:tc>
          <w:tcPr>
            <w:tcW w:w="1915" w:type="dxa"/>
            <w:vAlign w:val="center"/>
          </w:tcPr>
          <w:p w14:paraId="0C4D6DDB">
            <w:pPr>
              <w:jc w:val="both"/>
              <w:rPr>
                <w:color w:val="0000FF"/>
                <w:kern w:val="0"/>
              </w:rPr>
            </w:pPr>
            <w:r>
              <w:rPr>
                <w:rFonts w:hint="eastAsia" w:ascii="宋体" w:hAnsi="宋体"/>
                <w:kern w:val="0"/>
                <w:highlight w:val="none"/>
              </w:rPr>
              <w:t>施工方案与技术措施</w:t>
            </w:r>
          </w:p>
        </w:tc>
        <w:tc>
          <w:tcPr>
            <w:tcW w:w="6528" w:type="dxa"/>
            <w:vAlign w:val="center"/>
          </w:tcPr>
          <w:p w14:paraId="117C2408">
            <w:pPr>
              <w:jc w:val="both"/>
              <w:rPr>
                <w:color w:val="0000FF"/>
              </w:rPr>
            </w:pPr>
            <w:r>
              <w:rPr>
                <w:rFonts w:ascii="宋体" w:hAnsi="宋体"/>
                <w:highlight w:val="none"/>
                <w:u w:val="single"/>
              </w:rPr>
              <w:t xml:space="preserve"> </w:t>
            </w:r>
            <w:r>
              <w:rPr>
                <w:rFonts w:hint="eastAsia" w:ascii="宋体" w:hAnsi="宋体"/>
                <w:highlight w:val="none"/>
                <w:u w:val="single"/>
              </w:rPr>
              <w:t xml:space="preserve">  0-3</w:t>
            </w:r>
            <w:r>
              <w:rPr>
                <w:rFonts w:ascii="宋体" w:hAnsi="宋体"/>
                <w:highlight w:val="none"/>
                <w:u w:val="single"/>
              </w:rPr>
              <w:t>　</w:t>
            </w:r>
            <w:r>
              <w:rPr>
                <w:rFonts w:ascii="宋体" w:hAnsi="宋体"/>
                <w:highlight w:val="none"/>
              </w:rPr>
              <w:t>分  编制要点</w:t>
            </w:r>
            <w:r>
              <w:rPr>
                <w:rFonts w:hint="eastAsia" w:ascii="宋体" w:hAnsi="宋体"/>
                <w:highlight w:val="none"/>
              </w:rPr>
              <w:t>：提供安全可靠、科学合理，符合实际的施工方案与技术措施，根据本项目施工内容和施工环境，提供针对本项目的详细专项方案；</w:t>
            </w:r>
            <w:r>
              <w:rPr>
                <w:rFonts w:hint="eastAsia" w:ascii="宋体" w:hAnsi="宋体" w:cs="宋体"/>
                <w:highlight w:val="none"/>
                <w:u w:val="single"/>
              </w:rPr>
              <w:t>优得2.7分-3分，良得2.4分-2.7分（不含），一般得1.8分-2.4分（不含），差得0分-1.8分（不含）。</w:t>
            </w:r>
          </w:p>
        </w:tc>
      </w:tr>
      <w:tr w14:paraId="70613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4" w:hRule="atLeast"/>
        </w:trPr>
        <w:tc>
          <w:tcPr>
            <w:tcW w:w="981" w:type="dxa"/>
            <w:vMerge w:val="continue"/>
            <w:textDirection w:val="tbRlV"/>
            <w:vAlign w:val="center"/>
          </w:tcPr>
          <w:p w14:paraId="7682537A">
            <w:pPr>
              <w:snapToGrid w:val="0"/>
              <w:spacing w:line="360" w:lineRule="auto"/>
              <w:jc w:val="center"/>
              <w:rPr>
                <w:rFonts w:ascii="宋体" w:cs="宋体"/>
                <w:color w:val="0000FF"/>
                <w:kern w:val="0"/>
                <w:szCs w:val="21"/>
              </w:rPr>
            </w:pPr>
          </w:p>
        </w:tc>
        <w:tc>
          <w:tcPr>
            <w:tcW w:w="1915" w:type="dxa"/>
            <w:vAlign w:val="center"/>
          </w:tcPr>
          <w:p w14:paraId="00C974FF">
            <w:pPr>
              <w:jc w:val="both"/>
              <w:rPr>
                <w:color w:val="0000FF"/>
                <w:kern w:val="0"/>
              </w:rPr>
            </w:pPr>
            <w:r>
              <w:rPr>
                <w:rFonts w:ascii="宋体" w:hAnsi="宋体"/>
                <w:kern w:val="0"/>
                <w:highlight w:val="none"/>
              </w:rPr>
              <w:t>质量管理体系与措施</w:t>
            </w:r>
          </w:p>
        </w:tc>
        <w:tc>
          <w:tcPr>
            <w:tcW w:w="6528" w:type="dxa"/>
            <w:vAlign w:val="center"/>
          </w:tcPr>
          <w:p w14:paraId="4B9A0FE9">
            <w:pPr>
              <w:jc w:val="both"/>
              <w:rPr>
                <w:color w:val="0000FF"/>
              </w:rPr>
            </w:pPr>
            <w:r>
              <w:rPr>
                <w:rFonts w:ascii="宋体" w:hAnsi="宋体"/>
                <w:highlight w:val="none"/>
                <w:u w:val="single"/>
              </w:rPr>
              <w:t xml:space="preserve"> </w:t>
            </w:r>
            <w:r>
              <w:rPr>
                <w:rFonts w:hint="eastAsia" w:ascii="宋体" w:hAnsi="宋体"/>
                <w:highlight w:val="none"/>
                <w:u w:val="single"/>
              </w:rPr>
              <w:t xml:space="preserve"> 0-3</w:t>
            </w:r>
            <w:r>
              <w:rPr>
                <w:rFonts w:ascii="宋体" w:hAnsi="宋体"/>
                <w:highlight w:val="none"/>
              </w:rPr>
              <w:t>分  编制要点</w:t>
            </w:r>
            <w:r>
              <w:rPr>
                <w:rFonts w:hint="eastAsia" w:ascii="宋体" w:hAnsi="宋体"/>
                <w:highlight w:val="none"/>
              </w:rPr>
              <w:t>：提供本工程总的质量管理制度，明确具体的、可行的质量管理制度；应至少包含质量目标、质量保证体系、质量管理措施、质量的具体要求</w:t>
            </w:r>
            <w:r>
              <w:rPr>
                <w:rFonts w:hint="eastAsia" w:ascii="宋体" w:hAnsi="宋体" w:cs="宋体"/>
                <w:highlight w:val="none"/>
                <w:u w:val="single"/>
              </w:rPr>
              <w:t>；优得2.7分-3分，良得2.4分-2.7分（不含），一般得1.8分-2.4分（不含），差得0分-1.8分（不含）。</w:t>
            </w:r>
          </w:p>
        </w:tc>
      </w:tr>
      <w:tr w14:paraId="2329C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4" w:hRule="atLeast"/>
        </w:trPr>
        <w:tc>
          <w:tcPr>
            <w:tcW w:w="981" w:type="dxa"/>
            <w:vMerge w:val="continue"/>
            <w:textDirection w:val="tbRlV"/>
            <w:vAlign w:val="center"/>
          </w:tcPr>
          <w:p w14:paraId="0BBCEC1A">
            <w:pPr>
              <w:snapToGrid w:val="0"/>
              <w:spacing w:line="360" w:lineRule="auto"/>
              <w:jc w:val="center"/>
              <w:rPr>
                <w:rFonts w:ascii="宋体" w:cs="宋体"/>
                <w:color w:val="0000FF"/>
                <w:kern w:val="0"/>
                <w:szCs w:val="21"/>
              </w:rPr>
            </w:pPr>
          </w:p>
        </w:tc>
        <w:tc>
          <w:tcPr>
            <w:tcW w:w="1915" w:type="dxa"/>
            <w:vAlign w:val="center"/>
          </w:tcPr>
          <w:p w14:paraId="718A6A2F">
            <w:pPr>
              <w:jc w:val="both"/>
              <w:rPr>
                <w:rFonts w:ascii="宋体" w:hAnsi="宋体"/>
                <w:kern w:val="0"/>
                <w:highlight w:val="none"/>
              </w:rPr>
            </w:pPr>
            <w:r>
              <w:rPr>
                <w:rFonts w:ascii="宋体" w:hAnsi="宋体"/>
                <w:kern w:val="0"/>
                <w:highlight w:val="none"/>
              </w:rPr>
              <w:t>安全管理体系与措施</w:t>
            </w:r>
          </w:p>
        </w:tc>
        <w:tc>
          <w:tcPr>
            <w:tcW w:w="6528" w:type="dxa"/>
            <w:vAlign w:val="center"/>
          </w:tcPr>
          <w:p w14:paraId="23DFEA70">
            <w:pPr>
              <w:snapToGrid w:val="0"/>
              <w:spacing w:line="400" w:lineRule="exact"/>
              <w:rPr>
                <w:rFonts w:ascii="宋体" w:hAnsi="宋体"/>
                <w:highlight w:val="none"/>
              </w:rPr>
            </w:pPr>
            <w:r>
              <w:rPr>
                <w:rFonts w:hint="eastAsia" w:ascii="宋体" w:hAnsi="宋体"/>
                <w:highlight w:val="none"/>
                <w:u w:val="single"/>
              </w:rPr>
              <w:t xml:space="preserve"> 0-3</w:t>
            </w:r>
            <w:r>
              <w:rPr>
                <w:rFonts w:ascii="宋体" w:hAnsi="宋体"/>
                <w:highlight w:val="none"/>
                <w:u w:val="single"/>
              </w:rPr>
              <w:t>分</w:t>
            </w:r>
            <w:r>
              <w:rPr>
                <w:rFonts w:ascii="宋体" w:hAnsi="宋体"/>
                <w:highlight w:val="none"/>
              </w:rPr>
              <w:t xml:space="preserve">   编制要点</w:t>
            </w:r>
            <w:r>
              <w:rPr>
                <w:rFonts w:hint="eastAsia" w:ascii="宋体" w:hAnsi="宋体"/>
                <w:highlight w:val="none"/>
              </w:rPr>
              <w:t xml:space="preserve">：（1）提供本项目安全管理制度，明确具体的、可行的安全管理制度，应至少包含安全目标、安全管理体系、安全保证措施、劳动安全措施、交通安全措施； </w:t>
            </w:r>
          </w:p>
          <w:p w14:paraId="4319E575">
            <w:pPr>
              <w:jc w:val="both"/>
              <w:rPr>
                <w:rFonts w:ascii="宋体" w:hAnsi="宋体"/>
                <w:highlight w:val="none"/>
                <w:u w:val="single"/>
              </w:rPr>
            </w:pPr>
            <w:r>
              <w:rPr>
                <w:rFonts w:hint="eastAsia" w:ascii="宋体" w:hAnsi="宋体"/>
                <w:highlight w:val="none"/>
              </w:rPr>
              <w:t>根据本项目施工内容和施工环境重点识别安全风险点，并制定相对应的措施；</w:t>
            </w:r>
            <w:r>
              <w:rPr>
                <w:rFonts w:hint="eastAsia" w:ascii="宋体" w:hAnsi="宋体" w:cs="宋体"/>
                <w:highlight w:val="none"/>
                <w:u w:val="single"/>
              </w:rPr>
              <w:t>优得2.7分-3分，良得2.4分-2.7分（不含），一般得1.8分-2.4分（不含），差得0分-1.8分（不含）。</w:t>
            </w:r>
          </w:p>
        </w:tc>
      </w:tr>
      <w:tr w14:paraId="1D6B6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4" w:hRule="atLeast"/>
        </w:trPr>
        <w:tc>
          <w:tcPr>
            <w:tcW w:w="981" w:type="dxa"/>
            <w:vMerge w:val="continue"/>
            <w:textDirection w:val="tbRlV"/>
            <w:vAlign w:val="center"/>
          </w:tcPr>
          <w:p w14:paraId="13FE817D">
            <w:pPr>
              <w:snapToGrid w:val="0"/>
              <w:spacing w:line="360" w:lineRule="auto"/>
              <w:jc w:val="center"/>
              <w:rPr>
                <w:rFonts w:ascii="宋体" w:cs="宋体"/>
                <w:color w:val="0000FF"/>
                <w:kern w:val="0"/>
                <w:szCs w:val="21"/>
              </w:rPr>
            </w:pPr>
          </w:p>
        </w:tc>
        <w:tc>
          <w:tcPr>
            <w:tcW w:w="1915" w:type="dxa"/>
            <w:vAlign w:val="center"/>
          </w:tcPr>
          <w:p w14:paraId="1157D699">
            <w:pPr>
              <w:jc w:val="both"/>
              <w:rPr>
                <w:rFonts w:ascii="宋体" w:hAnsi="宋体"/>
                <w:kern w:val="0"/>
                <w:highlight w:val="none"/>
              </w:rPr>
            </w:pPr>
            <w:r>
              <w:rPr>
                <w:rFonts w:ascii="宋体" w:hAnsi="宋体"/>
                <w:kern w:val="0"/>
                <w:highlight w:val="none"/>
              </w:rPr>
              <w:t>环境保护管理体系</w:t>
            </w:r>
            <w:r>
              <w:rPr>
                <w:rFonts w:hint="eastAsia" w:ascii="宋体" w:hAnsi="宋体"/>
                <w:kern w:val="0"/>
                <w:highlight w:val="none"/>
              </w:rPr>
              <w:t>与</w:t>
            </w:r>
            <w:r>
              <w:rPr>
                <w:rFonts w:ascii="宋体" w:hAnsi="宋体"/>
                <w:kern w:val="0"/>
                <w:highlight w:val="none"/>
              </w:rPr>
              <w:t>措施</w:t>
            </w:r>
          </w:p>
        </w:tc>
        <w:tc>
          <w:tcPr>
            <w:tcW w:w="6528" w:type="dxa"/>
            <w:vAlign w:val="center"/>
          </w:tcPr>
          <w:p w14:paraId="77E6D10D">
            <w:pPr>
              <w:snapToGrid w:val="0"/>
              <w:spacing w:line="400" w:lineRule="exact"/>
              <w:rPr>
                <w:rFonts w:ascii="宋体" w:hAnsi="宋体"/>
                <w:highlight w:val="none"/>
                <w:u w:val="single"/>
              </w:rPr>
            </w:pPr>
            <w:r>
              <w:rPr>
                <w:rFonts w:hint="eastAsia" w:ascii="宋体" w:hAnsi="宋体"/>
                <w:highlight w:val="none"/>
                <w:u w:val="single"/>
              </w:rPr>
              <w:t xml:space="preserve"> 0-2 </w:t>
            </w:r>
            <w:r>
              <w:rPr>
                <w:rFonts w:ascii="宋体" w:hAnsi="宋体"/>
                <w:highlight w:val="none"/>
              </w:rPr>
              <w:t>分   编制要点</w:t>
            </w:r>
            <w:r>
              <w:rPr>
                <w:rFonts w:hint="eastAsia" w:ascii="宋体" w:hAnsi="宋体"/>
                <w:highlight w:val="none"/>
              </w:rPr>
              <w:t>：</w:t>
            </w:r>
            <w:r>
              <w:rPr>
                <w:rFonts w:hint="eastAsia" w:ascii="宋体" w:hAnsi="宋体"/>
                <w:highlight w:val="none"/>
                <w:u w:val="single"/>
              </w:rPr>
              <w:t xml:space="preserve"> （1）提供本项目环境保护管理制度，明确具体的、可行的安全管理制度；应至少包含环境保护机构、环境保护目标、环境保护措施、环境保护体系；</w:t>
            </w:r>
          </w:p>
          <w:p w14:paraId="22827E2F">
            <w:pPr>
              <w:jc w:val="both"/>
              <w:rPr>
                <w:rFonts w:ascii="宋体" w:hAnsi="宋体"/>
                <w:highlight w:val="none"/>
                <w:u w:val="single"/>
              </w:rPr>
            </w:pPr>
            <w:r>
              <w:rPr>
                <w:rFonts w:hint="eastAsia" w:ascii="宋体" w:hAnsi="宋体"/>
                <w:highlight w:val="none"/>
                <w:u w:val="single"/>
              </w:rPr>
              <w:t>（2）根据本项目施工环境和特点识别存在的环境风险点，并制定相对应的控制措施；</w:t>
            </w:r>
            <w:r>
              <w:rPr>
                <w:rFonts w:hint="eastAsia" w:ascii="宋体" w:hAnsi="宋体" w:cs="宋体"/>
                <w:highlight w:val="none"/>
                <w:u w:val="single"/>
              </w:rPr>
              <w:t>优得1.8分-2.0分，良得1.6分-1.8分（不含），一般得1.2分-1.6分（不含），差得0分-1.2分（不含）。</w:t>
            </w:r>
          </w:p>
        </w:tc>
      </w:tr>
      <w:tr w14:paraId="72928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4" w:hRule="atLeast"/>
        </w:trPr>
        <w:tc>
          <w:tcPr>
            <w:tcW w:w="981" w:type="dxa"/>
            <w:vMerge w:val="continue"/>
            <w:textDirection w:val="tbRlV"/>
            <w:vAlign w:val="center"/>
          </w:tcPr>
          <w:p w14:paraId="3E2BA2A7">
            <w:pPr>
              <w:snapToGrid w:val="0"/>
              <w:spacing w:line="360" w:lineRule="auto"/>
              <w:jc w:val="center"/>
              <w:rPr>
                <w:rFonts w:ascii="宋体" w:cs="宋体"/>
                <w:color w:val="0000FF"/>
                <w:kern w:val="0"/>
                <w:szCs w:val="21"/>
              </w:rPr>
            </w:pPr>
          </w:p>
        </w:tc>
        <w:tc>
          <w:tcPr>
            <w:tcW w:w="1915" w:type="dxa"/>
            <w:vAlign w:val="center"/>
          </w:tcPr>
          <w:p w14:paraId="5CA942BE">
            <w:pPr>
              <w:jc w:val="both"/>
              <w:rPr>
                <w:rFonts w:ascii="宋体" w:hAnsi="宋体"/>
                <w:kern w:val="0"/>
                <w:highlight w:val="none"/>
              </w:rPr>
            </w:pPr>
            <w:r>
              <w:rPr>
                <w:rFonts w:ascii="宋体" w:hAnsi="宋体"/>
                <w:kern w:val="0"/>
                <w:highlight w:val="none"/>
              </w:rPr>
              <w:t>工程进度计划与措施</w:t>
            </w:r>
          </w:p>
        </w:tc>
        <w:tc>
          <w:tcPr>
            <w:tcW w:w="6528" w:type="dxa"/>
            <w:vAlign w:val="center"/>
          </w:tcPr>
          <w:p w14:paraId="64F56079">
            <w:pPr>
              <w:snapToGrid w:val="0"/>
              <w:spacing w:line="400" w:lineRule="exact"/>
              <w:rPr>
                <w:rFonts w:ascii="宋体" w:hAnsi="宋体"/>
                <w:highlight w:val="none"/>
                <w:u w:val="single"/>
              </w:rPr>
            </w:pPr>
            <w:r>
              <w:rPr>
                <w:rFonts w:hint="eastAsia" w:ascii="宋体" w:hAnsi="宋体"/>
                <w:highlight w:val="none"/>
                <w:u w:val="single"/>
              </w:rPr>
              <w:t xml:space="preserve"> 0-5</w:t>
            </w:r>
            <w:r>
              <w:rPr>
                <w:rFonts w:ascii="宋体" w:hAnsi="宋体"/>
                <w:highlight w:val="none"/>
              </w:rPr>
              <w:t>分   编制要点</w:t>
            </w:r>
            <w:r>
              <w:rPr>
                <w:rFonts w:hint="eastAsia" w:ascii="宋体" w:hAnsi="宋体"/>
                <w:highlight w:val="none"/>
              </w:rPr>
              <w:t>：</w:t>
            </w:r>
            <w:r>
              <w:rPr>
                <w:rFonts w:hint="eastAsia" w:ascii="宋体" w:hAnsi="宋体"/>
                <w:highlight w:val="none"/>
                <w:u w:val="single"/>
              </w:rPr>
              <w:t xml:space="preserve">（1）以网络图形式编制工期计划；提供总施工进度计划、工期保障具体措施、赶工措施； </w:t>
            </w:r>
          </w:p>
          <w:p w14:paraId="0E829673">
            <w:pPr>
              <w:jc w:val="both"/>
              <w:rPr>
                <w:rFonts w:ascii="宋体" w:hAnsi="宋体"/>
                <w:highlight w:val="none"/>
                <w:u w:val="single"/>
              </w:rPr>
            </w:pPr>
            <w:r>
              <w:rPr>
                <w:rFonts w:hint="eastAsia" w:ascii="宋体" w:hAnsi="宋体"/>
                <w:highlight w:val="none"/>
                <w:u w:val="single"/>
              </w:rPr>
              <w:t>（2）提供节点工期的详细进度计划和保障措施；</w:t>
            </w:r>
            <w:r>
              <w:rPr>
                <w:rFonts w:hint="eastAsia" w:ascii="宋体" w:hAnsi="宋体" w:cs="宋体"/>
                <w:highlight w:val="none"/>
                <w:u w:val="single"/>
              </w:rPr>
              <w:t>优得4.5分-5.0分，良得4.0分-4.5分（不含），一般得3.0分-4.0分（不含），差得0分-3.0分（不含）。</w:t>
            </w:r>
          </w:p>
        </w:tc>
      </w:tr>
      <w:tr w14:paraId="1F914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4" w:hRule="atLeast"/>
        </w:trPr>
        <w:tc>
          <w:tcPr>
            <w:tcW w:w="981" w:type="dxa"/>
            <w:vMerge w:val="continue"/>
            <w:textDirection w:val="tbRlV"/>
            <w:vAlign w:val="center"/>
          </w:tcPr>
          <w:p w14:paraId="06270990">
            <w:pPr>
              <w:snapToGrid w:val="0"/>
              <w:spacing w:line="360" w:lineRule="auto"/>
              <w:jc w:val="center"/>
              <w:rPr>
                <w:rFonts w:ascii="宋体" w:cs="宋体"/>
                <w:color w:val="0000FF"/>
                <w:kern w:val="0"/>
                <w:szCs w:val="21"/>
              </w:rPr>
            </w:pPr>
          </w:p>
        </w:tc>
        <w:tc>
          <w:tcPr>
            <w:tcW w:w="1915" w:type="dxa"/>
            <w:vAlign w:val="center"/>
          </w:tcPr>
          <w:p w14:paraId="56E772C5">
            <w:pPr>
              <w:jc w:val="both"/>
              <w:rPr>
                <w:rFonts w:ascii="宋体" w:hAnsi="宋体"/>
                <w:kern w:val="0"/>
                <w:highlight w:val="none"/>
              </w:rPr>
            </w:pPr>
            <w:r>
              <w:rPr>
                <w:rFonts w:ascii="宋体" w:hAnsi="宋体"/>
                <w:kern w:val="0"/>
                <w:highlight w:val="none"/>
              </w:rPr>
              <w:t>资源配备计划与先进性</w:t>
            </w:r>
          </w:p>
        </w:tc>
        <w:tc>
          <w:tcPr>
            <w:tcW w:w="6528" w:type="dxa"/>
            <w:vAlign w:val="center"/>
          </w:tcPr>
          <w:p w14:paraId="5F3EF85C">
            <w:pPr>
              <w:jc w:val="both"/>
              <w:rPr>
                <w:rFonts w:ascii="宋体" w:hAnsi="宋体"/>
                <w:highlight w:val="none"/>
                <w:u w:val="single"/>
              </w:rPr>
            </w:pPr>
            <w:r>
              <w:rPr>
                <w:rFonts w:hint="eastAsia" w:ascii="宋体" w:hAnsi="宋体"/>
                <w:highlight w:val="none"/>
                <w:u w:val="single"/>
              </w:rPr>
              <w:t xml:space="preserve"> 0-2</w:t>
            </w:r>
            <w:r>
              <w:rPr>
                <w:rFonts w:ascii="宋体" w:hAnsi="宋体"/>
                <w:highlight w:val="none"/>
              </w:rPr>
              <w:t>分   编制要点</w:t>
            </w:r>
            <w:r>
              <w:rPr>
                <w:rFonts w:hint="eastAsia" w:ascii="宋体" w:hAnsi="宋体"/>
                <w:highlight w:val="none"/>
              </w:rPr>
              <w:t>：提供人员、材料、机械设备的配置及计划，并编制资源保障措施</w:t>
            </w:r>
            <w:r>
              <w:rPr>
                <w:rFonts w:hint="eastAsia" w:ascii="宋体" w:hAnsi="宋体" w:cs="宋体"/>
                <w:highlight w:val="none"/>
                <w:u w:val="single"/>
              </w:rPr>
              <w:t>；优得1.8分-2.0分，良得1.6分-1.8分（不含），一般得1.2分-1.6分（不含），差得0分-1.2分（不含）。</w:t>
            </w:r>
          </w:p>
        </w:tc>
      </w:tr>
      <w:tr w14:paraId="25579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981" w:type="dxa"/>
            <w:vAlign w:val="center"/>
          </w:tcPr>
          <w:p w14:paraId="47BD4F7C">
            <w:pPr>
              <w:spacing w:line="360" w:lineRule="auto"/>
              <w:jc w:val="center"/>
              <w:rPr>
                <w:rFonts w:ascii="宋体" w:hAnsi="宋体"/>
                <w:color w:val="0000FF"/>
                <w:szCs w:val="21"/>
              </w:rPr>
            </w:pPr>
            <w:r>
              <w:rPr>
                <w:rFonts w:hint="eastAsia" w:ascii="宋体" w:hAnsi="宋体"/>
                <w:color w:val="0000FF"/>
                <w:szCs w:val="21"/>
              </w:rPr>
              <w:t>投标报价评分标准（</w:t>
            </w:r>
            <w:r>
              <w:rPr>
                <w:rFonts w:hint="eastAsia" w:ascii="宋体" w:hAnsi="宋体"/>
                <w:color w:val="0000FF"/>
                <w:szCs w:val="21"/>
                <w:lang w:val="en-US" w:eastAsia="zh-CN"/>
              </w:rPr>
              <w:t>80</w:t>
            </w:r>
            <w:r>
              <w:rPr>
                <w:rFonts w:hint="eastAsia" w:ascii="宋体" w:hAnsi="宋体"/>
                <w:color w:val="0000FF"/>
                <w:szCs w:val="21"/>
              </w:rPr>
              <w:t>分）</w:t>
            </w:r>
          </w:p>
        </w:tc>
        <w:tc>
          <w:tcPr>
            <w:tcW w:w="1915" w:type="dxa"/>
            <w:vAlign w:val="center"/>
          </w:tcPr>
          <w:p w14:paraId="449F29C1">
            <w:pPr>
              <w:spacing w:line="360" w:lineRule="auto"/>
              <w:jc w:val="center"/>
              <w:rPr>
                <w:color w:val="0000FF"/>
              </w:rPr>
            </w:pPr>
            <w:r>
              <w:rPr>
                <w:rFonts w:hint="eastAsia" w:ascii="宋体" w:hAnsi="宋体"/>
                <w:color w:val="0000FF"/>
                <w:szCs w:val="21"/>
              </w:rPr>
              <w:t>投标报价（</w:t>
            </w:r>
            <w:r>
              <w:rPr>
                <w:rFonts w:hint="eastAsia" w:ascii="宋体" w:hAnsi="宋体"/>
                <w:color w:val="0000FF"/>
                <w:szCs w:val="21"/>
                <w:lang w:val="en-US" w:eastAsia="zh-CN"/>
              </w:rPr>
              <w:t>80</w:t>
            </w:r>
            <w:r>
              <w:rPr>
                <w:rFonts w:hint="eastAsia" w:ascii="宋体" w:hAnsi="宋体"/>
                <w:color w:val="0000FF"/>
                <w:szCs w:val="21"/>
              </w:rPr>
              <w:t>分）</w:t>
            </w:r>
          </w:p>
        </w:tc>
        <w:tc>
          <w:tcPr>
            <w:tcW w:w="6528" w:type="dxa"/>
            <w:vAlign w:val="center"/>
          </w:tcPr>
          <w:p w14:paraId="022627CD">
            <w:pPr>
              <w:snapToGrid w:val="0"/>
              <w:spacing w:line="360" w:lineRule="auto"/>
              <w:ind w:firstLine="420" w:firstLineChars="200"/>
              <w:rPr>
                <w:rFonts w:ascii="宋体"/>
                <w:color w:val="0000FF"/>
                <w:szCs w:val="21"/>
              </w:rPr>
            </w:pPr>
            <w:r>
              <w:rPr>
                <w:rFonts w:hint="eastAsia" w:ascii="宋体" w:hAnsi="宋体"/>
                <w:color w:val="0000FF"/>
                <w:szCs w:val="21"/>
              </w:rPr>
              <w:t>所有通过初步评审合格的</w:t>
            </w:r>
            <w:r>
              <w:rPr>
                <w:rFonts w:hint="eastAsia" w:ascii="宋体" w:hAnsi="宋体"/>
                <w:color w:val="0000FF"/>
                <w:szCs w:val="21"/>
                <w:lang w:eastAsia="zh-CN"/>
              </w:rPr>
              <w:t>报价人</w:t>
            </w:r>
            <w:r>
              <w:rPr>
                <w:rFonts w:hint="eastAsia" w:ascii="宋体" w:hAnsi="宋体"/>
                <w:color w:val="0000FF"/>
                <w:szCs w:val="21"/>
              </w:rPr>
              <w:t>的投标报价（取费比例）中去掉六分之一（不能整除的按小数点前整数取整，不足六家报价则不去掉）的最低价和相同家数的最高价后的算术平均值即为投标报价的评标基准价。</w:t>
            </w:r>
          </w:p>
          <w:p w14:paraId="549020A3">
            <w:pPr>
              <w:snapToGrid w:val="0"/>
              <w:spacing w:line="360" w:lineRule="auto"/>
              <w:ind w:firstLine="420" w:firstLineChars="200"/>
              <w:rPr>
                <w:rFonts w:ascii="宋体" w:hAnsi="宋体"/>
                <w:color w:val="0000FF"/>
                <w:szCs w:val="21"/>
              </w:rPr>
            </w:pPr>
            <w:r>
              <w:rPr>
                <w:rFonts w:hint="eastAsia" w:ascii="宋体" w:hAnsi="宋体"/>
                <w:color w:val="0000FF"/>
                <w:szCs w:val="21"/>
              </w:rPr>
              <w:t>所有通过初步评审合格的</w:t>
            </w:r>
            <w:r>
              <w:rPr>
                <w:rFonts w:hint="eastAsia" w:ascii="宋体" w:hAnsi="宋体"/>
                <w:color w:val="0000FF"/>
                <w:szCs w:val="21"/>
                <w:lang w:eastAsia="zh-CN"/>
              </w:rPr>
              <w:t>报价人</w:t>
            </w:r>
            <w:r>
              <w:rPr>
                <w:rFonts w:hint="eastAsia" w:ascii="宋体" w:hAnsi="宋体"/>
                <w:color w:val="0000FF"/>
                <w:szCs w:val="21"/>
              </w:rPr>
              <w:t>的投标报价，得本附表2.2.1规定分值的满分</w:t>
            </w:r>
            <w:r>
              <w:rPr>
                <w:rFonts w:hint="eastAsia" w:ascii="宋体" w:hAnsi="宋体"/>
                <w:color w:val="0000FF"/>
                <w:szCs w:val="21"/>
                <w:lang w:val="en-US" w:eastAsia="zh-CN"/>
              </w:rPr>
              <w:t>80</w:t>
            </w:r>
            <w:r>
              <w:rPr>
                <w:rFonts w:hint="eastAsia" w:ascii="宋体" w:hAnsi="宋体"/>
                <w:color w:val="0000FF"/>
                <w:szCs w:val="21"/>
              </w:rPr>
              <w:t>分。在此基础上，投标报价与评标准基价相比，每增加1%扣</w:t>
            </w:r>
            <w:r>
              <w:rPr>
                <w:rFonts w:ascii="宋体" w:hAnsi="宋体"/>
                <w:color w:val="0000FF"/>
                <w:szCs w:val="21"/>
              </w:rPr>
              <w:t>0.5</w:t>
            </w:r>
            <w:r>
              <w:rPr>
                <w:rFonts w:hint="eastAsia" w:ascii="宋体" w:hAnsi="宋体"/>
                <w:color w:val="0000FF"/>
                <w:szCs w:val="21"/>
              </w:rPr>
              <w:t>分，扣完为止，减少不扣分</w:t>
            </w:r>
            <w:r>
              <w:rPr>
                <w:rFonts w:ascii="宋体" w:hAnsi="宋体"/>
                <w:color w:val="0000FF"/>
                <w:szCs w:val="21"/>
              </w:rPr>
              <w:t>。</w:t>
            </w:r>
          </w:p>
          <w:p w14:paraId="0BE23B4E">
            <w:pPr>
              <w:snapToGrid w:val="0"/>
              <w:spacing w:line="360" w:lineRule="auto"/>
              <w:ind w:firstLine="420" w:firstLineChars="200"/>
              <w:rPr>
                <w:rFonts w:ascii="宋体" w:hAnsi="宋体"/>
                <w:color w:val="0000FF"/>
                <w:szCs w:val="21"/>
              </w:rPr>
            </w:pPr>
            <w:r>
              <w:rPr>
                <w:rFonts w:hint="eastAsia" w:ascii="宋体" w:hAnsi="宋体"/>
                <w:color w:val="0000FF"/>
                <w:szCs w:val="21"/>
              </w:rPr>
              <w:t>按插入法计算得分。</w:t>
            </w:r>
          </w:p>
          <w:p w14:paraId="1B76A333">
            <w:pPr>
              <w:snapToGrid w:val="0"/>
              <w:spacing w:line="360" w:lineRule="auto"/>
              <w:ind w:firstLine="420" w:firstLineChars="200"/>
              <w:rPr>
                <w:rFonts w:ascii="宋体"/>
                <w:color w:val="0000FF"/>
                <w:szCs w:val="21"/>
              </w:rPr>
            </w:pPr>
            <w:r>
              <w:rPr>
                <w:rFonts w:hint="eastAsia" w:ascii="宋体" w:hAnsi="宋体"/>
                <w:color w:val="0000FF"/>
                <w:szCs w:val="21"/>
              </w:rPr>
              <w:t>未参与评标基准价计算的投标报价，仍应参加计算相应分值。</w:t>
            </w:r>
          </w:p>
          <w:p w14:paraId="3614FE42">
            <w:pPr>
              <w:snapToGrid w:val="0"/>
              <w:spacing w:line="360" w:lineRule="auto"/>
              <w:ind w:firstLine="420" w:firstLineChars="200"/>
              <w:rPr>
                <w:rFonts w:ascii="宋体" w:hAnsi="宋体" w:cs="宋体"/>
                <w:color w:val="0000FF"/>
                <w:kern w:val="0"/>
                <w:szCs w:val="21"/>
              </w:rPr>
            </w:pPr>
            <w:r>
              <w:rPr>
                <w:rFonts w:hint="eastAsia" w:ascii="宋体" w:hAnsi="宋体"/>
                <w:color w:val="0000FF"/>
                <w:szCs w:val="21"/>
              </w:rPr>
              <w:t>以上计算取小数点后两位，第三位四舍五入。</w:t>
            </w:r>
          </w:p>
        </w:tc>
      </w:tr>
    </w:tbl>
    <w:p w14:paraId="51330807">
      <w:pPr>
        <w:spacing w:line="360" w:lineRule="auto"/>
        <w:ind w:firstLine="482" w:firstLineChars="200"/>
        <w:rPr>
          <w:rFonts w:ascii="宋体" w:hAnsi="宋体"/>
          <w:b/>
          <w:kern w:val="0"/>
          <w:sz w:val="24"/>
        </w:rPr>
      </w:pPr>
      <w:r>
        <w:rPr>
          <w:rFonts w:ascii="宋体" w:hAnsi="宋体"/>
          <w:b/>
          <w:kern w:val="0"/>
          <w:sz w:val="24"/>
        </w:rPr>
        <w:t>7.</w:t>
      </w:r>
      <w:r>
        <w:rPr>
          <w:rFonts w:hint="eastAsia" w:ascii="宋体" w:hAnsi="宋体"/>
          <w:b/>
          <w:kern w:val="0"/>
          <w:sz w:val="24"/>
        </w:rPr>
        <w:t>保密</w:t>
      </w:r>
    </w:p>
    <w:p w14:paraId="383B95B8">
      <w:pPr>
        <w:spacing w:line="360" w:lineRule="auto"/>
        <w:ind w:firstLine="480" w:firstLineChars="200"/>
        <w:rPr>
          <w:rFonts w:ascii="宋体" w:hAnsi="宋体"/>
          <w:kern w:val="0"/>
          <w:sz w:val="24"/>
        </w:rPr>
      </w:pPr>
      <w:r>
        <w:rPr>
          <w:rFonts w:ascii="宋体" w:hAnsi="宋体"/>
          <w:kern w:val="0"/>
          <w:sz w:val="24"/>
        </w:rPr>
        <w:t>7</w:t>
      </w:r>
      <w:r>
        <w:rPr>
          <w:rFonts w:hint="eastAsia" w:ascii="宋体" w:hAnsi="宋体"/>
          <w:kern w:val="0"/>
          <w:sz w:val="24"/>
        </w:rPr>
        <w:t xml:space="preserve">.1 </w:t>
      </w:r>
      <w:r>
        <w:rPr>
          <w:rFonts w:hint="eastAsia" w:ascii="宋体" w:hAnsi="宋体"/>
          <w:kern w:val="0"/>
          <w:sz w:val="24"/>
          <w:lang w:eastAsia="zh-CN"/>
        </w:rPr>
        <w:t>报价人</w:t>
      </w:r>
      <w:r>
        <w:rPr>
          <w:rFonts w:ascii="宋体" w:hAnsi="宋体"/>
          <w:kern w:val="0"/>
          <w:sz w:val="24"/>
        </w:rPr>
        <w:t>不得以任何方式干扰采购人的</w:t>
      </w:r>
      <w:r>
        <w:rPr>
          <w:rFonts w:hint="eastAsia" w:ascii="宋体" w:hAnsi="宋体"/>
          <w:kern w:val="0"/>
          <w:sz w:val="24"/>
        </w:rPr>
        <w:t>谈判采购</w:t>
      </w:r>
      <w:r>
        <w:rPr>
          <w:rFonts w:ascii="宋体" w:hAnsi="宋体"/>
          <w:kern w:val="0"/>
          <w:sz w:val="24"/>
        </w:rPr>
        <w:t>活动，否则其</w:t>
      </w:r>
      <w:r>
        <w:rPr>
          <w:rFonts w:hint="eastAsia" w:ascii="宋体" w:hAnsi="宋体"/>
          <w:kern w:val="0"/>
          <w:sz w:val="24"/>
        </w:rPr>
        <w:t>谈判文件</w:t>
      </w:r>
      <w:r>
        <w:rPr>
          <w:rFonts w:ascii="宋体" w:hAnsi="宋体"/>
          <w:kern w:val="0"/>
          <w:sz w:val="24"/>
        </w:rPr>
        <w:t>无效并追究其法律责任。</w:t>
      </w:r>
    </w:p>
    <w:p w14:paraId="712A7B49">
      <w:pPr>
        <w:spacing w:line="360" w:lineRule="auto"/>
        <w:ind w:firstLine="482" w:firstLineChars="200"/>
        <w:rPr>
          <w:rFonts w:ascii="宋体" w:hAnsi="宋体"/>
          <w:b/>
          <w:kern w:val="0"/>
          <w:sz w:val="24"/>
        </w:rPr>
      </w:pPr>
      <w:r>
        <w:rPr>
          <w:rFonts w:hint="eastAsia" w:ascii="宋体" w:hAnsi="宋体"/>
          <w:b/>
          <w:kern w:val="0"/>
          <w:sz w:val="24"/>
        </w:rPr>
        <w:t>六</w:t>
      </w:r>
      <w:r>
        <w:rPr>
          <w:rFonts w:ascii="宋体" w:hAnsi="宋体"/>
          <w:b/>
          <w:kern w:val="0"/>
          <w:sz w:val="24"/>
        </w:rPr>
        <w:t>、授予合同</w:t>
      </w:r>
    </w:p>
    <w:p w14:paraId="7F0FC7EE">
      <w:pPr>
        <w:spacing w:line="360" w:lineRule="auto"/>
        <w:ind w:firstLine="482" w:firstLineChars="200"/>
        <w:rPr>
          <w:rFonts w:ascii="宋体" w:hAnsi="宋体"/>
          <w:b/>
          <w:kern w:val="0"/>
          <w:sz w:val="24"/>
        </w:rPr>
      </w:pPr>
      <w:r>
        <w:rPr>
          <w:rFonts w:ascii="宋体" w:hAnsi="宋体"/>
          <w:b/>
          <w:kern w:val="0"/>
          <w:sz w:val="24"/>
        </w:rPr>
        <w:t>1</w:t>
      </w:r>
      <w:r>
        <w:rPr>
          <w:rFonts w:hint="eastAsia" w:ascii="宋体" w:hAnsi="宋体"/>
          <w:b/>
          <w:kern w:val="0"/>
          <w:sz w:val="24"/>
        </w:rPr>
        <w:t>.成交</w:t>
      </w:r>
      <w:r>
        <w:rPr>
          <w:rFonts w:ascii="宋体" w:hAnsi="宋体"/>
          <w:b/>
          <w:kern w:val="0"/>
          <w:sz w:val="24"/>
        </w:rPr>
        <w:t>准则</w:t>
      </w:r>
    </w:p>
    <w:p w14:paraId="391D46FA">
      <w:pPr>
        <w:spacing w:line="360" w:lineRule="auto"/>
        <w:ind w:firstLine="480" w:firstLineChars="200"/>
        <w:rPr>
          <w:rFonts w:ascii="宋体" w:hAnsi="宋体"/>
          <w:kern w:val="0"/>
          <w:sz w:val="24"/>
        </w:rPr>
      </w:pPr>
      <w:r>
        <w:rPr>
          <w:rFonts w:ascii="宋体" w:hAnsi="宋体"/>
          <w:kern w:val="0"/>
          <w:sz w:val="24"/>
        </w:rPr>
        <w:t>1</w:t>
      </w:r>
      <w:r>
        <w:rPr>
          <w:rFonts w:hint="eastAsia" w:ascii="宋体" w:hAnsi="宋体"/>
          <w:kern w:val="0"/>
          <w:sz w:val="24"/>
        </w:rPr>
        <w:t>.1 合同</w:t>
      </w:r>
      <w:r>
        <w:rPr>
          <w:rFonts w:ascii="宋体" w:hAnsi="宋体"/>
          <w:kern w:val="0"/>
          <w:sz w:val="24"/>
        </w:rPr>
        <w:t>将授予其</w:t>
      </w:r>
      <w:r>
        <w:rPr>
          <w:rFonts w:hint="eastAsia" w:ascii="宋体" w:hAnsi="宋体"/>
          <w:kern w:val="0"/>
          <w:sz w:val="24"/>
        </w:rPr>
        <w:t>响应</w:t>
      </w:r>
      <w:r>
        <w:rPr>
          <w:rFonts w:ascii="宋体" w:hAnsi="宋体"/>
          <w:kern w:val="0"/>
          <w:sz w:val="24"/>
        </w:rPr>
        <w:t>符合谈判文件要求、并能圆满地履行合同的、对采购人最为有利的</w:t>
      </w:r>
      <w:r>
        <w:rPr>
          <w:rFonts w:hint="eastAsia" w:ascii="宋体" w:hAnsi="宋体"/>
          <w:kern w:val="0"/>
          <w:sz w:val="24"/>
        </w:rPr>
        <w:t>综合</w:t>
      </w:r>
      <w:r>
        <w:rPr>
          <w:rFonts w:ascii="宋体" w:hAnsi="宋体"/>
          <w:kern w:val="0"/>
          <w:sz w:val="24"/>
        </w:rPr>
        <w:t>评分最高</w:t>
      </w:r>
      <w:r>
        <w:rPr>
          <w:rFonts w:hint="eastAsia" w:ascii="宋体" w:hAnsi="宋体"/>
          <w:kern w:val="0"/>
          <w:sz w:val="24"/>
        </w:rPr>
        <w:t>的</w:t>
      </w:r>
      <w:r>
        <w:rPr>
          <w:rFonts w:hint="eastAsia" w:ascii="宋体" w:hAnsi="宋体"/>
          <w:kern w:val="0"/>
          <w:sz w:val="24"/>
          <w:lang w:eastAsia="zh-CN"/>
        </w:rPr>
        <w:t>报价人</w:t>
      </w:r>
      <w:r>
        <w:rPr>
          <w:rFonts w:ascii="宋体" w:hAnsi="宋体"/>
          <w:kern w:val="0"/>
          <w:sz w:val="24"/>
        </w:rPr>
        <w:t>。</w:t>
      </w:r>
    </w:p>
    <w:p w14:paraId="0C3CE68E">
      <w:pPr>
        <w:spacing w:line="360" w:lineRule="auto"/>
        <w:ind w:firstLine="480" w:firstLineChars="200"/>
        <w:rPr>
          <w:rFonts w:ascii="宋体" w:hAnsi="宋体"/>
          <w:kern w:val="0"/>
          <w:sz w:val="24"/>
        </w:rPr>
      </w:pPr>
      <w:r>
        <w:rPr>
          <w:rFonts w:ascii="宋体" w:hAnsi="宋体"/>
          <w:kern w:val="0"/>
          <w:sz w:val="24"/>
        </w:rPr>
        <w:t xml:space="preserve">1.2 </w:t>
      </w:r>
      <w:r>
        <w:rPr>
          <w:rFonts w:hint="eastAsia" w:ascii="宋体" w:hAnsi="宋体"/>
          <w:kern w:val="0"/>
          <w:sz w:val="24"/>
        </w:rPr>
        <w:t>最低响应</w:t>
      </w:r>
      <w:r>
        <w:rPr>
          <w:rFonts w:ascii="宋体" w:hAnsi="宋体"/>
          <w:kern w:val="0"/>
          <w:sz w:val="24"/>
        </w:rPr>
        <w:t>报价不是被授予合同的</w:t>
      </w:r>
      <w:r>
        <w:rPr>
          <w:rFonts w:hint="eastAsia" w:ascii="宋体" w:hAnsi="宋体"/>
          <w:kern w:val="0"/>
          <w:sz w:val="24"/>
        </w:rPr>
        <w:t>唯一</w:t>
      </w:r>
      <w:r>
        <w:rPr>
          <w:rFonts w:ascii="宋体" w:hAnsi="宋体"/>
          <w:kern w:val="0"/>
          <w:sz w:val="24"/>
        </w:rPr>
        <w:t>条件。</w:t>
      </w:r>
    </w:p>
    <w:p w14:paraId="6EF6C2D6">
      <w:pPr>
        <w:spacing w:line="360" w:lineRule="auto"/>
        <w:ind w:firstLine="480" w:firstLineChars="200"/>
        <w:rPr>
          <w:rFonts w:ascii="宋体" w:hAnsi="宋体"/>
          <w:kern w:val="0"/>
          <w:sz w:val="24"/>
        </w:rPr>
      </w:pPr>
      <w:r>
        <w:rPr>
          <w:rFonts w:ascii="宋体" w:hAnsi="宋体"/>
          <w:kern w:val="0"/>
          <w:sz w:val="24"/>
        </w:rPr>
        <w:t xml:space="preserve">1.3 </w:t>
      </w:r>
      <w:r>
        <w:rPr>
          <w:rFonts w:hint="eastAsia" w:ascii="宋体" w:hAnsi="宋体"/>
          <w:kern w:val="0"/>
          <w:sz w:val="24"/>
        </w:rPr>
        <w:t>《成交</w:t>
      </w:r>
      <w:r>
        <w:rPr>
          <w:rFonts w:ascii="宋体" w:hAnsi="宋体"/>
          <w:kern w:val="0"/>
          <w:sz w:val="24"/>
        </w:rPr>
        <w:t>通知书</w:t>
      </w:r>
      <w:r>
        <w:rPr>
          <w:rFonts w:hint="eastAsia" w:ascii="宋体" w:hAnsi="宋体"/>
          <w:kern w:val="0"/>
          <w:sz w:val="24"/>
        </w:rPr>
        <w:t>》生效</w:t>
      </w:r>
      <w:r>
        <w:rPr>
          <w:rFonts w:ascii="宋体" w:hAnsi="宋体"/>
          <w:kern w:val="0"/>
          <w:sz w:val="24"/>
        </w:rPr>
        <w:t>后，如果已中</w:t>
      </w:r>
      <w:r>
        <w:rPr>
          <w:rFonts w:hint="eastAsia" w:ascii="宋体" w:hAnsi="宋体"/>
          <w:kern w:val="0"/>
          <w:sz w:val="24"/>
        </w:rPr>
        <w:t>选</w:t>
      </w:r>
      <w:r>
        <w:rPr>
          <w:rFonts w:ascii="宋体" w:hAnsi="宋体"/>
          <w:kern w:val="0"/>
          <w:sz w:val="24"/>
        </w:rPr>
        <w:t>的</w:t>
      </w:r>
      <w:r>
        <w:rPr>
          <w:rFonts w:hint="eastAsia" w:ascii="宋体" w:hAnsi="宋体"/>
          <w:kern w:val="0"/>
          <w:sz w:val="24"/>
          <w:lang w:eastAsia="zh-CN"/>
        </w:rPr>
        <w:t>报价人</w:t>
      </w:r>
      <w:r>
        <w:rPr>
          <w:rFonts w:ascii="宋体" w:hAnsi="宋体"/>
          <w:kern w:val="0"/>
          <w:sz w:val="24"/>
        </w:rPr>
        <w:t>不能按</w:t>
      </w:r>
      <w:r>
        <w:rPr>
          <w:rFonts w:hint="eastAsia" w:ascii="宋体" w:hAnsi="宋体"/>
          <w:kern w:val="0"/>
          <w:sz w:val="24"/>
        </w:rPr>
        <w:t>谈判文件</w:t>
      </w:r>
      <w:r>
        <w:rPr>
          <w:rFonts w:ascii="宋体" w:hAnsi="宋体"/>
          <w:kern w:val="0"/>
          <w:sz w:val="24"/>
        </w:rPr>
        <w:t>中</w:t>
      </w:r>
      <w:r>
        <w:rPr>
          <w:rFonts w:hint="eastAsia" w:ascii="宋体" w:hAnsi="宋体"/>
          <w:kern w:val="0"/>
          <w:sz w:val="24"/>
        </w:rPr>
        <w:t>承诺</w:t>
      </w:r>
      <w:r>
        <w:rPr>
          <w:rFonts w:ascii="宋体" w:hAnsi="宋体"/>
          <w:kern w:val="0"/>
          <w:sz w:val="24"/>
        </w:rPr>
        <w:t>的条件履行签约行为，采购人有权在</w:t>
      </w:r>
      <w:r>
        <w:rPr>
          <w:rFonts w:hint="eastAsia" w:ascii="宋体" w:hAnsi="宋体"/>
          <w:kern w:val="0"/>
          <w:sz w:val="24"/>
        </w:rPr>
        <w:t>评审</w:t>
      </w:r>
      <w:r>
        <w:rPr>
          <w:rFonts w:ascii="宋体" w:hAnsi="宋体"/>
          <w:kern w:val="0"/>
          <w:sz w:val="24"/>
        </w:rPr>
        <w:t>小组推荐的合格的</w:t>
      </w:r>
      <w:r>
        <w:rPr>
          <w:rFonts w:hint="eastAsia" w:ascii="宋体" w:hAnsi="宋体"/>
          <w:kern w:val="0"/>
          <w:sz w:val="24"/>
          <w:lang w:eastAsia="zh-CN"/>
        </w:rPr>
        <w:t>报价人</w:t>
      </w:r>
      <w:r>
        <w:rPr>
          <w:rFonts w:hint="eastAsia" w:ascii="宋体" w:hAnsi="宋体"/>
          <w:kern w:val="0"/>
          <w:sz w:val="24"/>
        </w:rPr>
        <w:t>名单</w:t>
      </w:r>
      <w:r>
        <w:rPr>
          <w:rFonts w:ascii="宋体" w:hAnsi="宋体"/>
          <w:kern w:val="0"/>
          <w:sz w:val="24"/>
        </w:rPr>
        <w:t>中选择新的合同</w:t>
      </w:r>
      <w:r>
        <w:rPr>
          <w:rFonts w:hint="eastAsia" w:ascii="宋体" w:hAnsi="宋体"/>
          <w:kern w:val="0"/>
          <w:sz w:val="24"/>
        </w:rPr>
        <w:t>授予</w:t>
      </w:r>
      <w:r>
        <w:rPr>
          <w:rFonts w:ascii="宋体" w:hAnsi="宋体"/>
          <w:kern w:val="0"/>
          <w:sz w:val="24"/>
        </w:rPr>
        <w:t>人。</w:t>
      </w:r>
    </w:p>
    <w:p w14:paraId="2B6E9020">
      <w:pPr>
        <w:spacing w:line="360" w:lineRule="auto"/>
        <w:ind w:firstLine="482" w:firstLineChars="200"/>
        <w:rPr>
          <w:rFonts w:ascii="宋体" w:hAnsi="宋体"/>
          <w:b/>
          <w:kern w:val="0"/>
          <w:sz w:val="24"/>
        </w:rPr>
      </w:pPr>
      <w:r>
        <w:rPr>
          <w:rFonts w:ascii="宋体" w:hAnsi="宋体"/>
          <w:b/>
          <w:kern w:val="0"/>
          <w:sz w:val="24"/>
        </w:rPr>
        <w:t>2.</w:t>
      </w:r>
      <w:r>
        <w:rPr>
          <w:rFonts w:hint="eastAsia" w:ascii="宋体" w:hAnsi="宋体"/>
          <w:b/>
          <w:kern w:val="0"/>
          <w:sz w:val="24"/>
        </w:rPr>
        <w:t>成交</w:t>
      </w:r>
      <w:r>
        <w:rPr>
          <w:rFonts w:ascii="宋体" w:hAnsi="宋体"/>
          <w:b/>
          <w:kern w:val="0"/>
          <w:sz w:val="24"/>
        </w:rPr>
        <w:t>通知</w:t>
      </w:r>
    </w:p>
    <w:p w14:paraId="0D0572CD">
      <w:pPr>
        <w:spacing w:line="360" w:lineRule="auto"/>
        <w:ind w:firstLine="480" w:firstLineChars="200"/>
        <w:rPr>
          <w:rFonts w:ascii="宋体" w:hAnsi="宋体"/>
          <w:kern w:val="0"/>
          <w:sz w:val="24"/>
        </w:rPr>
      </w:pPr>
      <w:r>
        <w:rPr>
          <w:rFonts w:ascii="宋体" w:hAnsi="宋体"/>
          <w:kern w:val="0"/>
          <w:sz w:val="24"/>
        </w:rPr>
        <w:t>2</w:t>
      </w:r>
      <w:r>
        <w:rPr>
          <w:rFonts w:hint="eastAsia" w:ascii="宋体" w:hAnsi="宋体"/>
          <w:kern w:val="0"/>
          <w:sz w:val="24"/>
        </w:rPr>
        <w:t>.1 通过评审</w:t>
      </w:r>
      <w:r>
        <w:rPr>
          <w:rFonts w:ascii="宋体" w:hAnsi="宋体"/>
          <w:kern w:val="0"/>
          <w:sz w:val="24"/>
        </w:rPr>
        <w:t>，确定</w:t>
      </w:r>
      <w:r>
        <w:rPr>
          <w:rFonts w:hint="eastAsia" w:ascii="宋体" w:hAnsi="宋体"/>
          <w:kern w:val="0"/>
          <w:sz w:val="24"/>
        </w:rPr>
        <w:t>成交人</w:t>
      </w:r>
      <w:r>
        <w:rPr>
          <w:rFonts w:ascii="宋体" w:hAnsi="宋体"/>
          <w:kern w:val="0"/>
          <w:sz w:val="24"/>
        </w:rPr>
        <w:t>后，采购人将以书面形式发出《</w:t>
      </w:r>
      <w:r>
        <w:rPr>
          <w:rFonts w:hint="eastAsia" w:ascii="宋体" w:hAnsi="宋体"/>
          <w:kern w:val="0"/>
          <w:sz w:val="24"/>
        </w:rPr>
        <w:t>成交通知书</w:t>
      </w:r>
      <w:r>
        <w:rPr>
          <w:rFonts w:ascii="宋体" w:hAnsi="宋体"/>
          <w:kern w:val="0"/>
          <w:sz w:val="24"/>
        </w:rPr>
        <w:t>》</w:t>
      </w:r>
      <w:r>
        <w:rPr>
          <w:rFonts w:hint="eastAsia" w:ascii="宋体" w:hAnsi="宋体"/>
          <w:kern w:val="0"/>
          <w:sz w:val="24"/>
        </w:rPr>
        <w:t>。</w:t>
      </w:r>
    </w:p>
    <w:p w14:paraId="3D2EE112">
      <w:pPr>
        <w:spacing w:line="360" w:lineRule="auto"/>
        <w:ind w:firstLine="480" w:firstLineChars="200"/>
        <w:rPr>
          <w:rFonts w:ascii="宋体" w:hAnsi="宋体"/>
          <w:kern w:val="0"/>
          <w:sz w:val="24"/>
        </w:rPr>
      </w:pPr>
      <w:r>
        <w:rPr>
          <w:rFonts w:ascii="宋体" w:hAnsi="宋体"/>
          <w:kern w:val="0"/>
          <w:sz w:val="24"/>
        </w:rPr>
        <w:t xml:space="preserve">2.2 </w:t>
      </w:r>
      <w:r>
        <w:rPr>
          <w:rFonts w:hint="eastAsia" w:ascii="宋体" w:hAnsi="宋体"/>
          <w:kern w:val="0"/>
          <w:sz w:val="24"/>
        </w:rPr>
        <w:t>《成交通知书》将</w:t>
      </w:r>
      <w:r>
        <w:rPr>
          <w:rFonts w:ascii="宋体" w:hAnsi="宋体"/>
          <w:kern w:val="0"/>
          <w:sz w:val="24"/>
        </w:rPr>
        <w:t>作为签订合同的依据。</w:t>
      </w:r>
    </w:p>
    <w:p w14:paraId="7D985225">
      <w:pPr>
        <w:spacing w:line="360" w:lineRule="auto"/>
        <w:ind w:firstLine="480" w:firstLineChars="200"/>
        <w:rPr>
          <w:rFonts w:ascii="宋体" w:hAnsi="宋体"/>
          <w:kern w:val="0"/>
          <w:sz w:val="24"/>
        </w:rPr>
      </w:pPr>
      <w:r>
        <w:rPr>
          <w:rFonts w:ascii="宋体" w:hAnsi="宋体"/>
          <w:kern w:val="0"/>
          <w:sz w:val="24"/>
        </w:rPr>
        <w:t xml:space="preserve">2.3 </w:t>
      </w:r>
      <w:r>
        <w:rPr>
          <w:rFonts w:hint="eastAsia" w:ascii="宋体" w:hAnsi="宋体"/>
          <w:kern w:val="0"/>
          <w:sz w:val="24"/>
        </w:rPr>
        <w:t>对</w:t>
      </w:r>
      <w:r>
        <w:rPr>
          <w:rFonts w:ascii="宋体" w:hAnsi="宋体"/>
          <w:kern w:val="0"/>
          <w:sz w:val="24"/>
        </w:rPr>
        <w:t>未中</w:t>
      </w:r>
      <w:r>
        <w:rPr>
          <w:rFonts w:hint="eastAsia" w:ascii="宋体" w:hAnsi="宋体"/>
          <w:kern w:val="0"/>
          <w:sz w:val="24"/>
        </w:rPr>
        <w:t>选</w:t>
      </w:r>
      <w:r>
        <w:rPr>
          <w:rFonts w:ascii="宋体" w:hAnsi="宋体"/>
          <w:kern w:val="0"/>
          <w:sz w:val="24"/>
        </w:rPr>
        <w:t>者，采购人不对未中</w:t>
      </w:r>
      <w:r>
        <w:rPr>
          <w:rFonts w:hint="eastAsia" w:ascii="宋体" w:hAnsi="宋体"/>
          <w:kern w:val="0"/>
          <w:sz w:val="24"/>
        </w:rPr>
        <w:t>选</w:t>
      </w:r>
      <w:r>
        <w:rPr>
          <w:rFonts w:ascii="宋体" w:hAnsi="宋体"/>
          <w:kern w:val="0"/>
          <w:sz w:val="24"/>
        </w:rPr>
        <w:t>原因</w:t>
      </w:r>
      <w:r>
        <w:rPr>
          <w:rFonts w:hint="eastAsia" w:ascii="宋体" w:hAnsi="宋体"/>
          <w:kern w:val="0"/>
          <w:sz w:val="24"/>
        </w:rPr>
        <w:t>做出</w:t>
      </w:r>
      <w:r>
        <w:rPr>
          <w:rFonts w:ascii="宋体" w:hAnsi="宋体"/>
          <w:kern w:val="0"/>
          <w:sz w:val="24"/>
        </w:rPr>
        <w:t>解释</w:t>
      </w:r>
      <w:r>
        <w:rPr>
          <w:rFonts w:hint="eastAsia" w:ascii="宋体" w:hAnsi="宋体"/>
          <w:kern w:val="0"/>
          <w:sz w:val="24"/>
        </w:rPr>
        <w:t>，</w:t>
      </w:r>
      <w:r>
        <w:rPr>
          <w:rFonts w:ascii="宋体" w:hAnsi="宋体"/>
          <w:kern w:val="0"/>
          <w:sz w:val="24"/>
        </w:rPr>
        <w:t>同时亦不退还</w:t>
      </w:r>
      <w:r>
        <w:rPr>
          <w:rFonts w:hint="eastAsia" w:ascii="宋体" w:hAnsi="宋体"/>
          <w:kern w:val="0"/>
          <w:sz w:val="24"/>
        </w:rPr>
        <w:t>谈判文件</w:t>
      </w:r>
      <w:r>
        <w:rPr>
          <w:rFonts w:ascii="宋体" w:hAnsi="宋体"/>
          <w:kern w:val="0"/>
          <w:sz w:val="24"/>
        </w:rPr>
        <w:t>。</w:t>
      </w:r>
    </w:p>
    <w:p w14:paraId="01807339">
      <w:pPr>
        <w:spacing w:line="360" w:lineRule="auto"/>
        <w:ind w:firstLine="482" w:firstLineChars="200"/>
        <w:rPr>
          <w:rFonts w:ascii="宋体" w:hAnsi="宋体"/>
          <w:b/>
          <w:kern w:val="0"/>
          <w:sz w:val="24"/>
        </w:rPr>
      </w:pPr>
      <w:r>
        <w:rPr>
          <w:rFonts w:ascii="宋体" w:hAnsi="宋体"/>
          <w:b/>
          <w:kern w:val="0"/>
          <w:sz w:val="24"/>
        </w:rPr>
        <w:t>3.</w:t>
      </w:r>
      <w:r>
        <w:rPr>
          <w:rFonts w:hint="eastAsia" w:ascii="宋体" w:hAnsi="宋体"/>
          <w:b/>
          <w:kern w:val="0"/>
          <w:sz w:val="24"/>
        </w:rPr>
        <w:t>授予</w:t>
      </w:r>
      <w:r>
        <w:rPr>
          <w:rFonts w:ascii="宋体" w:hAnsi="宋体"/>
          <w:b/>
          <w:kern w:val="0"/>
          <w:sz w:val="24"/>
        </w:rPr>
        <w:t>合同时变更数量的权力</w:t>
      </w:r>
    </w:p>
    <w:p w14:paraId="4CEF827E">
      <w:pPr>
        <w:spacing w:line="360" w:lineRule="auto"/>
        <w:ind w:firstLine="480" w:firstLineChars="200"/>
        <w:rPr>
          <w:rFonts w:ascii="宋体" w:hAnsi="宋体"/>
          <w:kern w:val="0"/>
          <w:sz w:val="24"/>
        </w:rPr>
      </w:pPr>
      <w:r>
        <w:rPr>
          <w:rFonts w:ascii="宋体" w:hAnsi="宋体"/>
          <w:kern w:val="0"/>
          <w:sz w:val="24"/>
        </w:rPr>
        <w:t xml:space="preserve">3.1 </w:t>
      </w:r>
      <w:r>
        <w:rPr>
          <w:rFonts w:hint="eastAsia" w:ascii="宋体" w:hAnsi="宋体"/>
          <w:kern w:val="0"/>
          <w:sz w:val="24"/>
        </w:rPr>
        <w:t>采购人</w:t>
      </w:r>
      <w:r>
        <w:rPr>
          <w:rFonts w:ascii="宋体" w:hAnsi="宋体"/>
          <w:kern w:val="0"/>
          <w:sz w:val="24"/>
        </w:rPr>
        <w:t>在授予合同时有权对谈判文件中规定的服务数量、</w:t>
      </w:r>
      <w:r>
        <w:rPr>
          <w:rFonts w:hint="eastAsia" w:ascii="宋体" w:hAnsi="宋体"/>
          <w:kern w:val="0"/>
          <w:sz w:val="24"/>
        </w:rPr>
        <w:t>内容</w:t>
      </w:r>
      <w:r>
        <w:rPr>
          <w:rFonts w:ascii="宋体" w:hAnsi="宋体"/>
          <w:kern w:val="0"/>
          <w:sz w:val="24"/>
        </w:rPr>
        <w:t>予以增加或减少，或根据</w:t>
      </w:r>
      <w:r>
        <w:rPr>
          <w:rFonts w:hint="eastAsia" w:ascii="宋体" w:hAnsi="宋体"/>
          <w:kern w:val="0"/>
          <w:sz w:val="24"/>
        </w:rPr>
        <w:t>谈判文件</w:t>
      </w:r>
      <w:r>
        <w:rPr>
          <w:rFonts w:ascii="宋体" w:hAnsi="宋体"/>
          <w:kern w:val="0"/>
          <w:sz w:val="24"/>
        </w:rPr>
        <w:t>做具体补充。</w:t>
      </w:r>
    </w:p>
    <w:p w14:paraId="035E8006">
      <w:pPr>
        <w:spacing w:line="360" w:lineRule="auto"/>
        <w:ind w:firstLine="482" w:firstLineChars="200"/>
        <w:rPr>
          <w:rFonts w:ascii="宋体" w:hAnsi="宋体"/>
          <w:b/>
          <w:kern w:val="0"/>
          <w:sz w:val="24"/>
        </w:rPr>
      </w:pPr>
      <w:r>
        <w:rPr>
          <w:rFonts w:ascii="宋体" w:hAnsi="宋体"/>
          <w:b/>
          <w:kern w:val="0"/>
          <w:sz w:val="24"/>
        </w:rPr>
        <w:t>4.</w:t>
      </w:r>
      <w:r>
        <w:rPr>
          <w:rFonts w:hint="eastAsia" w:ascii="宋体" w:hAnsi="宋体"/>
          <w:b/>
          <w:kern w:val="0"/>
          <w:sz w:val="24"/>
        </w:rPr>
        <w:t>签订</w:t>
      </w:r>
      <w:r>
        <w:rPr>
          <w:rFonts w:ascii="宋体" w:hAnsi="宋体"/>
          <w:b/>
          <w:kern w:val="0"/>
          <w:sz w:val="24"/>
        </w:rPr>
        <w:t>合同</w:t>
      </w:r>
    </w:p>
    <w:p w14:paraId="2B3BDC0B">
      <w:pPr>
        <w:spacing w:line="360" w:lineRule="auto"/>
        <w:ind w:firstLine="480" w:firstLineChars="200"/>
        <w:rPr>
          <w:rFonts w:ascii="宋体" w:hAnsi="宋体"/>
          <w:kern w:val="0"/>
          <w:sz w:val="24"/>
        </w:rPr>
      </w:pPr>
      <w:r>
        <w:rPr>
          <w:rFonts w:ascii="宋体" w:hAnsi="宋体"/>
          <w:kern w:val="0"/>
          <w:sz w:val="24"/>
        </w:rPr>
        <w:t>4</w:t>
      </w:r>
      <w:r>
        <w:rPr>
          <w:rFonts w:hint="eastAsia" w:ascii="宋体" w:hAnsi="宋体"/>
          <w:kern w:val="0"/>
          <w:sz w:val="24"/>
        </w:rPr>
        <w:t>.1成交人</w:t>
      </w:r>
      <w:r>
        <w:rPr>
          <w:rFonts w:ascii="宋体" w:hAnsi="宋体"/>
          <w:sz w:val="24"/>
        </w:rPr>
        <w:t>与采购人应在</w:t>
      </w:r>
      <w:r>
        <w:rPr>
          <w:rFonts w:hint="eastAsia" w:ascii="宋体" w:hAnsi="宋体"/>
          <w:sz w:val="24"/>
        </w:rPr>
        <w:t>成交</w:t>
      </w:r>
      <w:r>
        <w:rPr>
          <w:rFonts w:ascii="宋体" w:hAnsi="宋体"/>
          <w:sz w:val="24"/>
        </w:rPr>
        <w:t>通知书发出后</w:t>
      </w:r>
      <w:r>
        <w:rPr>
          <w:rFonts w:hint="eastAsia" w:ascii="宋体" w:hAnsi="宋体"/>
          <w:color w:val="0070C0"/>
          <w:sz w:val="24"/>
        </w:rPr>
        <w:t>15</w:t>
      </w:r>
      <w:r>
        <w:rPr>
          <w:rFonts w:ascii="宋体" w:hAnsi="宋体"/>
          <w:color w:val="0070C0"/>
          <w:sz w:val="24"/>
        </w:rPr>
        <w:t>日</w:t>
      </w:r>
      <w:r>
        <w:rPr>
          <w:rFonts w:ascii="宋体" w:hAnsi="宋体"/>
          <w:sz w:val="24"/>
        </w:rPr>
        <w:t>内签订</w:t>
      </w:r>
      <w:r>
        <w:rPr>
          <w:rFonts w:hint="eastAsia" w:ascii="宋体" w:hAnsi="宋体"/>
          <w:sz w:val="24"/>
        </w:rPr>
        <w:t>书面</w:t>
      </w:r>
      <w:r>
        <w:rPr>
          <w:rFonts w:ascii="宋体" w:hAnsi="宋体"/>
          <w:sz w:val="24"/>
        </w:rPr>
        <w:t>合同</w:t>
      </w:r>
      <w:r>
        <w:rPr>
          <w:rFonts w:ascii="宋体" w:hAnsi="宋体"/>
          <w:kern w:val="0"/>
          <w:sz w:val="24"/>
        </w:rPr>
        <w:t>。</w:t>
      </w:r>
    </w:p>
    <w:p w14:paraId="6153D633">
      <w:pPr>
        <w:spacing w:line="360" w:lineRule="auto"/>
        <w:ind w:firstLine="480" w:firstLineChars="200"/>
        <w:rPr>
          <w:rFonts w:ascii="宋体" w:hAnsi="宋体"/>
          <w:kern w:val="0"/>
          <w:sz w:val="24"/>
        </w:rPr>
      </w:pPr>
      <w:r>
        <w:rPr>
          <w:rFonts w:ascii="宋体" w:hAnsi="宋体"/>
          <w:kern w:val="0"/>
          <w:sz w:val="24"/>
        </w:rPr>
        <w:t>4</w:t>
      </w:r>
      <w:r>
        <w:rPr>
          <w:rFonts w:hint="eastAsia" w:ascii="宋体" w:hAnsi="宋体"/>
          <w:kern w:val="0"/>
          <w:sz w:val="24"/>
        </w:rPr>
        <w:t>.2</w:t>
      </w:r>
      <w:r>
        <w:rPr>
          <w:rFonts w:ascii="宋体" w:hAnsi="宋体"/>
          <w:kern w:val="0"/>
          <w:sz w:val="24"/>
        </w:rPr>
        <w:t xml:space="preserve"> </w:t>
      </w:r>
      <w:r>
        <w:rPr>
          <w:rFonts w:hint="eastAsia" w:ascii="宋体" w:hAnsi="宋体"/>
          <w:sz w:val="24"/>
        </w:rPr>
        <w:t>签订合同的具体事项不仅限于谈判文件的相关内容和事项。</w:t>
      </w:r>
    </w:p>
    <w:p w14:paraId="3561A1C1">
      <w:pPr>
        <w:widowControl/>
        <w:jc w:val="left"/>
        <w:rPr>
          <w:rFonts w:ascii="宋体" w:hAnsi="宋体"/>
          <w:kern w:val="0"/>
          <w:sz w:val="28"/>
          <w:szCs w:val="28"/>
        </w:rPr>
      </w:pPr>
      <w:r>
        <w:rPr>
          <w:rFonts w:ascii="宋体" w:hAnsi="宋体"/>
          <w:kern w:val="0"/>
          <w:sz w:val="24"/>
        </w:rPr>
        <w:t xml:space="preserve">    4.3</w:t>
      </w:r>
      <w:r>
        <w:rPr>
          <w:rFonts w:hint="eastAsia" w:ascii="宋体" w:hAnsi="宋体"/>
          <w:kern w:val="0"/>
          <w:sz w:val="24"/>
        </w:rPr>
        <w:t>《谈判文件》、成交人</w:t>
      </w:r>
      <w:r>
        <w:rPr>
          <w:rFonts w:ascii="宋体" w:hAnsi="宋体"/>
          <w:kern w:val="0"/>
          <w:sz w:val="24"/>
        </w:rPr>
        <w:t>的</w:t>
      </w:r>
      <w:r>
        <w:rPr>
          <w:rFonts w:hint="eastAsia" w:ascii="宋体" w:hAnsi="宋体"/>
          <w:kern w:val="0"/>
          <w:sz w:val="24"/>
        </w:rPr>
        <w:t>谈判文件</w:t>
      </w:r>
      <w:r>
        <w:rPr>
          <w:rFonts w:ascii="宋体" w:hAnsi="宋体"/>
          <w:kern w:val="0"/>
          <w:sz w:val="24"/>
        </w:rPr>
        <w:t>及双方确认的澄清文件等，均为有法律约束力的合同组成的一部分</w:t>
      </w:r>
      <w:r>
        <w:rPr>
          <w:rFonts w:ascii="宋体" w:hAnsi="宋体"/>
          <w:kern w:val="0"/>
          <w:sz w:val="28"/>
          <w:szCs w:val="28"/>
        </w:rPr>
        <w:t>。</w:t>
      </w:r>
    </w:p>
    <w:p w14:paraId="0E1E775C">
      <w:pPr>
        <w:widowControl/>
        <w:jc w:val="center"/>
        <w:rPr>
          <w:rFonts w:ascii="宋体" w:hAnsi="宋体"/>
          <w:kern w:val="0"/>
          <w:sz w:val="28"/>
          <w:szCs w:val="28"/>
        </w:rPr>
      </w:pPr>
    </w:p>
    <w:p w14:paraId="0B108D07">
      <w:pPr>
        <w:widowControl/>
        <w:jc w:val="center"/>
        <w:rPr>
          <w:rFonts w:ascii="宋体" w:hAnsi="宋体"/>
          <w:kern w:val="0"/>
          <w:sz w:val="28"/>
          <w:szCs w:val="28"/>
        </w:rPr>
      </w:pPr>
    </w:p>
    <w:p w14:paraId="2C581C24">
      <w:pPr>
        <w:widowControl/>
        <w:jc w:val="center"/>
        <w:rPr>
          <w:rFonts w:ascii="宋体" w:hAnsi="宋体"/>
          <w:kern w:val="0"/>
          <w:sz w:val="28"/>
          <w:szCs w:val="28"/>
        </w:rPr>
      </w:pPr>
    </w:p>
    <w:p w14:paraId="4D9CEE28">
      <w:pPr>
        <w:widowControl/>
        <w:jc w:val="center"/>
        <w:rPr>
          <w:rFonts w:ascii="宋体" w:hAnsi="宋体"/>
          <w:kern w:val="0"/>
          <w:sz w:val="28"/>
          <w:szCs w:val="28"/>
        </w:rPr>
      </w:pPr>
    </w:p>
    <w:p w14:paraId="4E3AF561">
      <w:pPr>
        <w:widowControl/>
        <w:jc w:val="center"/>
        <w:rPr>
          <w:rFonts w:ascii="宋体" w:hAnsi="宋体"/>
          <w:kern w:val="0"/>
          <w:sz w:val="28"/>
          <w:szCs w:val="28"/>
        </w:rPr>
      </w:pPr>
    </w:p>
    <w:p w14:paraId="20A13E54">
      <w:pPr>
        <w:widowControl/>
        <w:jc w:val="center"/>
        <w:rPr>
          <w:rFonts w:ascii="宋体" w:hAnsi="宋体"/>
          <w:kern w:val="0"/>
          <w:sz w:val="28"/>
          <w:szCs w:val="28"/>
        </w:rPr>
      </w:pPr>
    </w:p>
    <w:p w14:paraId="6D00A5F6">
      <w:pPr>
        <w:widowControl/>
        <w:jc w:val="center"/>
        <w:rPr>
          <w:rFonts w:ascii="宋体" w:hAnsi="宋体"/>
          <w:kern w:val="0"/>
          <w:sz w:val="28"/>
          <w:szCs w:val="28"/>
        </w:rPr>
      </w:pPr>
    </w:p>
    <w:p w14:paraId="15F8BE2E">
      <w:pPr>
        <w:widowControl/>
        <w:jc w:val="center"/>
        <w:rPr>
          <w:rFonts w:ascii="宋体" w:hAnsi="宋体"/>
          <w:kern w:val="0"/>
          <w:sz w:val="28"/>
          <w:szCs w:val="28"/>
        </w:rPr>
      </w:pPr>
    </w:p>
    <w:p w14:paraId="1B4FA313">
      <w:pPr>
        <w:widowControl/>
        <w:jc w:val="center"/>
        <w:rPr>
          <w:rFonts w:ascii="宋体" w:hAnsi="宋体"/>
          <w:kern w:val="0"/>
          <w:sz w:val="28"/>
          <w:szCs w:val="28"/>
        </w:rPr>
      </w:pPr>
    </w:p>
    <w:p w14:paraId="71F29476">
      <w:pPr>
        <w:widowControl/>
        <w:jc w:val="center"/>
        <w:rPr>
          <w:rFonts w:ascii="宋体" w:hAnsi="宋体"/>
          <w:kern w:val="0"/>
          <w:sz w:val="28"/>
          <w:szCs w:val="28"/>
        </w:rPr>
      </w:pPr>
    </w:p>
    <w:p w14:paraId="053D9BB5">
      <w:pPr>
        <w:widowControl/>
        <w:jc w:val="center"/>
        <w:rPr>
          <w:rFonts w:ascii="宋体" w:hAnsi="宋体"/>
          <w:kern w:val="0"/>
          <w:sz w:val="28"/>
          <w:szCs w:val="28"/>
        </w:rPr>
      </w:pPr>
    </w:p>
    <w:p w14:paraId="39B97AE2">
      <w:pPr>
        <w:widowControl/>
        <w:jc w:val="center"/>
        <w:rPr>
          <w:rFonts w:ascii="宋体" w:hAnsi="宋体"/>
          <w:kern w:val="0"/>
          <w:sz w:val="28"/>
          <w:szCs w:val="28"/>
        </w:rPr>
      </w:pPr>
    </w:p>
    <w:p w14:paraId="4DA9113D">
      <w:pPr>
        <w:widowControl/>
        <w:jc w:val="center"/>
        <w:rPr>
          <w:rFonts w:ascii="宋体" w:hAnsi="宋体"/>
          <w:kern w:val="0"/>
          <w:sz w:val="28"/>
          <w:szCs w:val="28"/>
        </w:rPr>
      </w:pPr>
    </w:p>
    <w:p w14:paraId="2CE4F3B3">
      <w:pPr>
        <w:widowControl/>
        <w:jc w:val="center"/>
        <w:rPr>
          <w:rFonts w:ascii="宋体" w:hAnsi="宋体"/>
          <w:kern w:val="0"/>
          <w:sz w:val="28"/>
          <w:szCs w:val="28"/>
        </w:rPr>
      </w:pPr>
    </w:p>
    <w:p w14:paraId="7F4C85AB">
      <w:pPr>
        <w:widowControl/>
        <w:jc w:val="center"/>
        <w:rPr>
          <w:rFonts w:ascii="宋体" w:hAnsi="宋体"/>
          <w:kern w:val="0"/>
          <w:sz w:val="28"/>
          <w:szCs w:val="28"/>
        </w:rPr>
      </w:pPr>
    </w:p>
    <w:p w14:paraId="327881FA">
      <w:pPr>
        <w:widowControl/>
        <w:jc w:val="center"/>
        <w:rPr>
          <w:rFonts w:ascii="宋体" w:hAnsi="宋体"/>
          <w:kern w:val="0"/>
          <w:sz w:val="28"/>
          <w:szCs w:val="28"/>
        </w:rPr>
      </w:pPr>
    </w:p>
    <w:p w14:paraId="2727C98E">
      <w:pPr>
        <w:widowControl/>
        <w:jc w:val="center"/>
        <w:rPr>
          <w:rFonts w:ascii="宋体" w:hAnsi="宋体"/>
          <w:kern w:val="0"/>
          <w:sz w:val="28"/>
          <w:szCs w:val="28"/>
        </w:rPr>
      </w:pPr>
    </w:p>
    <w:p w14:paraId="5734055B">
      <w:pPr>
        <w:widowControl/>
        <w:jc w:val="center"/>
        <w:rPr>
          <w:rFonts w:ascii="宋体" w:hAnsi="宋体"/>
          <w:kern w:val="0"/>
          <w:sz w:val="28"/>
          <w:szCs w:val="28"/>
        </w:rPr>
      </w:pPr>
    </w:p>
    <w:p w14:paraId="30025A3F">
      <w:pPr>
        <w:widowControl/>
        <w:jc w:val="center"/>
        <w:rPr>
          <w:rFonts w:ascii="宋体" w:hAnsi="宋体"/>
          <w:kern w:val="0"/>
          <w:sz w:val="28"/>
          <w:szCs w:val="28"/>
        </w:rPr>
      </w:pPr>
    </w:p>
    <w:p w14:paraId="6B9188AB">
      <w:pPr>
        <w:widowControl/>
        <w:jc w:val="center"/>
        <w:rPr>
          <w:rFonts w:ascii="宋体" w:hAnsi="宋体"/>
          <w:kern w:val="0"/>
          <w:sz w:val="28"/>
          <w:szCs w:val="28"/>
        </w:rPr>
      </w:pPr>
    </w:p>
    <w:p w14:paraId="0CDFC603">
      <w:pPr>
        <w:pStyle w:val="2"/>
        <w:spacing w:before="240" w:beforeLines="100" w:after="360" w:afterLines="150" w:line="276" w:lineRule="auto"/>
        <w:jc w:val="both"/>
        <w:rPr>
          <w:rFonts w:hint="eastAsia" w:ascii="宋体" w:hAnsi="宋体"/>
        </w:rPr>
      </w:pPr>
    </w:p>
    <w:p w14:paraId="08BB818A">
      <w:pPr>
        <w:rPr>
          <w:rFonts w:hint="eastAsia"/>
        </w:rPr>
      </w:pPr>
    </w:p>
    <w:p w14:paraId="7BF2D2D0">
      <w:pPr>
        <w:pStyle w:val="2"/>
        <w:spacing w:before="240" w:beforeLines="100" w:after="360" w:afterLines="150" w:line="276" w:lineRule="auto"/>
        <w:jc w:val="center"/>
        <w:rPr>
          <w:rFonts w:ascii="宋体" w:hAnsi="宋体"/>
          <w:b w:val="0"/>
        </w:rPr>
      </w:pPr>
      <w:r>
        <w:rPr>
          <w:rFonts w:hint="eastAsia" w:ascii="宋体" w:hAnsi="宋体"/>
        </w:rPr>
        <w:t>第四章</w:t>
      </w:r>
      <w:r>
        <w:rPr>
          <w:rFonts w:ascii="宋体" w:hAnsi="宋体"/>
        </w:rPr>
        <w:t xml:space="preserve">  </w:t>
      </w:r>
      <w:r>
        <w:rPr>
          <w:rFonts w:hint="eastAsia" w:ascii="宋体" w:hAnsi="宋体"/>
        </w:rPr>
        <w:t>附件</w:t>
      </w:r>
      <w:r>
        <w:rPr>
          <w:rFonts w:ascii="宋体" w:hAnsi="宋体"/>
        </w:rPr>
        <w:t>—</w:t>
      </w:r>
      <w:r>
        <w:rPr>
          <w:rFonts w:hint="eastAsia" w:ascii="宋体" w:hAnsi="宋体"/>
        </w:rPr>
        <w:t>谈判文件</w:t>
      </w:r>
      <w:r>
        <w:rPr>
          <w:rFonts w:ascii="宋体" w:hAnsi="宋体"/>
        </w:rPr>
        <w:t>格式</w:t>
      </w:r>
    </w:p>
    <w:p w14:paraId="6ABA746B">
      <w:pPr>
        <w:rPr>
          <w:rFonts w:ascii="宋体" w:hAnsi="宋体"/>
          <w:b/>
          <w:kern w:val="0"/>
          <w:sz w:val="24"/>
        </w:rPr>
      </w:pPr>
    </w:p>
    <w:p w14:paraId="68639E09">
      <w:pPr>
        <w:ind w:firstLine="643" w:firstLineChars="200"/>
        <w:jc w:val="center"/>
        <w:rPr>
          <w:rFonts w:ascii="宋体" w:hAnsi="宋体"/>
          <w:b/>
          <w:kern w:val="0"/>
          <w:sz w:val="32"/>
        </w:rPr>
      </w:pPr>
      <w:r>
        <w:rPr>
          <w:rFonts w:hint="eastAsia" w:ascii="宋体" w:hAnsi="宋体"/>
          <w:b/>
          <w:kern w:val="0"/>
          <w:sz w:val="32"/>
        </w:rPr>
        <w:t>附件1 谈判响应书</w:t>
      </w:r>
    </w:p>
    <w:p w14:paraId="787377B0">
      <w:pPr>
        <w:rPr>
          <w:rFonts w:ascii="宋体" w:hAnsi="宋体"/>
          <w:sz w:val="24"/>
        </w:rPr>
      </w:pPr>
    </w:p>
    <w:p w14:paraId="4634AE68">
      <w:pPr>
        <w:rPr>
          <w:rFonts w:ascii="宋体" w:hAnsi="宋体"/>
          <w:sz w:val="24"/>
        </w:rPr>
      </w:pPr>
      <w:r>
        <w:rPr>
          <w:rFonts w:ascii="宋体" w:hAnsi="宋体"/>
          <w:sz w:val="24"/>
        </w:rPr>
        <w:t>致：</w:t>
      </w:r>
      <w:r>
        <w:rPr>
          <w:rFonts w:hint="eastAsia" w:ascii="宋体" w:hAnsi="宋体"/>
          <w:sz w:val="24"/>
          <w:u w:val="single"/>
        </w:rPr>
        <w:t>重庆国际复合材料股份有限公司</w:t>
      </w:r>
    </w:p>
    <w:p w14:paraId="4D5A0398">
      <w:pPr>
        <w:rPr>
          <w:rFonts w:ascii="宋体" w:hAnsi="宋体"/>
          <w:sz w:val="24"/>
        </w:rPr>
      </w:pPr>
    </w:p>
    <w:p w14:paraId="4D3E31F7">
      <w:pPr>
        <w:pStyle w:val="37"/>
        <w:rPr>
          <w:rFonts w:ascii="宋体" w:hAnsi="宋体"/>
          <w:color w:val="auto"/>
        </w:rPr>
      </w:pPr>
      <w:r>
        <w:rPr>
          <w:rFonts w:ascii="宋体" w:hAnsi="宋体"/>
          <w:color w:val="auto"/>
        </w:rPr>
        <w:t>根据贵方</w:t>
      </w:r>
      <w:r>
        <w:rPr>
          <w:rFonts w:hint="eastAsia" w:ascii="宋体" w:hAnsi="宋体"/>
          <w:color w:val="auto"/>
          <w:u w:val="single"/>
        </w:rPr>
        <w:t xml:space="preserve"> </w:t>
      </w:r>
      <w:r>
        <w:rPr>
          <w:rFonts w:ascii="宋体" w:hAnsi="宋体"/>
          <w:color w:val="auto"/>
          <w:kern w:val="0"/>
          <w:u w:val="single"/>
        </w:rPr>
        <w:t xml:space="preserve">        项目</w:t>
      </w:r>
      <w:r>
        <w:rPr>
          <w:rFonts w:hint="eastAsia" w:ascii="宋体" w:hAnsi="宋体"/>
          <w:color w:val="auto"/>
        </w:rPr>
        <w:t>谈判采购</w:t>
      </w:r>
      <w:r>
        <w:rPr>
          <w:rFonts w:ascii="宋体" w:hAnsi="宋体"/>
          <w:color w:val="auto"/>
        </w:rPr>
        <w:t>，</w:t>
      </w:r>
      <w:r>
        <w:rPr>
          <w:rFonts w:hint="eastAsia" w:ascii="宋体" w:hAnsi="宋体"/>
          <w:color w:val="auto"/>
        </w:rPr>
        <w:t>谈判文件</w:t>
      </w:r>
      <w:r>
        <w:rPr>
          <w:rFonts w:ascii="宋体" w:hAnsi="宋体"/>
          <w:color w:val="auto"/>
        </w:rPr>
        <w:t>签字人</w:t>
      </w:r>
      <w:r>
        <w:rPr>
          <w:rFonts w:ascii="宋体" w:hAnsi="宋体"/>
          <w:color w:val="auto"/>
          <w:u w:val="single"/>
        </w:rPr>
        <w:t xml:space="preserve"> （</w:t>
      </w:r>
      <w:r>
        <w:rPr>
          <w:rFonts w:ascii="宋体" w:hAnsi="宋体"/>
          <w:i/>
          <w:color w:val="auto"/>
          <w:u w:val="single"/>
        </w:rPr>
        <w:t>姓名、职务</w:t>
      </w:r>
      <w:r>
        <w:rPr>
          <w:rFonts w:ascii="宋体" w:hAnsi="宋体"/>
          <w:color w:val="auto"/>
          <w:u w:val="single"/>
        </w:rPr>
        <w:t xml:space="preserve">） </w:t>
      </w:r>
      <w:r>
        <w:rPr>
          <w:rFonts w:ascii="宋体" w:hAnsi="宋体"/>
          <w:color w:val="auto"/>
        </w:rPr>
        <w:t>经正式授权并代表</w:t>
      </w:r>
      <w:r>
        <w:rPr>
          <w:rFonts w:ascii="宋体" w:hAnsi="宋体"/>
          <w:color w:val="auto"/>
          <w:u w:val="single"/>
        </w:rPr>
        <w:t>（</w:t>
      </w:r>
      <w:r>
        <w:rPr>
          <w:rFonts w:hint="eastAsia" w:ascii="宋体" w:hAnsi="宋体"/>
          <w:i/>
          <w:color w:val="auto"/>
          <w:u w:val="single"/>
          <w:lang w:eastAsia="zh-CN"/>
        </w:rPr>
        <w:t>报价人</w:t>
      </w:r>
      <w:r>
        <w:rPr>
          <w:rFonts w:ascii="宋体" w:hAnsi="宋体"/>
          <w:i/>
          <w:color w:val="auto"/>
          <w:u w:val="single"/>
        </w:rPr>
        <w:t>名称、地址</w:t>
      </w:r>
      <w:r>
        <w:rPr>
          <w:rFonts w:ascii="宋体" w:hAnsi="宋体"/>
          <w:color w:val="auto"/>
          <w:u w:val="single"/>
        </w:rPr>
        <w:t xml:space="preserve">） </w:t>
      </w:r>
      <w:r>
        <w:rPr>
          <w:rFonts w:ascii="宋体" w:hAnsi="宋体"/>
          <w:color w:val="auto"/>
        </w:rPr>
        <w:t>提交下述</w:t>
      </w:r>
      <w:r>
        <w:rPr>
          <w:rFonts w:hint="eastAsia" w:ascii="宋体" w:hAnsi="宋体"/>
          <w:color w:val="auto"/>
        </w:rPr>
        <w:t>谈判文件</w:t>
      </w:r>
      <w:r>
        <w:rPr>
          <w:rFonts w:ascii="宋体" w:hAnsi="宋体"/>
          <w:color w:val="auto"/>
        </w:rPr>
        <w:t>正本一份、副本</w:t>
      </w:r>
      <w:r>
        <w:rPr>
          <w:rFonts w:hint="eastAsia" w:ascii="宋体" w:hAnsi="宋体"/>
          <w:color w:val="auto"/>
        </w:rPr>
        <w:t>一</w:t>
      </w:r>
      <w:r>
        <w:rPr>
          <w:rFonts w:ascii="宋体" w:hAnsi="宋体"/>
          <w:color w:val="auto"/>
        </w:rPr>
        <w:t>份</w:t>
      </w:r>
      <w:r>
        <w:rPr>
          <w:rFonts w:hint="eastAsia" w:ascii="宋体" w:hAnsi="宋体"/>
          <w:color w:val="auto"/>
        </w:rPr>
        <w:t>及</w:t>
      </w:r>
      <w:r>
        <w:rPr>
          <w:rFonts w:ascii="宋体" w:hAnsi="宋体"/>
          <w:color w:val="auto"/>
        </w:rPr>
        <w:t>电子文件一份</w:t>
      </w:r>
      <w:r>
        <w:rPr>
          <w:rFonts w:hint="eastAsia" w:ascii="宋体" w:hAnsi="宋体"/>
          <w:color w:val="auto"/>
        </w:rPr>
        <w:t>。</w:t>
      </w:r>
    </w:p>
    <w:p w14:paraId="20E8607C">
      <w:pPr>
        <w:pStyle w:val="37"/>
        <w:numPr>
          <w:ilvl w:val="0"/>
          <w:numId w:val="5"/>
        </w:numPr>
        <w:ind w:firstLineChars="0"/>
        <w:rPr>
          <w:rFonts w:ascii="宋体" w:hAnsi="宋体"/>
          <w:color w:val="auto"/>
        </w:rPr>
      </w:pPr>
      <w:r>
        <w:rPr>
          <w:rFonts w:hint="eastAsia" w:ascii="宋体" w:hAnsi="宋体"/>
          <w:color w:val="auto"/>
          <w:lang w:eastAsia="zh-CN"/>
        </w:rPr>
        <w:t>报价人</w:t>
      </w:r>
      <w:r>
        <w:rPr>
          <w:rFonts w:ascii="宋体" w:hAnsi="宋体"/>
          <w:color w:val="auto"/>
        </w:rPr>
        <w:t>基本情况表</w:t>
      </w:r>
    </w:p>
    <w:p w14:paraId="0AB54C08">
      <w:pPr>
        <w:pStyle w:val="37"/>
        <w:numPr>
          <w:ilvl w:val="0"/>
          <w:numId w:val="5"/>
        </w:numPr>
        <w:ind w:firstLineChars="0"/>
        <w:rPr>
          <w:rFonts w:ascii="宋体" w:hAnsi="宋体"/>
          <w:color w:val="auto"/>
        </w:rPr>
      </w:pPr>
      <w:r>
        <w:rPr>
          <w:rFonts w:hint="eastAsia" w:ascii="宋体" w:hAnsi="宋体"/>
          <w:color w:val="auto"/>
          <w:lang w:eastAsia="zh-CN"/>
        </w:rPr>
        <w:t>报价人</w:t>
      </w:r>
      <w:r>
        <w:rPr>
          <w:rFonts w:ascii="宋体" w:hAnsi="宋体"/>
          <w:color w:val="auto"/>
        </w:rPr>
        <w:t>资格证明文件</w:t>
      </w:r>
    </w:p>
    <w:p w14:paraId="78770172">
      <w:pPr>
        <w:pStyle w:val="37"/>
        <w:numPr>
          <w:ilvl w:val="0"/>
          <w:numId w:val="5"/>
        </w:numPr>
        <w:ind w:firstLineChars="0"/>
        <w:rPr>
          <w:rFonts w:ascii="宋体" w:hAnsi="宋体"/>
          <w:color w:val="auto"/>
        </w:rPr>
      </w:pPr>
      <w:r>
        <w:rPr>
          <w:rFonts w:hint="eastAsia" w:ascii="宋体" w:hAnsi="宋体"/>
          <w:color w:val="auto"/>
        </w:rPr>
        <w:t>对</w:t>
      </w:r>
      <w:r>
        <w:rPr>
          <w:rFonts w:ascii="宋体" w:hAnsi="宋体"/>
          <w:color w:val="auto"/>
        </w:rPr>
        <w:t>谈判文件第三</w:t>
      </w:r>
      <w:r>
        <w:rPr>
          <w:rFonts w:hint="eastAsia" w:ascii="宋体" w:hAnsi="宋体"/>
          <w:color w:val="auto"/>
        </w:rPr>
        <w:t>章</w:t>
      </w:r>
      <w:r>
        <w:rPr>
          <w:rFonts w:ascii="宋体" w:hAnsi="宋体"/>
          <w:color w:val="auto"/>
        </w:rPr>
        <w:t>“</w:t>
      </w:r>
      <w:r>
        <w:rPr>
          <w:rFonts w:hint="eastAsia" w:ascii="宋体" w:hAnsi="宋体"/>
          <w:color w:val="auto"/>
          <w:lang w:eastAsia="zh-CN"/>
        </w:rPr>
        <w:t>报价人</w:t>
      </w:r>
      <w:r>
        <w:rPr>
          <w:rFonts w:hint="eastAsia" w:ascii="宋体" w:hAnsi="宋体"/>
          <w:color w:val="auto"/>
        </w:rPr>
        <w:t>须知</w:t>
      </w:r>
      <w:r>
        <w:rPr>
          <w:rFonts w:ascii="宋体" w:hAnsi="宋体"/>
          <w:color w:val="auto"/>
        </w:rPr>
        <w:t>”</w:t>
      </w:r>
      <w:r>
        <w:rPr>
          <w:rFonts w:hint="eastAsia" w:ascii="宋体" w:hAnsi="宋体"/>
          <w:color w:val="auto"/>
        </w:rPr>
        <w:t>的</w:t>
      </w:r>
      <w:r>
        <w:rPr>
          <w:rFonts w:ascii="宋体" w:hAnsi="宋体"/>
          <w:color w:val="auto"/>
        </w:rPr>
        <w:t>响应文件</w:t>
      </w:r>
      <w:r>
        <w:rPr>
          <w:rFonts w:hint="eastAsia" w:ascii="宋体" w:hAnsi="宋体"/>
          <w:color w:val="FF0000"/>
        </w:rPr>
        <w:t xml:space="preserve"> </w:t>
      </w:r>
      <w:r>
        <w:rPr>
          <w:rFonts w:hint="eastAsia" w:ascii="宋体" w:hAnsi="宋体"/>
          <w:color w:val="auto"/>
        </w:rPr>
        <w:t xml:space="preserve">  </w:t>
      </w:r>
    </w:p>
    <w:p w14:paraId="11B01C12">
      <w:pPr>
        <w:pStyle w:val="37"/>
        <w:tabs>
          <w:tab w:val="left" w:pos="780"/>
        </w:tabs>
        <w:ind w:firstLine="0" w:firstLineChars="0"/>
        <w:rPr>
          <w:rFonts w:ascii="宋体" w:hAnsi="宋体"/>
          <w:color w:val="auto"/>
        </w:rPr>
      </w:pPr>
      <w:r>
        <w:rPr>
          <w:rFonts w:hint="eastAsia" w:ascii="宋体" w:hAnsi="宋体"/>
          <w:color w:val="auto"/>
        </w:rPr>
        <w:t>　　据此函</w:t>
      </w:r>
      <w:r>
        <w:rPr>
          <w:rFonts w:ascii="宋体" w:hAnsi="宋体"/>
          <w:color w:val="auto"/>
        </w:rPr>
        <w:t>，</w:t>
      </w:r>
      <w:r>
        <w:rPr>
          <w:rFonts w:hint="eastAsia" w:ascii="宋体" w:hAnsi="宋体"/>
          <w:color w:val="auto"/>
        </w:rPr>
        <w:t>签字</w:t>
      </w:r>
      <w:r>
        <w:rPr>
          <w:rFonts w:ascii="宋体" w:hAnsi="宋体"/>
          <w:color w:val="auto"/>
        </w:rPr>
        <w:t>代表宣布同意如下：</w:t>
      </w:r>
    </w:p>
    <w:p w14:paraId="544E96F6">
      <w:pPr>
        <w:pStyle w:val="37"/>
        <w:tabs>
          <w:tab w:val="left" w:pos="780"/>
        </w:tabs>
        <w:ind w:firstLineChars="0"/>
        <w:rPr>
          <w:rFonts w:ascii="宋体" w:hAnsi="宋体"/>
          <w:color w:val="auto"/>
        </w:rPr>
      </w:pPr>
      <w:r>
        <w:rPr>
          <w:rFonts w:hint="eastAsia" w:ascii="宋体" w:hAnsi="宋体"/>
          <w:color w:val="auto"/>
        </w:rPr>
        <w:t>1、</w:t>
      </w:r>
      <w:r>
        <w:rPr>
          <w:rFonts w:ascii="宋体" w:hAnsi="宋体"/>
          <w:color w:val="auto"/>
        </w:rPr>
        <w:t>按谈判文件要求提交服务方案。</w:t>
      </w:r>
    </w:p>
    <w:p w14:paraId="03DDA5BB">
      <w:pPr>
        <w:pStyle w:val="37"/>
        <w:tabs>
          <w:tab w:val="left" w:pos="780"/>
        </w:tabs>
        <w:ind w:firstLineChars="0"/>
        <w:rPr>
          <w:rFonts w:ascii="宋体" w:hAnsi="宋体"/>
          <w:color w:val="auto"/>
        </w:rPr>
      </w:pPr>
      <w:r>
        <w:rPr>
          <w:rFonts w:hint="eastAsia" w:ascii="宋体" w:hAnsi="宋体"/>
          <w:color w:val="auto"/>
        </w:rPr>
        <w:t>2、</w:t>
      </w:r>
      <w:r>
        <w:rPr>
          <w:rFonts w:hint="eastAsia" w:ascii="宋体" w:hAnsi="宋体"/>
          <w:color w:val="auto"/>
          <w:lang w:eastAsia="zh-CN"/>
        </w:rPr>
        <w:t>报价人</w:t>
      </w:r>
      <w:r>
        <w:rPr>
          <w:rFonts w:ascii="宋体" w:hAnsi="宋体"/>
          <w:color w:val="auto"/>
        </w:rPr>
        <w:t>已详细审查全部谈判文件，包括修改文件（</w:t>
      </w:r>
      <w:r>
        <w:rPr>
          <w:rFonts w:hint="eastAsia" w:ascii="宋体" w:hAnsi="宋体"/>
          <w:color w:val="auto"/>
        </w:rPr>
        <w:t>如有</w:t>
      </w:r>
      <w:r>
        <w:rPr>
          <w:rFonts w:ascii="宋体" w:hAnsi="宋体"/>
          <w:color w:val="auto"/>
        </w:rPr>
        <w:t>的话）</w:t>
      </w:r>
      <w:r>
        <w:rPr>
          <w:rFonts w:hint="eastAsia" w:ascii="宋体" w:hAnsi="宋体"/>
          <w:color w:val="auto"/>
        </w:rPr>
        <w:t>以及</w:t>
      </w:r>
      <w:r>
        <w:rPr>
          <w:rFonts w:ascii="宋体" w:hAnsi="宋体"/>
          <w:color w:val="auto"/>
        </w:rPr>
        <w:t>全部参考资料和有关附件。</w:t>
      </w:r>
      <w:r>
        <w:rPr>
          <w:rFonts w:hint="eastAsia" w:ascii="宋体" w:hAnsi="宋体"/>
          <w:color w:val="auto"/>
        </w:rPr>
        <w:t>我们完全</w:t>
      </w:r>
      <w:r>
        <w:rPr>
          <w:rFonts w:ascii="宋体" w:hAnsi="宋体"/>
          <w:color w:val="auto"/>
        </w:rPr>
        <w:t>理解并同意放弃对</w:t>
      </w:r>
      <w:r>
        <w:rPr>
          <w:rFonts w:hint="eastAsia" w:ascii="宋体" w:hAnsi="宋体"/>
          <w:color w:val="auto"/>
        </w:rPr>
        <w:t>这</w:t>
      </w:r>
      <w:r>
        <w:rPr>
          <w:rFonts w:ascii="宋体" w:hAnsi="宋体"/>
          <w:color w:val="auto"/>
        </w:rPr>
        <w:t>方面有不明</w:t>
      </w:r>
      <w:r>
        <w:rPr>
          <w:rFonts w:hint="eastAsia" w:ascii="宋体" w:hAnsi="宋体"/>
          <w:color w:val="auto"/>
        </w:rPr>
        <w:t>及</w:t>
      </w:r>
      <w:r>
        <w:rPr>
          <w:rFonts w:ascii="宋体" w:hAnsi="宋体"/>
          <w:color w:val="auto"/>
        </w:rPr>
        <w:t>误解的</w:t>
      </w:r>
      <w:r>
        <w:rPr>
          <w:rFonts w:hint="eastAsia" w:ascii="宋体" w:hAnsi="宋体"/>
          <w:color w:val="auto"/>
        </w:rPr>
        <w:t>权利</w:t>
      </w:r>
      <w:r>
        <w:rPr>
          <w:rFonts w:ascii="宋体" w:hAnsi="宋体"/>
          <w:color w:val="auto"/>
        </w:rPr>
        <w:t>。</w:t>
      </w:r>
    </w:p>
    <w:p w14:paraId="143B3956">
      <w:pPr>
        <w:pStyle w:val="37"/>
        <w:numPr>
          <w:ilvl w:val="0"/>
          <w:numId w:val="6"/>
        </w:numPr>
        <w:tabs>
          <w:tab w:val="left" w:pos="780"/>
        </w:tabs>
        <w:ind w:firstLineChars="0"/>
        <w:rPr>
          <w:rFonts w:ascii="宋体" w:hAnsi="宋体"/>
          <w:color w:val="auto"/>
        </w:rPr>
      </w:pPr>
      <w:r>
        <w:rPr>
          <w:rFonts w:hint="eastAsia" w:ascii="宋体" w:hAnsi="宋体"/>
          <w:color w:val="auto"/>
        </w:rPr>
        <w:t>本谈判文件</w:t>
      </w:r>
      <w:r>
        <w:rPr>
          <w:rFonts w:ascii="宋体" w:hAnsi="宋体"/>
          <w:color w:val="auto"/>
        </w:rPr>
        <w:t>自</w:t>
      </w:r>
      <w:r>
        <w:rPr>
          <w:rFonts w:hint="eastAsia" w:ascii="宋体" w:hAnsi="宋体"/>
          <w:color w:val="auto"/>
        </w:rPr>
        <w:t>投递截止</w:t>
      </w:r>
      <w:r>
        <w:rPr>
          <w:rFonts w:ascii="宋体" w:hAnsi="宋体"/>
          <w:color w:val="auto"/>
        </w:rPr>
        <w:t>之日起</w:t>
      </w:r>
      <w:r>
        <w:rPr>
          <w:rFonts w:hint="eastAsia" w:ascii="宋体" w:hAnsi="宋体"/>
          <w:color w:val="auto"/>
        </w:rPr>
        <w:t>有效期</w:t>
      </w:r>
      <w:r>
        <w:rPr>
          <w:rFonts w:ascii="宋体" w:hAnsi="宋体"/>
          <w:color w:val="auto"/>
        </w:rPr>
        <w:t>为</w:t>
      </w:r>
      <w:r>
        <w:rPr>
          <w:rFonts w:hint="eastAsia" w:ascii="宋体" w:hAnsi="宋体"/>
          <w:color w:val="auto"/>
        </w:rPr>
        <w:t>90天</w:t>
      </w:r>
      <w:r>
        <w:rPr>
          <w:rFonts w:ascii="宋体" w:hAnsi="宋体"/>
          <w:color w:val="auto"/>
        </w:rPr>
        <w:t>。</w:t>
      </w:r>
    </w:p>
    <w:p w14:paraId="6968FE71">
      <w:pPr>
        <w:pStyle w:val="37"/>
        <w:tabs>
          <w:tab w:val="left" w:pos="780"/>
        </w:tabs>
        <w:ind w:firstLineChars="0"/>
        <w:rPr>
          <w:rFonts w:ascii="宋体" w:hAnsi="宋体"/>
          <w:color w:val="auto"/>
        </w:rPr>
      </w:pPr>
      <w:r>
        <w:rPr>
          <w:rFonts w:ascii="宋体" w:hAnsi="宋体"/>
          <w:color w:val="auto"/>
        </w:rPr>
        <w:t>4</w:t>
      </w:r>
      <w:r>
        <w:rPr>
          <w:rFonts w:hint="eastAsia" w:ascii="宋体" w:hAnsi="宋体"/>
          <w:color w:val="auto"/>
        </w:rPr>
        <w:t>、</w:t>
      </w:r>
      <w:r>
        <w:rPr>
          <w:rFonts w:hint="eastAsia" w:ascii="宋体" w:hAnsi="宋体"/>
          <w:color w:val="auto"/>
          <w:lang w:eastAsia="zh-CN"/>
        </w:rPr>
        <w:t>报价人</w:t>
      </w:r>
      <w:r>
        <w:rPr>
          <w:rFonts w:hint="eastAsia" w:ascii="宋体" w:hAnsi="宋体"/>
          <w:color w:val="auto"/>
        </w:rPr>
        <w:t>已</w:t>
      </w:r>
      <w:r>
        <w:rPr>
          <w:rFonts w:ascii="宋体" w:hAnsi="宋体"/>
          <w:color w:val="auto"/>
        </w:rPr>
        <w:t>提供按照贵方可能要求的与其</w:t>
      </w:r>
      <w:r>
        <w:rPr>
          <w:rFonts w:hint="eastAsia" w:ascii="宋体" w:hAnsi="宋体"/>
          <w:color w:val="auto"/>
        </w:rPr>
        <w:t>谈判采购</w:t>
      </w:r>
      <w:r>
        <w:rPr>
          <w:rFonts w:ascii="宋体" w:hAnsi="宋体"/>
          <w:color w:val="auto"/>
        </w:rPr>
        <w:t>有关的一切数据或资料，完全理解贵方不一定接</w:t>
      </w:r>
      <w:r>
        <w:rPr>
          <w:rFonts w:hint="eastAsia" w:ascii="宋体" w:hAnsi="宋体"/>
          <w:color w:val="auto"/>
        </w:rPr>
        <w:t>受</w:t>
      </w:r>
      <w:r>
        <w:rPr>
          <w:rFonts w:ascii="宋体" w:hAnsi="宋体"/>
          <w:color w:val="auto"/>
        </w:rPr>
        <w:t>最低报价或收到的任何</w:t>
      </w:r>
      <w:r>
        <w:rPr>
          <w:rFonts w:hint="eastAsia" w:ascii="宋体" w:hAnsi="宋体"/>
          <w:color w:val="auto"/>
        </w:rPr>
        <w:t>谈判文件</w:t>
      </w:r>
      <w:r>
        <w:rPr>
          <w:rFonts w:ascii="宋体" w:hAnsi="宋体"/>
          <w:color w:val="auto"/>
        </w:rPr>
        <w:t>。</w:t>
      </w:r>
    </w:p>
    <w:p w14:paraId="425FE0E1">
      <w:pPr>
        <w:pStyle w:val="37"/>
        <w:tabs>
          <w:tab w:val="left" w:pos="780"/>
        </w:tabs>
        <w:ind w:firstLineChars="0"/>
        <w:rPr>
          <w:rFonts w:ascii="宋体" w:hAnsi="宋体"/>
          <w:color w:val="auto"/>
        </w:rPr>
      </w:pPr>
      <w:r>
        <w:rPr>
          <w:rFonts w:ascii="宋体" w:hAnsi="宋体"/>
          <w:color w:val="auto"/>
        </w:rPr>
        <w:t>5</w:t>
      </w:r>
      <w:r>
        <w:rPr>
          <w:rFonts w:hint="eastAsia" w:ascii="宋体" w:hAnsi="宋体"/>
          <w:color w:val="auto"/>
        </w:rPr>
        <w:t>、与</w:t>
      </w:r>
      <w:r>
        <w:rPr>
          <w:rFonts w:ascii="宋体" w:hAnsi="宋体"/>
          <w:color w:val="auto"/>
        </w:rPr>
        <w:t>本</w:t>
      </w:r>
      <w:r>
        <w:rPr>
          <w:rFonts w:hint="eastAsia" w:ascii="宋体" w:hAnsi="宋体"/>
          <w:color w:val="auto"/>
        </w:rPr>
        <w:t>谈判采购</w:t>
      </w:r>
      <w:r>
        <w:rPr>
          <w:rFonts w:ascii="宋体" w:hAnsi="宋体"/>
          <w:color w:val="auto"/>
        </w:rPr>
        <w:t>有关的一切正式往来通讯请寄：</w:t>
      </w:r>
    </w:p>
    <w:p w14:paraId="065A0407">
      <w:pPr>
        <w:pStyle w:val="37"/>
        <w:rPr>
          <w:rFonts w:ascii="宋体" w:hAnsi="宋体"/>
          <w:color w:val="auto"/>
        </w:rPr>
      </w:pPr>
      <w:r>
        <w:rPr>
          <w:rFonts w:ascii="宋体" w:hAnsi="宋体"/>
          <w:color w:val="auto"/>
        </w:rPr>
        <w:t>地    址：</w:t>
      </w:r>
      <w:r>
        <w:rPr>
          <w:rFonts w:ascii="宋体" w:hAnsi="宋体"/>
          <w:color w:val="auto"/>
          <w:u w:val="single"/>
        </w:rPr>
        <w:t xml:space="preserve">                     </w:t>
      </w:r>
      <w:r>
        <w:rPr>
          <w:rFonts w:ascii="宋体" w:hAnsi="宋体"/>
          <w:color w:val="auto"/>
        </w:rPr>
        <w:t>邮政编码：</w:t>
      </w:r>
      <w:r>
        <w:rPr>
          <w:rFonts w:ascii="宋体" w:hAnsi="宋体"/>
          <w:color w:val="auto"/>
          <w:u w:val="single"/>
        </w:rPr>
        <w:t xml:space="preserve">                      </w:t>
      </w:r>
    </w:p>
    <w:p w14:paraId="113E3112">
      <w:pPr>
        <w:pStyle w:val="37"/>
        <w:rPr>
          <w:rFonts w:ascii="宋体" w:hAnsi="宋体"/>
          <w:color w:val="auto"/>
        </w:rPr>
      </w:pPr>
      <w:r>
        <w:rPr>
          <w:rFonts w:ascii="宋体" w:hAnsi="宋体"/>
          <w:color w:val="auto"/>
        </w:rPr>
        <w:t>电话号码：</w:t>
      </w:r>
      <w:r>
        <w:rPr>
          <w:rFonts w:ascii="宋体" w:hAnsi="宋体"/>
          <w:color w:val="auto"/>
          <w:u w:val="single"/>
        </w:rPr>
        <w:t xml:space="preserve">                     </w:t>
      </w:r>
      <w:r>
        <w:rPr>
          <w:rFonts w:ascii="宋体" w:hAnsi="宋体"/>
          <w:color w:val="auto"/>
        </w:rPr>
        <w:t>传真号码：</w:t>
      </w:r>
      <w:r>
        <w:rPr>
          <w:rFonts w:ascii="宋体" w:hAnsi="宋体"/>
          <w:color w:val="auto"/>
          <w:u w:val="single"/>
        </w:rPr>
        <w:t xml:space="preserve">                      </w:t>
      </w:r>
    </w:p>
    <w:p w14:paraId="54F47C86">
      <w:pPr>
        <w:pStyle w:val="37"/>
        <w:rPr>
          <w:rFonts w:ascii="宋体" w:hAnsi="宋体"/>
          <w:color w:val="auto"/>
        </w:rPr>
      </w:pPr>
      <w:r>
        <w:rPr>
          <w:rFonts w:ascii="宋体" w:hAnsi="宋体"/>
          <w:color w:val="auto"/>
        </w:rPr>
        <w:t>电子邮件：</w:t>
      </w:r>
      <w:r>
        <w:rPr>
          <w:rFonts w:ascii="宋体" w:hAnsi="宋体"/>
          <w:color w:val="auto"/>
          <w:u w:val="single"/>
        </w:rPr>
        <w:t xml:space="preserve">                             </w:t>
      </w:r>
    </w:p>
    <w:p w14:paraId="450F67E7">
      <w:pPr>
        <w:pStyle w:val="37"/>
        <w:spacing w:line="480" w:lineRule="auto"/>
        <w:ind w:firstLine="3120" w:firstLineChars="1300"/>
        <w:rPr>
          <w:rFonts w:ascii="宋体" w:hAnsi="宋体"/>
          <w:color w:val="auto"/>
        </w:rPr>
      </w:pPr>
      <w:r>
        <w:rPr>
          <w:rFonts w:ascii="宋体" w:hAnsi="宋体"/>
          <w:color w:val="auto"/>
        </w:rPr>
        <w:t xml:space="preserve">授权代表签字：                         </w:t>
      </w:r>
    </w:p>
    <w:p w14:paraId="702F541C">
      <w:pPr>
        <w:pStyle w:val="37"/>
        <w:spacing w:line="480" w:lineRule="auto"/>
        <w:ind w:firstLine="3360" w:firstLineChars="1400"/>
        <w:rPr>
          <w:rFonts w:ascii="宋体" w:hAnsi="宋体"/>
          <w:color w:val="auto"/>
        </w:rPr>
      </w:pPr>
      <w:r>
        <w:rPr>
          <w:rFonts w:hint="eastAsia" w:ascii="宋体" w:hAnsi="宋体"/>
          <w:color w:val="auto"/>
          <w:lang w:eastAsia="zh-CN"/>
        </w:rPr>
        <w:t>报价人</w:t>
      </w:r>
      <w:r>
        <w:rPr>
          <w:rFonts w:ascii="宋体" w:hAnsi="宋体"/>
          <w:color w:val="auto"/>
        </w:rPr>
        <w:t>名称：              （加盖公章）</w:t>
      </w:r>
    </w:p>
    <w:p w14:paraId="6981BD6C">
      <w:pPr>
        <w:pStyle w:val="37"/>
        <w:spacing w:line="480" w:lineRule="auto"/>
        <w:ind w:firstLine="6960" w:firstLineChars="2900"/>
        <w:rPr>
          <w:rFonts w:ascii="宋体" w:hAnsi="宋体"/>
          <w:color w:val="auto"/>
        </w:rPr>
      </w:pPr>
      <w:r>
        <w:rPr>
          <w:rFonts w:ascii="宋体" w:hAnsi="宋体"/>
          <w:color w:val="auto"/>
        </w:rPr>
        <w:t>日期：</w:t>
      </w:r>
      <w:r>
        <w:rPr>
          <w:rFonts w:hint="eastAsia" w:ascii="宋体" w:hAnsi="宋体"/>
          <w:color w:val="auto"/>
        </w:rPr>
        <w:t xml:space="preserve">  </w:t>
      </w:r>
    </w:p>
    <w:p w14:paraId="1EBF9786">
      <w:pPr>
        <w:spacing w:line="480" w:lineRule="auto"/>
        <w:ind w:firstLine="7590" w:firstLineChars="2700"/>
        <w:rPr>
          <w:rFonts w:ascii="宋体" w:hAnsi="宋体"/>
          <w:b/>
          <w:kern w:val="0"/>
          <w:sz w:val="28"/>
          <w:szCs w:val="28"/>
        </w:rPr>
      </w:pPr>
      <w:r>
        <w:rPr>
          <w:rFonts w:ascii="宋体" w:hAnsi="宋体"/>
          <w:b/>
          <w:kern w:val="0"/>
          <w:sz w:val="28"/>
          <w:szCs w:val="28"/>
        </w:rPr>
        <w:br w:type="page"/>
      </w:r>
    </w:p>
    <w:p w14:paraId="5C3B5885">
      <w:pPr>
        <w:pStyle w:val="37"/>
        <w:spacing w:line="480" w:lineRule="auto"/>
        <w:ind w:firstLine="643"/>
        <w:jc w:val="center"/>
        <w:rPr>
          <w:rFonts w:ascii="宋体" w:hAnsi="宋体"/>
          <w:b/>
          <w:color w:val="auto"/>
          <w:kern w:val="0"/>
          <w:sz w:val="32"/>
        </w:rPr>
      </w:pPr>
      <w:r>
        <w:rPr>
          <w:rFonts w:hint="eastAsia" w:ascii="宋体" w:hAnsi="宋体"/>
          <w:b/>
          <w:color w:val="auto"/>
          <w:kern w:val="0"/>
          <w:sz w:val="32"/>
        </w:rPr>
        <w:t>附件</w:t>
      </w:r>
      <w:r>
        <w:rPr>
          <w:rFonts w:ascii="宋体" w:hAnsi="宋体"/>
          <w:b/>
          <w:color w:val="auto"/>
          <w:kern w:val="0"/>
          <w:sz w:val="32"/>
        </w:rPr>
        <w:t xml:space="preserve">2  </w:t>
      </w:r>
      <w:r>
        <w:rPr>
          <w:rFonts w:hint="eastAsia" w:ascii="宋体" w:hAnsi="宋体"/>
          <w:b/>
          <w:color w:val="auto"/>
          <w:kern w:val="0"/>
          <w:sz w:val="32"/>
        </w:rPr>
        <w:t>法定代表人授权书</w:t>
      </w:r>
    </w:p>
    <w:p w14:paraId="3B1C89A6">
      <w:pPr>
        <w:pStyle w:val="37"/>
        <w:spacing w:line="480" w:lineRule="auto"/>
        <w:ind w:firstLine="482"/>
        <w:jc w:val="center"/>
        <w:rPr>
          <w:rFonts w:ascii="宋体" w:hAnsi="宋体"/>
          <w:b/>
          <w:color w:val="auto"/>
          <w:kern w:val="0"/>
        </w:rPr>
      </w:pPr>
    </w:p>
    <w:p w14:paraId="78A68852">
      <w:pPr>
        <w:spacing w:line="480" w:lineRule="auto"/>
        <w:ind w:firstLine="480" w:firstLineChars="200"/>
        <w:jc w:val="left"/>
        <w:rPr>
          <w:rFonts w:ascii="宋体" w:hAnsi="宋体"/>
          <w:color w:val="000000"/>
          <w:sz w:val="24"/>
        </w:rPr>
      </w:pPr>
      <w:r>
        <w:rPr>
          <w:rFonts w:hint="eastAsia" w:ascii="宋体" w:hAnsi="宋体"/>
          <w:color w:val="000000"/>
          <w:sz w:val="24"/>
        </w:rPr>
        <w:t>本授权书声明：注册于</w:t>
      </w:r>
      <w:r>
        <w:rPr>
          <w:rFonts w:ascii="宋体" w:hAnsi="宋体"/>
          <w:color w:val="000000"/>
          <w:sz w:val="24"/>
          <w:u w:val="single"/>
        </w:rPr>
        <w:t xml:space="preserve">                     </w:t>
      </w:r>
      <w:r>
        <w:rPr>
          <w:rFonts w:hint="eastAsia" w:ascii="宋体" w:hAnsi="宋体"/>
          <w:color w:val="000000"/>
          <w:sz w:val="24"/>
        </w:rPr>
        <w:t>（</w:t>
      </w:r>
      <w:r>
        <w:rPr>
          <w:rFonts w:hint="eastAsia" w:ascii="宋体" w:hAnsi="宋体"/>
          <w:i/>
          <w:color w:val="000000"/>
          <w:sz w:val="24"/>
          <w:lang w:eastAsia="zh-CN"/>
        </w:rPr>
        <w:t>报价人</w:t>
      </w:r>
      <w:r>
        <w:rPr>
          <w:rFonts w:hint="eastAsia" w:ascii="宋体" w:hAnsi="宋体"/>
          <w:i/>
          <w:color w:val="000000"/>
          <w:sz w:val="24"/>
        </w:rPr>
        <w:t>注册地址</w:t>
      </w:r>
      <w:r>
        <w:rPr>
          <w:rFonts w:hint="eastAsia" w:ascii="宋体" w:hAnsi="宋体"/>
          <w:color w:val="000000"/>
          <w:sz w:val="24"/>
        </w:rPr>
        <w:t>）的（</w:t>
      </w:r>
      <w:r>
        <w:rPr>
          <w:rFonts w:hint="eastAsia" w:ascii="宋体" w:hAnsi="宋体"/>
          <w:i/>
          <w:color w:val="000000"/>
          <w:sz w:val="24"/>
          <w:lang w:eastAsia="zh-CN"/>
        </w:rPr>
        <w:t>报价人</w:t>
      </w:r>
      <w:r>
        <w:rPr>
          <w:rFonts w:hint="eastAsia" w:ascii="宋体" w:hAnsi="宋体"/>
          <w:i/>
          <w:color w:val="000000"/>
          <w:sz w:val="24"/>
        </w:rPr>
        <w:t>名称</w:t>
      </w:r>
      <w:r>
        <w:rPr>
          <w:rFonts w:hint="eastAsia" w:ascii="宋体" w:hAnsi="宋体"/>
          <w:color w:val="000000"/>
          <w:sz w:val="24"/>
        </w:rPr>
        <w:t>）</w:t>
      </w:r>
      <w:r>
        <w:rPr>
          <w:rFonts w:ascii="宋体" w:hAnsi="宋体"/>
          <w:color w:val="000000"/>
          <w:sz w:val="24"/>
          <w:u w:val="single"/>
        </w:rPr>
        <w:t xml:space="preserve">                       </w:t>
      </w:r>
      <w:r>
        <w:rPr>
          <w:rFonts w:hint="eastAsia" w:ascii="宋体" w:hAnsi="宋体"/>
          <w:color w:val="000000"/>
          <w:sz w:val="24"/>
        </w:rPr>
        <w:t>的（</w:t>
      </w:r>
      <w:r>
        <w:rPr>
          <w:rFonts w:hint="eastAsia" w:ascii="宋体" w:hAnsi="宋体"/>
          <w:i/>
          <w:color w:val="000000"/>
          <w:sz w:val="24"/>
        </w:rPr>
        <w:t>法定代表人姓名、职务</w:t>
      </w:r>
      <w:r>
        <w:rPr>
          <w:rFonts w:hint="eastAsia" w:ascii="宋体" w:hAnsi="宋体"/>
          <w:color w:val="000000"/>
          <w:sz w:val="24"/>
        </w:rPr>
        <w:t>）</w:t>
      </w:r>
      <w:r>
        <w:rPr>
          <w:rFonts w:ascii="宋体" w:hAnsi="宋体"/>
          <w:color w:val="000000"/>
          <w:sz w:val="24"/>
          <w:u w:val="single"/>
        </w:rPr>
        <w:t xml:space="preserve">         </w:t>
      </w:r>
      <w:r>
        <w:rPr>
          <w:rFonts w:hint="eastAsia" w:ascii="宋体" w:hAnsi="宋体"/>
          <w:color w:val="000000"/>
          <w:sz w:val="24"/>
        </w:rPr>
        <w:t>授权 （</w:t>
      </w:r>
      <w:r>
        <w:rPr>
          <w:rFonts w:hint="eastAsia" w:ascii="宋体" w:hAnsi="宋体"/>
          <w:i/>
          <w:color w:val="000000"/>
          <w:sz w:val="24"/>
        </w:rPr>
        <w:t>单位名称</w:t>
      </w:r>
      <w:r>
        <w:rPr>
          <w:rFonts w:hint="eastAsia" w:ascii="宋体" w:hAnsi="宋体"/>
          <w:color w:val="000000"/>
          <w:sz w:val="24"/>
        </w:rPr>
        <w:t>）</w:t>
      </w:r>
      <w:r>
        <w:rPr>
          <w:rFonts w:ascii="宋体" w:hAnsi="宋体"/>
          <w:color w:val="000000"/>
          <w:sz w:val="24"/>
          <w:u w:val="single"/>
        </w:rPr>
        <w:t xml:space="preserve">                           </w:t>
      </w:r>
      <w:r>
        <w:rPr>
          <w:rFonts w:hint="eastAsia" w:ascii="宋体" w:hAnsi="宋体"/>
          <w:color w:val="000000"/>
          <w:sz w:val="24"/>
        </w:rPr>
        <w:t>的</w:t>
      </w:r>
      <w:r>
        <w:rPr>
          <w:rFonts w:ascii="宋体" w:hAnsi="宋体"/>
          <w:color w:val="000000"/>
          <w:sz w:val="24"/>
          <w:u w:val="single"/>
        </w:rPr>
        <w:t xml:space="preserve">                      </w:t>
      </w:r>
      <w:r>
        <w:rPr>
          <w:rFonts w:hint="eastAsia" w:ascii="宋体" w:hAnsi="宋体"/>
          <w:color w:val="000000"/>
          <w:sz w:val="24"/>
        </w:rPr>
        <w:t>（</w:t>
      </w:r>
      <w:r>
        <w:rPr>
          <w:rFonts w:hint="eastAsia" w:ascii="宋体" w:hAnsi="宋体"/>
          <w:i/>
          <w:color w:val="000000"/>
          <w:sz w:val="24"/>
        </w:rPr>
        <w:t>被授权人的姓名、职务</w:t>
      </w:r>
      <w:r>
        <w:rPr>
          <w:rFonts w:hint="eastAsia" w:ascii="宋体" w:hAnsi="宋体"/>
          <w:color w:val="000000"/>
          <w:sz w:val="24"/>
        </w:rPr>
        <w:t>）为</w:t>
      </w:r>
      <w:r>
        <w:rPr>
          <w:rFonts w:ascii="宋体" w:hAnsi="宋体"/>
          <w:color w:val="000000"/>
          <w:sz w:val="24"/>
        </w:rPr>
        <w:t>(</w:t>
      </w:r>
      <w:r>
        <w:rPr>
          <w:rFonts w:hint="eastAsia" w:ascii="宋体" w:hAnsi="宋体"/>
          <w:i/>
          <w:color w:val="000000"/>
          <w:sz w:val="24"/>
          <w:lang w:eastAsia="zh-CN"/>
        </w:rPr>
        <w:t>报价人</w:t>
      </w:r>
      <w:r>
        <w:rPr>
          <w:rFonts w:hint="eastAsia" w:ascii="宋体" w:hAnsi="宋体"/>
          <w:i/>
          <w:color w:val="000000"/>
          <w:sz w:val="24"/>
        </w:rPr>
        <w:t>名称</w:t>
      </w:r>
      <w:r>
        <w:rPr>
          <w:rFonts w:hint="eastAsia" w:ascii="宋体" w:hAnsi="宋体"/>
          <w:color w:val="000000"/>
          <w:sz w:val="24"/>
        </w:rPr>
        <w:t>）</w:t>
      </w:r>
      <w:r>
        <w:rPr>
          <w:rFonts w:ascii="宋体" w:hAnsi="宋体"/>
          <w:color w:val="000000"/>
          <w:sz w:val="24"/>
          <w:u w:val="single"/>
        </w:rPr>
        <w:t xml:space="preserve">                           </w:t>
      </w:r>
      <w:r>
        <w:rPr>
          <w:rFonts w:hint="eastAsia" w:ascii="宋体" w:hAnsi="宋体"/>
          <w:color w:val="000000"/>
          <w:sz w:val="24"/>
        </w:rPr>
        <w:t xml:space="preserve">的合法代理人，就 </w:t>
      </w:r>
      <w:r>
        <w:rPr>
          <w:rFonts w:hint="eastAsia" w:ascii="宋体" w:hAnsi="宋体"/>
          <w:color w:val="000000"/>
          <w:kern w:val="0"/>
          <w:sz w:val="24"/>
          <w:u w:val="single"/>
        </w:rPr>
        <w:t xml:space="preserve">重庆国际复合材料股份有限公司                   </w:t>
      </w:r>
      <w:r>
        <w:rPr>
          <w:rFonts w:hint="eastAsia" w:ascii="宋体" w:hAnsi="宋体" w:cs="Arial"/>
          <w:color w:val="000000"/>
          <w:sz w:val="24"/>
        </w:rPr>
        <w:t>项目的</w:t>
      </w:r>
      <w:r>
        <w:rPr>
          <w:rFonts w:hint="eastAsia" w:ascii="宋体" w:hAnsi="宋体"/>
          <w:color w:val="000000"/>
          <w:sz w:val="24"/>
        </w:rPr>
        <w:t>谈判采购，以</w:t>
      </w:r>
      <w:r>
        <w:rPr>
          <w:rFonts w:ascii="宋体" w:hAnsi="宋体"/>
          <w:color w:val="000000"/>
          <w:sz w:val="24"/>
          <w:u w:val="single"/>
        </w:rPr>
        <w:t xml:space="preserve">                           </w:t>
      </w:r>
      <w:r>
        <w:rPr>
          <w:rFonts w:hint="eastAsia" w:ascii="宋体" w:hAnsi="宋体"/>
          <w:color w:val="000000"/>
          <w:sz w:val="24"/>
        </w:rPr>
        <w:t>（</w:t>
      </w:r>
      <w:r>
        <w:rPr>
          <w:rFonts w:hint="eastAsia" w:ascii="宋体" w:hAnsi="宋体"/>
          <w:i/>
          <w:color w:val="000000"/>
          <w:sz w:val="24"/>
          <w:lang w:eastAsia="zh-CN"/>
        </w:rPr>
        <w:t>报价人</w:t>
      </w:r>
      <w:r>
        <w:rPr>
          <w:rFonts w:hint="eastAsia" w:ascii="宋体" w:hAnsi="宋体"/>
          <w:i/>
          <w:color w:val="000000"/>
          <w:sz w:val="24"/>
        </w:rPr>
        <w:t>名称</w:t>
      </w:r>
      <w:r>
        <w:rPr>
          <w:rFonts w:hint="eastAsia" w:ascii="宋体" w:hAnsi="宋体"/>
          <w:color w:val="000000"/>
          <w:sz w:val="24"/>
        </w:rPr>
        <w:t>）的名义处理一切与之有关的事务。被授权人无转委托权。</w:t>
      </w:r>
    </w:p>
    <w:p w14:paraId="7CBFAF7D">
      <w:pPr>
        <w:spacing w:line="480" w:lineRule="auto"/>
        <w:ind w:firstLine="480" w:firstLineChars="200"/>
        <w:rPr>
          <w:rFonts w:ascii="宋体" w:hAnsi="宋体"/>
          <w:color w:val="000000"/>
          <w:sz w:val="24"/>
        </w:rPr>
      </w:pPr>
      <w:r>
        <w:rPr>
          <w:rFonts w:hint="eastAsia" w:ascii="宋体" w:hAnsi="宋体"/>
          <w:color w:val="000000"/>
          <w:sz w:val="24"/>
        </w:rPr>
        <w:t>本授权书于</w:t>
      </w:r>
      <w:r>
        <w:rPr>
          <w:rFonts w:ascii="宋体" w:hAnsi="宋体"/>
          <w:color w:val="000000"/>
          <w:sz w:val="24"/>
          <w:u w:val="single"/>
        </w:rPr>
        <w:t xml:space="preserve">      </w:t>
      </w:r>
      <w:r>
        <w:rPr>
          <w:rFonts w:hint="eastAsia" w:ascii="宋体" w:hAnsi="宋体"/>
          <w:color w:val="000000"/>
          <w:sz w:val="24"/>
        </w:rPr>
        <w:t>年</w:t>
      </w:r>
      <w:r>
        <w:rPr>
          <w:rFonts w:ascii="宋体" w:hAnsi="宋体"/>
          <w:color w:val="000000"/>
          <w:sz w:val="24"/>
          <w:u w:val="single"/>
        </w:rPr>
        <w:t xml:space="preserve">      </w:t>
      </w:r>
      <w:r>
        <w:rPr>
          <w:rFonts w:hint="eastAsia" w:ascii="宋体" w:hAnsi="宋体"/>
          <w:color w:val="000000"/>
          <w:sz w:val="24"/>
        </w:rPr>
        <w:t>月</w:t>
      </w:r>
      <w:r>
        <w:rPr>
          <w:rFonts w:ascii="宋体" w:hAnsi="宋体"/>
          <w:color w:val="000000"/>
          <w:sz w:val="24"/>
          <w:u w:val="single"/>
        </w:rPr>
        <w:t xml:space="preserve">      </w:t>
      </w:r>
      <w:r>
        <w:rPr>
          <w:rFonts w:hint="eastAsia" w:ascii="宋体" w:hAnsi="宋体"/>
          <w:color w:val="000000"/>
          <w:sz w:val="24"/>
        </w:rPr>
        <w:t>日签字生效。</w:t>
      </w:r>
    </w:p>
    <w:p w14:paraId="2B2DAB74">
      <w:pPr>
        <w:spacing w:line="480" w:lineRule="auto"/>
        <w:rPr>
          <w:rFonts w:ascii="宋体" w:hAnsi="宋体"/>
          <w:color w:val="000000"/>
          <w:sz w:val="24"/>
        </w:rPr>
      </w:pPr>
    </w:p>
    <w:p w14:paraId="7295E85A">
      <w:pPr>
        <w:spacing w:line="480" w:lineRule="auto"/>
        <w:rPr>
          <w:rFonts w:ascii="宋体" w:hAnsi="宋体"/>
          <w:color w:val="000000"/>
          <w:sz w:val="24"/>
          <w:u w:val="single"/>
        </w:rPr>
      </w:pPr>
      <w:r>
        <w:rPr>
          <w:rFonts w:hint="eastAsia" w:ascii="宋体" w:hAnsi="宋体"/>
          <w:color w:val="000000"/>
          <w:sz w:val="24"/>
        </w:rPr>
        <w:t>法定代表人签字：</w:t>
      </w:r>
      <w:r>
        <w:rPr>
          <w:rFonts w:hint="eastAsia" w:ascii="宋体" w:hAnsi="宋体"/>
          <w:color w:val="000000"/>
          <w:sz w:val="24"/>
          <w:u w:val="single"/>
        </w:rPr>
        <w:t xml:space="preserve">                            </w:t>
      </w:r>
    </w:p>
    <w:p w14:paraId="3D4DF38C">
      <w:pPr>
        <w:spacing w:line="480" w:lineRule="auto"/>
        <w:rPr>
          <w:rFonts w:ascii="宋体" w:hAnsi="宋体"/>
          <w:color w:val="000000"/>
          <w:sz w:val="24"/>
          <w:u w:val="single"/>
        </w:rPr>
      </w:pPr>
      <w:r>
        <w:rPr>
          <w:rFonts w:hint="eastAsia" w:ascii="宋体" w:hAnsi="宋体"/>
          <w:color w:val="000000"/>
          <w:sz w:val="24"/>
        </w:rPr>
        <w:t>被授权人签字：</w:t>
      </w:r>
      <w:r>
        <w:rPr>
          <w:rFonts w:hint="eastAsia" w:ascii="宋体" w:hAnsi="宋体"/>
          <w:color w:val="000000"/>
          <w:sz w:val="24"/>
          <w:u w:val="single"/>
        </w:rPr>
        <w:t xml:space="preserve">                              </w:t>
      </w:r>
    </w:p>
    <w:p w14:paraId="103D0E66">
      <w:pPr>
        <w:rPr>
          <w:rFonts w:ascii="宋体" w:hAnsi="宋体"/>
          <w:color w:val="000000"/>
        </w:rPr>
      </w:pPr>
    </w:p>
    <w:p w14:paraId="70443C30">
      <w:pPr>
        <w:spacing w:line="360" w:lineRule="auto"/>
        <w:rPr>
          <w:rFonts w:ascii="宋体" w:hAnsi="宋体"/>
          <w:color w:val="000000"/>
          <w:sz w:val="24"/>
        </w:rPr>
      </w:pPr>
      <w:r>
        <w:rPr>
          <w:rFonts w:hint="eastAsia" w:ascii="宋体" w:hAnsi="宋体"/>
          <w:color w:val="000000"/>
          <w:sz w:val="24"/>
          <w:lang w:eastAsia="zh-CN"/>
        </w:rPr>
        <w:t>报价人</w:t>
      </w:r>
      <w:r>
        <w:rPr>
          <w:rFonts w:hint="eastAsia" w:ascii="宋体" w:hAnsi="宋体"/>
          <w:color w:val="000000"/>
          <w:sz w:val="24"/>
        </w:rPr>
        <w:t>名称：</w:t>
      </w:r>
      <w:r>
        <w:rPr>
          <w:rFonts w:hint="eastAsia" w:ascii="宋体" w:hAnsi="宋体"/>
          <w:color w:val="000000"/>
          <w:sz w:val="24"/>
          <w:u w:val="single"/>
        </w:rPr>
        <w:t xml:space="preserve">                       </w:t>
      </w:r>
      <w:r>
        <w:rPr>
          <w:rFonts w:hint="eastAsia" w:ascii="宋体" w:hAnsi="宋体"/>
          <w:color w:val="000000"/>
          <w:sz w:val="24"/>
        </w:rPr>
        <w:t>（盖章）</w:t>
      </w:r>
    </w:p>
    <w:p w14:paraId="2CE48364">
      <w:pPr>
        <w:spacing w:line="360" w:lineRule="auto"/>
        <w:rPr>
          <w:rFonts w:ascii="宋体" w:hAnsi="宋体"/>
          <w:color w:val="000000"/>
          <w:sz w:val="24"/>
        </w:rPr>
      </w:pPr>
    </w:p>
    <w:p w14:paraId="0E5FDE24">
      <w:pPr>
        <w:spacing w:line="360" w:lineRule="auto"/>
        <w:rPr>
          <w:rFonts w:ascii="宋体" w:hAnsi="宋体"/>
          <w:color w:val="000000"/>
          <w:sz w:val="18"/>
          <w:szCs w:val="18"/>
        </w:rPr>
        <w:sectPr>
          <w:headerReference r:id="rId3" w:type="default"/>
          <w:footerReference r:id="rId4" w:type="default"/>
          <w:pgSz w:w="11906" w:h="16838"/>
          <w:pgMar w:top="1440" w:right="1800" w:bottom="1440" w:left="1800" w:header="851" w:footer="992" w:gutter="0"/>
          <w:cols w:space="720" w:num="1"/>
          <w:docGrid w:linePitch="312" w:charSpace="0"/>
        </w:sectPr>
      </w:pPr>
      <w:r>
        <w:rPr>
          <w:rFonts w:hint="eastAsia" w:ascii="宋体" w:hAnsi="宋体"/>
          <w:color w:val="000000"/>
          <w:sz w:val="24"/>
        </w:rPr>
        <w:t xml:space="preserve">日期：     年    月 </w:t>
      </w:r>
      <w:r>
        <w:rPr>
          <w:rFonts w:ascii="宋体" w:hAnsi="宋体"/>
          <w:color w:val="000000"/>
          <w:sz w:val="24"/>
        </w:rPr>
        <w:t xml:space="preserve">   </w:t>
      </w:r>
      <w:r>
        <w:rPr>
          <w:rFonts w:hint="eastAsia" w:ascii="宋体" w:hAnsi="宋体"/>
          <w:color w:val="000000"/>
          <w:sz w:val="24"/>
        </w:rPr>
        <w:t>日</w:t>
      </w:r>
    </w:p>
    <w:p w14:paraId="47764B2A">
      <w:pPr>
        <w:widowControl/>
        <w:jc w:val="center"/>
        <w:rPr>
          <w:rFonts w:ascii="宋体" w:hAnsi="宋体"/>
          <w:b/>
          <w:kern w:val="0"/>
          <w:sz w:val="32"/>
          <w:szCs w:val="28"/>
        </w:rPr>
      </w:pPr>
      <w:r>
        <w:rPr>
          <w:rFonts w:hint="eastAsia" w:ascii="宋体" w:hAnsi="宋体"/>
          <w:b/>
          <w:kern w:val="0"/>
          <w:sz w:val="32"/>
          <w:szCs w:val="28"/>
        </w:rPr>
        <w:t>附件</w:t>
      </w:r>
      <w:r>
        <w:rPr>
          <w:rFonts w:ascii="宋体" w:hAnsi="宋体"/>
          <w:b/>
          <w:kern w:val="0"/>
          <w:sz w:val="32"/>
          <w:szCs w:val="28"/>
        </w:rPr>
        <w:t xml:space="preserve">3 </w:t>
      </w:r>
      <w:r>
        <w:rPr>
          <w:rFonts w:hint="eastAsia" w:ascii="宋体" w:hAnsi="宋体"/>
          <w:b/>
          <w:kern w:val="0"/>
          <w:sz w:val="32"/>
          <w:szCs w:val="28"/>
        </w:rPr>
        <w:t>资格</w:t>
      </w:r>
      <w:r>
        <w:rPr>
          <w:rFonts w:ascii="宋体" w:hAnsi="宋体"/>
          <w:b/>
          <w:kern w:val="0"/>
          <w:sz w:val="32"/>
          <w:szCs w:val="28"/>
        </w:rPr>
        <w:t>证明文件</w:t>
      </w:r>
    </w:p>
    <w:p w14:paraId="15128DF9">
      <w:pPr>
        <w:widowControl/>
        <w:jc w:val="center"/>
        <w:rPr>
          <w:rFonts w:ascii="宋体" w:hAnsi="宋体"/>
          <w:sz w:val="24"/>
        </w:rPr>
      </w:pPr>
    </w:p>
    <w:p w14:paraId="507012E9">
      <w:pPr>
        <w:pStyle w:val="37"/>
        <w:ind w:firstLine="0" w:firstLineChars="0"/>
        <w:rPr>
          <w:rFonts w:ascii="宋体" w:hAnsi="宋体"/>
          <w:b/>
        </w:rPr>
      </w:pPr>
      <w:r>
        <w:rPr>
          <w:rFonts w:hint="eastAsia" w:ascii="宋体" w:hAnsi="宋体"/>
          <w:color w:val="auto"/>
          <w:lang w:eastAsia="zh-CN"/>
        </w:rPr>
        <w:t>报价人</w:t>
      </w:r>
      <w:r>
        <w:rPr>
          <w:rFonts w:hint="eastAsia" w:ascii="宋体" w:hAnsi="宋体"/>
          <w:color w:val="auto"/>
        </w:rPr>
        <w:t>提交</w:t>
      </w:r>
      <w:r>
        <w:rPr>
          <w:rFonts w:ascii="宋体" w:hAnsi="宋体"/>
          <w:color w:val="auto"/>
        </w:rPr>
        <w:t>下列</w:t>
      </w:r>
      <w:r>
        <w:rPr>
          <w:rFonts w:hint="eastAsia" w:ascii="宋体" w:hAnsi="宋体"/>
          <w:color w:val="auto"/>
        </w:rPr>
        <w:t>资格证明文件</w:t>
      </w:r>
    </w:p>
    <w:p w14:paraId="1E94DC46">
      <w:pPr>
        <w:pStyle w:val="37"/>
        <w:rPr>
          <w:rFonts w:hint="default" w:ascii="宋体" w:hAnsi="宋体" w:eastAsia="宋体"/>
          <w:color w:val="auto"/>
          <w:lang w:val="en-US" w:eastAsia="zh-CN"/>
        </w:rPr>
      </w:pPr>
      <w:r>
        <w:rPr>
          <w:rFonts w:hint="eastAsia" w:ascii="宋体" w:hAnsi="宋体"/>
          <w:color w:val="auto"/>
        </w:rPr>
        <w:t>（1）</w:t>
      </w:r>
      <w:r>
        <w:rPr>
          <w:rFonts w:hint="eastAsia" w:ascii="宋体" w:hAnsi="宋体"/>
          <w:color w:val="auto"/>
          <w:lang w:val="en-US" w:eastAsia="zh-CN"/>
        </w:rPr>
        <w:t>包含但不限于</w:t>
      </w:r>
      <w:r>
        <w:rPr>
          <w:rFonts w:ascii="宋体" w:hAnsi="宋体"/>
          <w:color w:val="auto"/>
        </w:rPr>
        <w:t>企业法人营业执照副本</w:t>
      </w:r>
      <w:r>
        <w:rPr>
          <w:rFonts w:hint="eastAsia" w:ascii="宋体" w:hAnsi="宋体"/>
          <w:color w:val="auto"/>
        </w:rPr>
        <w:t>（清晰</w:t>
      </w:r>
      <w:r>
        <w:rPr>
          <w:rFonts w:ascii="宋体" w:hAnsi="宋体"/>
          <w:color w:val="auto"/>
        </w:rPr>
        <w:t>复印件</w:t>
      </w:r>
      <w:r>
        <w:rPr>
          <w:rFonts w:hint="eastAsia" w:ascii="宋体" w:hAnsi="宋体"/>
          <w:color w:val="auto"/>
        </w:rPr>
        <w:t>并</w:t>
      </w:r>
      <w:r>
        <w:rPr>
          <w:rFonts w:ascii="宋体" w:hAnsi="宋体"/>
          <w:color w:val="auto"/>
        </w:rPr>
        <w:t>加盖有效公章</w:t>
      </w:r>
      <w:r>
        <w:rPr>
          <w:rFonts w:hint="eastAsia" w:ascii="宋体" w:hAnsi="宋体"/>
          <w:color w:val="auto"/>
        </w:rPr>
        <w:t>）</w:t>
      </w:r>
      <w:r>
        <w:rPr>
          <w:rFonts w:hint="eastAsia" w:ascii="宋体" w:hAnsi="宋体"/>
          <w:color w:val="auto"/>
          <w:lang w:eastAsia="zh-CN"/>
        </w:rPr>
        <w:t>、</w:t>
      </w:r>
      <w:r>
        <w:rPr>
          <w:rFonts w:hint="eastAsia" w:ascii="宋体" w:hAnsi="宋体"/>
          <w:color w:val="auto"/>
          <w:lang w:val="en-US" w:eastAsia="zh-CN"/>
        </w:rPr>
        <w:t>资质文件、项目负责人资质及社保文件。</w:t>
      </w:r>
    </w:p>
    <w:p w14:paraId="0061B32B">
      <w:pPr>
        <w:pStyle w:val="37"/>
        <w:rPr>
          <w:rFonts w:ascii="宋体" w:hAnsi="宋体"/>
          <w:color w:val="auto"/>
        </w:rPr>
      </w:pPr>
      <w:r>
        <w:rPr>
          <w:rFonts w:hint="eastAsia" w:ascii="宋体" w:hAnsi="宋体"/>
          <w:color w:val="auto"/>
        </w:rPr>
        <w:t>（2）“信用中国”网站（www.creditchina.gov.cn）及中国政府采购网（www.ccgp.gov.cn）信用信息查询记录（其中信用中国网站截图须分别提供“信用中国”网站“信用服务”栏中“失信被执行人查询”、“重大税收违法案件查询”、“政府采购严重违法失信名单查询”记录）的网页截图，查询时间为递交谈判文件截</w:t>
      </w:r>
      <w:bookmarkStart w:id="82" w:name="OLE_LINK45"/>
      <w:r>
        <w:rPr>
          <w:rFonts w:hint="eastAsia" w:ascii="宋体" w:hAnsi="宋体"/>
          <w:color w:val="auto"/>
        </w:rPr>
        <w:t>止时间前五天。</w:t>
      </w:r>
    </w:p>
    <w:bookmarkEnd w:id="82"/>
    <w:p w14:paraId="3A93C829">
      <w:pPr>
        <w:rPr>
          <w:rFonts w:ascii="宋体" w:hAnsi="宋体"/>
          <w:sz w:val="24"/>
        </w:rPr>
      </w:pPr>
      <w:r>
        <w:rPr>
          <w:rFonts w:ascii="宋体" w:hAnsi="宋体"/>
          <w:sz w:val="24"/>
        </w:rPr>
        <w:br w:type="page"/>
      </w:r>
    </w:p>
    <w:p w14:paraId="356D0A4C">
      <w:pPr>
        <w:widowControl/>
        <w:jc w:val="center"/>
        <w:rPr>
          <w:rFonts w:ascii="宋体" w:hAnsi="宋体"/>
          <w:b/>
          <w:kern w:val="0"/>
          <w:sz w:val="32"/>
          <w:szCs w:val="28"/>
          <w:highlight w:val="none"/>
        </w:rPr>
      </w:pPr>
      <w:r>
        <w:rPr>
          <w:rFonts w:hint="eastAsia" w:ascii="宋体" w:hAnsi="宋体"/>
          <w:b/>
          <w:kern w:val="0"/>
          <w:sz w:val="32"/>
          <w:szCs w:val="28"/>
          <w:highlight w:val="none"/>
        </w:rPr>
        <w:t>附件4  报价函</w:t>
      </w:r>
    </w:p>
    <w:p w14:paraId="3D751796">
      <w:pPr>
        <w:pStyle w:val="65"/>
        <w:spacing w:before="0" w:after="0" w:line="360" w:lineRule="auto"/>
        <w:jc w:val="center"/>
        <w:rPr>
          <w:rStyle w:val="66"/>
          <w:rFonts w:ascii="Times New Roman" w:hAnsi="Times New Roman" w:eastAsia="宋体"/>
          <w:color w:val="auto"/>
          <w:sz w:val="28"/>
          <w:szCs w:val="24"/>
          <w:highlight w:val="none"/>
        </w:rPr>
      </w:pPr>
      <w:r>
        <w:rPr>
          <w:rStyle w:val="66"/>
          <w:rFonts w:ascii="Times New Roman" w:hAnsi="Times New Roman" w:eastAsia="宋体"/>
          <w:color w:val="auto"/>
          <w:sz w:val="28"/>
          <w:highlight w:val="none"/>
        </w:rPr>
        <w:t xml:space="preserve">（一） </w:t>
      </w:r>
      <w:r>
        <w:rPr>
          <w:rStyle w:val="66"/>
          <w:rFonts w:hint="eastAsia" w:ascii="Times New Roman" w:hAnsi="Times New Roman" w:eastAsia="宋体"/>
          <w:color w:val="auto"/>
          <w:sz w:val="28"/>
          <w:highlight w:val="none"/>
          <w:lang w:val="en-US" w:eastAsia="zh-CN"/>
        </w:rPr>
        <w:t>报价</w:t>
      </w:r>
      <w:r>
        <w:rPr>
          <w:rStyle w:val="66"/>
          <w:rFonts w:ascii="Times New Roman" w:hAnsi="Times New Roman" w:eastAsia="宋体"/>
          <w:color w:val="auto"/>
          <w:sz w:val="28"/>
          <w:highlight w:val="none"/>
        </w:rPr>
        <w:t>函</w:t>
      </w:r>
    </w:p>
    <w:p w14:paraId="3BC4F679">
      <w:pPr>
        <w:spacing w:line="360" w:lineRule="auto"/>
        <w:rPr>
          <w:rStyle w:val="66"/>
          <w:rFonts w:ascii="Times New Roman" w:hAnsi="Times New Roman" w:eastAsia="宋体"/>
          <w:color w:val="auto"/>
          <w:position w:val="6"/>
          <w:szCs w:val="21"/>
          <w:highlight w:val="none"/>
        </w:rPr>
      </w:pPr>
    </w:p>
    <w:p w14:paraId="303E096B">
      <w:pPr>
        <w:tabs>
          <w:tab w:val="left" w:pos="2640"/>
        </w:tabs>
        <w:autoSpaceDE w:val="0"/>
        <w:autoSpaceDN w:val="0"/>
        <w:adjustRightInd w:val="0"/>
        <w:spacing w:line="220" w:lineRule="exact"/>
        <w:ind w:left="120" w:right="-20"/>
        <w:jc w:val="left"/>
        <w:rPr>
          <w:rFonts w:ascii="宋体" w:hAnsi="宋体" w:cs="MingLiU"/>
          <w:snapToGrid w:val="0"/>
          <w:color w:val="auto"/>
          <w:kern w:val="0"/>
          <w:szCs w:val="21"/>
          <w:highlight w:val="none"/>
        </w:rPr>
      </w:pPr>
      <w:r>
        <w:rPr>
          <w:rFonts w:hint="eastAsia" w:ascii="宋体" w:hAnsi="宋体"/>
          <w:snapToGrid w:val="0"/>
          <w:color w:val="auto"/>
          <w:kern w:val="0"/>
          <w:szCs w:val="21"/>
          <w:highlight w:val="none"/>
          <w:u w:val="single"/>
          <w:lang w:val="en-US" w:eastAsia="zh-CN"/>
        </w:rPr>
        <w:t>重庆国际复合材料股份有限公司</w:t>
      </w:r>
      <w:r>
        <w:rPr>
          <w:rFonts w:hint="eastAsia" w:ascii="宋体" w:hAnsi="宋体" w:cs="MingLiU"/>
          <w:snapToGrid w:val="0"/>
          <w:color w:val="auto"/>
          <w:kern w:val="0"/>
          <w:szCs w:val="21"/>
          <w:highlight w:val="none"/>
        </w:rPr>
        <w:t>：</w:t>
      </w:r>
    </w:p>
    <w:p w14:paraId="2DA8E2DB">
      <w:pPr>
        <w:autoSpaceDE w:val="0"/>
        <w:autoSpaceDN w:val="0"/>
        <w:adjustRightInd w:val="0"/>
        <w:spacing w:before="15" w:line="140" w:lineRule="exact"/>
        <w:jc w:val="left"/>
        <w:rPr>
          <w:rFonts w:ascii="宋体" w:hAnsi="宋体" w:cs="MingLiU"/>
          <w:snapToGrid w:val="0"/>
          <w:color w:val="auto"/>
          <w:kern w:val="0"/>
          <w:sz w:val="14"/>
          <w:szCs w:val="14"/>
          <w:highlight w:val="none"/>
        </w:rPr>
      </w:pPr>
    </w:p>
    <w:p w14:paraId="0C84620D">
      <w:pPr>
        <w:autoSpaceDE w:val="0"/>
        <w:autoSpaceDN w:val="0"/>
        <w:adjustRightInd w:val="0"/>
        <w:spacing w:line="200" w:lineRule="exact"/>
        <w:jc w:val="left"/>
        <w:rPr>
          <w:rFonts w:ascii="宋体" w:hAnsi="宋体" w:cs="MingLiU"/>
          <w:snapToGrid w:val="0"/>
          <w:color w:val="auto"/>
          <w:kern w:val="0"/>
          <w:sz w:val="20"/>
          <w:szCs w:val="20"/>
          <w:highlight w:val="none"/>
        </w:rPr>
      </w:pPr>
    </w:p>
    <w:p w14:paraId="16730DBE">
      <w:pPr>
        <w:tabs>
          <w:tab w:val="left" w:pos="2655"/>
          <w:tab w:val="left" w:pos="3520"/>
          <w:tab w:val="left" w:pos="4920"/>
          <w:tab w:val="left" w:pos="5715"/>
          <w:tab w:val="left" w:pos="6945"/>
          <w:tab w:val="left" w:pos="7980"/>
        </w:tabs>
        <w:autoSpaceDE w:val="0"/>
        <w:autoSpaceDN w:val="0"/>
        <w:adjustRightInd w:val="0"/>
        <w:spacing w:line="354" w:lineRule="auto"/>
        <w:ind w:left="120" w:leftChars="57" w:right="94" w:firstLine="420" w:firstLineChars="200"/>
        <w:rPr>
          <w:rFonts w:ascii="宋体" w:hAnsi="宋体" w:cs="MingLiU"/>
          <w:snapToGrid w:val="0"/>
          <w:color w:val="auto"/>
          <w:kern w:val="0"/>
          <w:szCs w:val="21"/>
          <w:highlight w:val="none"/>
        </w:rPr>
      </w:pPr>
      <w:r>
        <w:rPr>
          <w:rFonts w:ascii="宋体" w:hAnsi="宋体"/>
          <w:snapToGrid w:val="0"/>
          <w:color w:val="auto"/>
          <w:kern w:val="0"/>
          <w:szCs w:val="21"/>
          <w:highlight w:val="none"/>
        </w:rPr>
        <w:t>1</w:t>
      </w:r>
      <w:r>
        <w:rPr>
          <w:rFonts w:hint="eastAsia" w:ascii="宋体" w:hAnsi="宋体" w:cs="MingLiU"/>
          <w:snapToGrid w:val="0"/>
          <w:color w:val="auto"/>
          <w:kern w:val="0"/>
          <w:szCs w:val="21"/>
          <w:highlight w:val="none"/>
        </w:rPr>
        <w:t>．我方已仔细研究了</w:t>
      </w:r>
      <w:r>
        <w:rPr>
          <w:rFonts w:hint="eastAsia" w:ascii="宋体" w:hAnsi="宋体" w:cs="MingLiU"/>
          <w:snapToGrid w:val="0"/>
          <w:color w:val="auto"/>
          <w:kern w:val="0"/>
          <w:szCs w:val="21"/>
          <w:highlight w:val="none"/>
          <w:u w:val="single"/>
          <w:lang w:val="en-US" w:eastAsia="zh-CN"/>
        </w:rPr>
        <w:t xml:space="preserve"> </w:t>
      </w:r>
      <w:r>
        <w:rPr>
          <w:rFonts w:hint="eastAsia" w:ascii="宋体" w:hAnsi="宋体" w:eastAsia="宋体" w:cs="MingLiU"/>
          <w:snapToGrid w:val="0"/>
          <w:color w:val="auto"/>
          <w:kern w:val="0"/>
          <w:szCs w:val="21"/>
          <w:highlight w:val="none"/>
          <w:u w:val="single"/>
        </w:rPr>
        <w:t>AI用特种玻璃项目</w:t>
      </w:r>
      <w:r>
        <w:rPr>
          <w:rFonts w:hint="eastAsia" w:ascii="宋体" w:hAnsi="宋体" w:eastAsia="宋体" w:cs="MingLiU"/>
          <w:snapToGrid w:val="0"/>
          <w:color w:val="auto"/>
          <w:kern w:val="0"/>
          <w:szCs w:val="21"/>
          <w:highlight w:val="none"/>
          <w:u w:val="single"/>
          <w:lang w:val="en-US" w:eastAsia="zh-CN"/>
        </w:rPr>
        <w:t>工艺安装</w:t>
      </w:r>
      <w:r>
        <w:rPr>
          <w:rFonts w:hint="eastAsia" w:ascii="宋体" w:hAnsi="宋体" w:eastAsia="宋体" w:cs="MingLiU"/>
          <w:snapToGrid w:val="0"/>
          <w:color w:val="auto"/>
          <w:kern w:val="0"/>
          <w:szCs w:val="21"/>
          <w:highlight w:val="none"/>
          <w:u w:val="single"/>
        </w:rPr>
        <w:t>工程</w:t>
      </w:r>
      <w:r>
        <w:rPr>
          <w:rFonts w:hint="eastAsia" w:ascii="宋体" w:hAnsi="宋体" w:eastAsia="宋体" w:cs="MingLiU"/>
          <w:snapToGrid w:val="0"/>
          <w:color w:val="auto"/>
          <w:kern w:val="0"/>
          <w:szCs w:val="21"/>
          <w:highlight w:val="none"/>
          <w:u w:val="single"/>
          <w:lang w:val="en-US" w:eastAsia="zh-CN"/>
        </w:rPr>
        <w:t xml:space="preserve"> </w:t>
      </w:r>
      <w:r>
        <w:rPr>
          <w:rFonts w:hint="eastAsia" w:ascii="宋体" w:hAnsi="宋体" w:cs="MingLiU"/>
          <w:snapToGrid w:val="0"/>
          <w:color w:val="auto"/>
          <w:kern w:val="0"/>
          <w:szCs w:val="21"/>
          <w:highlight w:val="none"/>
          <w:lang w:val="en-US" w:eastAsia="zh-CN"/>
        </w:rPr>
        <w:t>谈判采购文件</w:t>
      </w:r>
      <w:r>
        <w:rPr>
          <w:rFonts w:hint="eastAsia" w:ascii="宋体" w:hAnsi="宋体" w:cs="MingLiU"/>
          <w:snapToGrid w:val="0"/>
          <w:color w:val="auto"/>
          <w:kern w:val="0"/>
          <w:szCs w:val="21"/>
          <w:highlight w:val="none"/>
        </w:rPr>
        <w:t>的全部内容，愿意以人民币（大写）</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kern w:val="0"/>
          <w:szCs w:val="21"/>
          <w:highlight w:val="none"/>
        </w:rPr>
        <w:t>（</w:t>
      </w:r>
      <w:r>
        <w:rPr>
          <w:rFonts w:ascii="宋体" w:hAnsi="宋体"/>
          <w:snapToGrid w:val="0"/>
          <w:color w:val="auto"/>
          <w:kern w:val="0"/>
          <w:szCs w:val="21"/>
          <w:highlight w:val="none"/>
        </w:rPr>
        <w:t>¥</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kern w:val="0"/>
          <w:szCs w:val="21"/>
          <w:highlight w:val="none"/>
        </w:rPr>
        <w:t>）</w:t>
      </w:r>
      <w:r>
        <w:rPr>
          <w:rFonts w:hint="eastAsia" w:ascii="宋体" w:hAnsi="宋体" w:cs="MingLiU"/>
          <w:snapToGrid w:val="0"/>
          <w:color w:val="auto"/>
          <w:kern w:val="0"/>
          <w:szCs w:val="21"/>
          <w:highlight w:val="none"/>
          <w:lang w:val="en-US" w:eastAsia="zh-CN"/>
        </w:rPr>
        <w:t>作为本项目的总报价，其中安全文明施工费为：</w:t>
      </w:r>
      <w:r>
        <w:rPr>
          <w:rFonts w:hint="eastAsia" w:ascii="宋体" w:hAnsi="宋体" w:cs="MingLiU"/>
          <w:snapToGrid w:val="0"/>
          <w:color w:val="auto"/>
          <w:kern w:val="0"/>
          <w:szCs w:val="21"/>
          <w:highlight w:val="none"/>
        </w:rPr>
        <w:t>（大写）</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kern w:val="0"/>
          <w:szCs w:val="21"/>
          <w:highlight w:val="none"/>
        </w:rPr>
        <w:t>（</w:t>
      </w:r>
      <w:r>
        <w:rPr>
          <w:rFonts w:ascii="宋体" w:hAnsi="宋体"/>
          <w:snapToGrid w:val="0"/>
          <w:color w:val="auto"/>
          <w:kern w:val="0"/>
          <w:szCs w:val="21"/>
          <w:highlight w:val="none"/>
        </w:rPr>
        <w:t>¥</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kern w:val="0"/>
          <w:szCs w:val="21"/>
          <w:highlight w:val="none"/>
        </w:rPr>
        <w:t>），该</w:t>
      </w:r>
      <w:r>
        <w:rPr>
          <w:rFonts w:cs="MingLiU"/>
          <w:snapToGrid w:val="0"/>
          <w:color w:val="auto"/>
          <w:kern w:val="0"/>
          <w:highlight w:val="none"/>
        </w:rPr>
        <w:t>项目</w:t>
      </w:r>
      <w:r>
        <w:rPr>
          <w:rFonts w:hint="eastAsia" w:cs="MingLiU"/>
          <w:snapToGrid w:val="0"/>
          <w:color w:val="auto"/>
          <w:kern w:val="0"/>
          <w:highlight w:val="none"/>
          <w:lang w:val="en-US" w:eastAsia="zh-CN"/>
        </w:rPr>
        <w:t>项目经理</w:t>
      </w:r>
      <w:r>
        <w:rPr>
          <w:rFonts w:cs="MingLiU"/>
          <w:snapToGrid w:val="0"/>
          <w:color w:val="auto"/>
          <w:kern w:val="0"/>
          <w:highlight w:val="none"/>
        </w:rPr>
        <w:t>为</w:t>
      </w:r>
      <w:r>
        <w:rPr>
          <w:rFonts w:hint="eastAsia" w:cs="MingLiU"/>
          <w:snapToGrid w:val="0"/>
          <w:color w:val="auto"/>
          <w:kern w:val="0"/>
          <w:highlight w:val="none"/>
          <w:lang w:val="en-US" w:eastAsia="zh-CN"/>
        </w:rPr>
        <w:t xml:space="preserve"> </w:t>
      </w:r>
      <w:r>
        <w:rPr>
          <w:rFonts w:hint="eastAsia" w:cs="MingLiU"/>
          <w:snapToGrid w:val="0"/>
          <w:color w:val="auto"/>
          <w:kern w:val="0"/>
          <w:highlight w:val="none"/>
          <w:u w:val="single"/>
          <w:lang w:val="en-US" w:eastAsia="zh-CN"/>
        </w:rPr>
        <w:t xml:space="preserve">     </w:t>
      </w:r>
      <w:r>
        <w:rPr>
          <w:rFonts w:hint="eastAsia" w:ascii="宋体" w:hAnsi="宋体"/>
          <w:snapToGrid w:val="0"/>
          <w:color w:val="auto"/>
          <w:kern w:val="0"/>
          <w:szCs w:val="21"/>
          <w:highlight w:val="none"/>
          <w:u w:val="single"/>
          <w:lang w:val="en-US" w:eastAsia="zh-CN"/>
        </w:rPr>
        <w:t xml:space="preserve">    </w:t>
      </w:r>
      <w:r>
        <w:rPr>
          <w:rFonts w:hint="eastAsia" w:ascii="宋体" w:hAnsi="宋体" w:cs="MingLiU"/>
          <w:snapToGrid w:val="0"/>
          <w:color w:val="auto"/>
          <w:kern w:val="0"/>
          <w:szCs w:val="21"/>
          <w:highlight w:val="none"/>
        </w:rPr>
        <w:t>，</w:t>
      </w:r>
      <w:r>
        <w:rPr>
          <w:rFonts w:hint="eastAsia" w:ascii="宋体" w:hAnsi="宋体" w:cs="宋体"/>
          <w:color w:val="auto"/>
          <w:highlight w:val="none"/>
        </w:rPr>
        <w:t>服务期：</w:t>
      </w:r>
      <w:r>
        <w:rPr>
          <w:rFonts w:hint="eastAsia" w:ascii="宋体" w:hAnsi="宋体" w:cs="宋体"/>
          <w:color w:val="auto"/>
          <w:highlight w:val="none"/>
          <w:u w:val="single"/>
        </w:rPr>
        <w:t>（满足/不满足）</w:t>
      </w:r>
      <w:r>
        <w:rPr>
          <w:rFonts w:hint="eastAsia" w:ascii="宋体" w:hAnsi="宋体" w:cs="宋体"/>
          <w:color w:val="auto"/>
          <w:highlight w:val="none"/>
          <w:lang w:val="en-US" w:eastAsia="zh-CN"/>
        </w:rPr>
        <w:t>询比采购文件</w:t>
      </w:r>
      <w:r>
        <w:rPr>
          <w:rFonts w:hint="eastAsia" w:ascii="宋体" w:hAnsi="宋体" w:cs="宋体"/>
          <w:color w:val="auto"/>
          <w:highlight w:val="none"/>
        </w:rPr>
        <w:t>要求</w:t>
      </w:r>
      <w:r>
        <w:rPr>
          <w:rFonts w:hint="eastAsia" w:ascii="宋体" w:hAnsi="宋体" w:cs="MingLiU"/>
          <w:snapToGrid w:val="0"/>
          <w:color w:val="auto"/>
          <w:kern w:val="0"/>
          <w:szCs w:val="21"/>
          <w:highlight w:val="none"/>
        </w:rPr>
        <w:t>，</w:t>
      </w:r>
      <w:r>
        <w:rPr>
          <w:rFonts w:ascii="宋体" w:hAnsi="宋体"/>
          <w:snapToGrid w:val="0"/>
          <w:color w:val="auto"/>
          <w:kern w:val="0"/>
          <w:szCs w:val="21"/>
          <w:highlight w:val="none"/>
        </w:rPr>
        <w:t xml:space="preserve"> </w:t>
      </w:r>
      <w:r>
        <w:rPr>
          <w:rFonts w:hint="eastAsia" w:ascii="宋体" w:hAnsi="宋体" w:cs="MingLiU"/>
          <w:snapToGrid w:val="0"/>
          <w:color w:val="auto"/>
          <w:kern w:val="0"/>
          <w:szCs w:val="21"/>
          <w:highlight w:val="none"/>
        </w:rPr>
        <w:t>按合同约定实施</w:t>
      </w:r>
      <w:r>
        <w:rPr>
          <w:rFonts w:hint="eastAsia" w:ascii="宋体" w:hAnsi="宋体" w:cs="MingLiU"/>
          <w:snapToGrid w:val="0"/>
          <w:color w:val="auto"/>
          <w:kern w:val="0"/>
          <w:szCs w:val="21"/>
          <w:highlight w:val="none"/>
          <w:lang w:val="en-US" w:eastAsia="zh-CN"/>
        </w:rPr>
        <w:t>相关</w:t>
      </w:r>
      <w:r>
        <w:rPr>
          <w:rFonts w:hint="eastAsia" w:ascii="宋体" w:hAnsi="宋体" w:cs="宋体"/>
          <w:color w:val="auto"/>
          <w:szCs w:val="21"/>
          <w:highlight w:val="none"/>
        </w:rPr>
        <w:t>工作</w:t>
      </w:r>
      <w:r>
        <w:rPr>
          <w:rFonts w:hint="eastAsia" w:ascii="宋体" w:hAnsi="宋体" w:cs="MingLiU"/>
          <w:snapToGrid w:val="0"/>
          <w:color w:val="auto"/>
          <w:kern w:val="0"/>
          <w:szCs w:val="21"/>
          <w:highlight w:val="none"/>
        </w:rPr>
        <w:t>。</w:t>
      </w:r>
    </w:p>
    <w:p w14:paraId="698BAE8A">
      <w:pPr>
        <w:autoSpaceDE w:val="0"/>
        <w:autoSpaceDN w:val="0"/>
        <w:adjustRightInd w:val="0"/>
        <w:spacing w:before="15"/>
        <w:ind w:left="540" w:right="-20"/>
        <w:jc w:val="left"/>
        <w:rPr>
          <w:rFonts w:ascii="宋体" w:hAnsi="宋体" w:cs="MingLiU"/>
          <w:snapToGrid w:val="0"/>
          <w:color w:val="auto"/>
          <w:kern w:val="0"/>
          <w:szCs w:val="21"/>
          <w:highlight w:val="none"/>
        </w:rPr>
      </w:pPr>
      <w:r>
        <w:rPr>
          <w:rFonts w:ascii="宋体" w:hAnsi="宋体"/>
          <w:snapToGrid w:val="0"/>
          <w:color w:val="auto"/>
          <w:kern w:val="0"/>
          <w:szCs w:val="21"/>
          <w:highlight w:val="none"/>
        </w:rPr>
        <w:t>2</w:t>
      </w:r>
      <w:r>
        <w:rPr>
          <w:rFonts w:hint="eastAsia" w:ascii="宋体" w:hAnsi="宋体" w:cs="MingLiU"/>
          <w:snapToGrid w:val="0"/>
          <w:color w:val="auto"/>
          <w:kern w:val="0"/>
          <w:szCs w:val="21"/>
          <w:highlight w:val="none"/>
        </w:rPr>
        <w:t>．我方承诺在</w:t>
      </w:r>
      <w:r>
        <w:rPr>
          <w:rFonts w:hint="eastAsia" w:ascii="宋体" w:hAnsi="宋体" w:cs="MingLiU"/>
          <w:snapToGrid w:val="0"/>
          <w:color w:val="auto"/>
          <w:kern w:val="0"/>
          <w:szCs w:val="21"/>
          <w:highlight w:val="none"/>
          <w:lang w:val="en-US" w:eastAsia="zh-CN"/>
        </w:rPr>
        <w:t>竞价</w:t>
      </w:r>
      <w:r>
        <w:rPr>
          <w:rFonts w:hint="eastAsia" w:ascii="宋体" w:hAnsi="宋体" w:cs="MingLiU"/>
          <w:snapToGrid w:val="0"/>
          <w:color w:val="auto"/>
          <w:kern w:val="0"/>
          <w:szCs w:val="21"/>
          <w:highlight w:val="none"/>
        </w:rPr>
        <w:t>有效期内不修改、撤销</w:t>
      </w:r>
      <w:r>
        <w:rPr>
          <w:rFonts w:hint="eastAsia" w:ascii="宋体" w:hAnsi="宋体" w:cs="MingLiU"/>
          <w:snapToGrid w:val="0"/>
          <w:color w:val="auto"/>
          <w:kern w:val="0"/>
          <w:szCs w:val="21"/>
          <w:highlight w:val="none"/>
          <w:lang w:val="en-US" w:eastAsia="zh-CN"/>
        </w:rPr>
        <w:t>谈判文件</w:t>
      </w:r>
      <w:r>
        <w:rPr>
          <w:rFonts w:hint="eastAsia" w:ascii="宋体" w:hAnsi="宋体" w:cs="MingLiU"/>
          <w:snapToGrid w:val="0"/>
          <w:color w:val="auto"/>
          <w:kern w:val="0"/>
          <w:szCs w:val="21"/>
          <w:highlight w:val="none"/>
        </w:rPr>
        <w:t>。</w:t>
      </w:r>
    </w:p>
    <w:p w14:paraId="79A42529">
      <w:pPr>
        <w:autoSpaceDE w:val="0"/>
        <w:autoSpaceDN w:val="0"/>
        <w:adjustRightInd w:val="0"/>
        <w:spacing w:before="10" w:line="100" w:lineRule="exact"/>
        <w:jc w:val="left"/>
        <w:rPr>
          <w:rFonts w:ascii="宋体" w:hAnsi="宋体" w:cs="MingLiU"/>
          <w:snapToGrid w:val="0"/>
          <w:color w:val="auto"/>
          <w:kern w:val="0"/>
          <w:sz w:val="10"/>
          <w:szCs w:val="10"/>
          <w:highlight w:val="none"/>
        </w:rPr>
      </w:pPr>
    </w:p>
    <w:p w14:paraId="6F6CDCDA">
      <w:pPr>
        <w:autoSpaceDE w:val="0"/>
        <w:autoSpaceDN w:val="0"/>
        <w:adjustRightInd w:val="0"/>
        <w:spacing w:before="11" w:line="100" w:lineRule="exact"/>
        <w:jc w:val="left"/>
        <w:rPr>
          <w:rFonts w:ascii="宋体" w:hAnsi="宋体" w:cs="MingLiU"/>
          <w:snapToGrid w:val="0"/>
          <w:color w:val="auto"/>
          <w:kern w:val="0"/>
          <w:sz w:val="10"/>
          <w:szCs w:val="10"/>
          <w:highlight w:val="none"/>
        </w:rPr>
      </w:pPr>
    </w:p>
    <w:p w14:paraId="29ADCADB">
      <w:pPr>
        <w:autoSpaceDE w:val="0"/>
        <w:autoSpaceDN w:val="0"/>
        <w:adjustRightInd w:val="0"/>
        <w:ind w:left="540" w:right="-20"/>
        <w:jc w:val="left"/>
        <w:rPr>
          <w:rFonts w:ascii="宋体" w:hAnsi="宋体" w:cs="MingLiU"/>
          <w:snapToGrid w:val="0"/>
          <w:color w:val="auto"/>
          <w:kern w:val="0"/>
          <w:szCs w:val="21"/>
          <w:highlight w:val="none"/>
        </w:rPr>
      </w:pPr>
      <w:r>
        <w:rPr>
          <w:rFonts w:hint="eastAsia" w:ascii="宋体" w:hAnsi="宋体"/>
          <w:snapToGrid w:val="0"/>
          <w:color w:val="auto"/>
          <w:kern w:val="0"/>
          <w:szCs w:val="21"/>
          <w:highlight w:val="none"/>
          <w:lang w:val="en-US" w:eastAsia="zh-CN"/>
        </w:rPr>
        <w:t>3</w:t>
      </w:r>
      <w:r>
        <w:rPr>
          <w:rFonts w:hint="eastAsia" w:ascii="宋体" w:hAnsi="宋体" w:cs="MingLiU"/>
          <w:snapToGrid w:val="0"/>
          <w:color w:val="auto"/>
          <w:kern w:val="0"/>
          <w:szCs w:val="21"/>
          <w:highlight w:val="none"/>
        </w:rPr>
        <w:t>．如我方中选：</w:t>
      </w:r>
    </w:p>
    <w:p w14:paraId="7A5A80DC">
      <w:pPr>
        <w:autoSpaceDE w:val="0"/>
        <w:autoSpaceDN w:val="0"/>
        <w:adjustRightInd w:val="0"/>
        <w:spacing w:before="11" w:line="100" w:lineRule="exact"/>
        <w:jc w:val="left"/>
        <w:rPr>
          <w:rFonts w:ascii="宋体" w:hAnsi="宋体" w:cs="MingLiU"/>
          <w:snapToGrid w:val="0"/>
          <w:color w:val="auto"/>
          <w:kern w:val="0"/>
          <w:sz w:val="10"/>
          <w:szCs w:val="10"/>
          <w:highlight w:val="none"/>
        </w:rPr>
      </w:pPr>
    </w:p>
    <w:p w14:paraId="797CDB1E">
      <w:pPr>
        <w:autoSpaceDE w:val="0"/>
        <w:autoSpaceDN w:val="0"/>
        <w:adjustRightInd w:val="0"/>
        <w:spacing w:line="354" w:lineRule="auto"/>
        <w:ind w:left="120" w:right="-9" w:firstLine="420"/>
        <w:jc w:val="left"/>
        <w:rPr>
          <w:rFonts w:ascii="宋体" w:hAnsi="宋体" w:eastAsia="宋体" w:cs="Times New Roman"/>
          <w:snapToGrid w:val="0"/>
          <w:color w:val="auto"/>
          <w:kern w:val="0"/>
          <w:szCs w:val="21"/>
          <w:highlight w:val="none"/>
        </w:rPr>
      </w:pPr>
      <w:r>
        <w:rPr>
          <w:rFonts w:hint="eastAsia" w:ascii="宋体" w:hAnsi="宋体" w:eastAsia="宋体" w:cs="Times New Roman"/>
          <w:snapToGrid w:val="0"/>
          <w:color w:val="auto"/>
          <w:kern w:val="0"/>
          <w:szCs w:val="21"/>
          <w:highlight w:val="none"/>
        </w:rPr>
        <w:t>（</w:t>
      </w:r>
      <w:r>
        <w:rPr>
          <w:rFonts w:ascii="宋体" w:hAnsi="宋体" w:eastAsia="宋体" w:cs="Times New Roman"/>
          <w:snapToGrid w:val="0"/>
          <w:color w:val="auto"/>
          <w:kern w:val="0"/>
          <w:szCs w:val="21"/>
          <w:highlight w:val="none"/>
        </w:rPr>
        <w:t>1</w:t>
      </w:r>
      <w:r>
        <w:rPr>
          <w:rFonts w:hint="eastAsia" w:ascii="宋体" w:hAnsi="宋体" w:eastAsia="宋体" w:cs="Times New Roman"/>
          <w:snapToGrid w:val="0"/>
          <w:color w:val="auto"/>
          <w:kern w:val="0"/>
          <w:szCs w:val="21"/>
          <w:highlight w:val="none"/>
        </w:rPr>
        <w:t>）我方承诺在收到</w:t>
      </w:r>
      <w:r>
        <w:rPr>
          <w:rFonts w:hint="eastAsia" w:ascii="宋体" w:hAnsi="宋体" w:eastAsia="宋体" w:cs="Times New Roman"/>
          <w:snapToGrid w:val="0"/>
          <w:color w:val="auto"/>
          <w:kern w:val="0"/>
          <w:szCs w:val="21"/>
          <w:highlight w:val="none"/>
          <w:lang w:val="en-US" w:eastAsia="zh-CN"/>
        </w:rPr>
        <w:t>成交</w:t>
      </w:r>
      <w:r>
        <w:rPr>
          <w:rFonts w:hint="eastAsia" w:ascii="宋体" w:hAnsi="宋体" w:eastAsia="宋体" w:cs="Times New Roman"/>
          <w:snapToGrid w:val="0"/>
          <w:color w:val="auto"/>
          <w:kern w:val="0"/>
          <w:szCs w:val="21"/>
          <w:highlight w:val="none"/>
        </w:rPr>
        <w:t>通知书后，在</w:t>
      </w:r>
      <w:r>
        <w:rPr>
          <w:rFonts w:hint="eastAsia" w:ascii="宋体" w:hAnsi="宋体" w:eastAsia="宋体" w:cs="Times New Roman"/>
          <w:snapToGrid w:val="0"/>
          <w:color w:val="auto"/>
          <w:kern w:val="0"/>
          <w:szCs w:val="21"/>
          <w:highlight w:val="none"/>
          <w:lang w:val="en-US" w:eastAsia="zh-CN"/>
        </w:rPr>
        <w:t>成交</w:t>
      </w:r>
      <w:r>
        <w:rPr>
          <w:rFonts w:hint="eastAsia" w:ascii="宋体" w:hAnsi="宋体" w:eastAsia="宋体" w:cs="Times New Roman"/>
          <w:snapToGrid w:val="0"/>
          <w:color w:val="auto"/>
          <w:kern w:val="0"/>
          <w:szCs w:val="21"/>
          <w:highlight w:val="none"/>
        </w:rPr>
        <w:t>通知书规定的期限内与你方签订合同。</w:t>
      </w:r>
    </w:p>
    <w:p w14:paraId="1D7D3630">
      <w:pPr>
        <w:autoSpaceDE w:val="0"/>
        <w:autoSpaceDN w:val="0"/>
        <w:adjustRightInd w:val="0"/>
        <w:spacing w:line="354" w:lineRule="auto"/>
        <w:ind w:left="120" w:right="-9" w:firstLine="420"/>
        <w:jc w:val="left"/>
        <w:rPr>
          <w:rFonts w:ascii="宋体" w:hAnsi="宋体" w:eastAsia="宋体" w:cs="Times New Roman"/>
          <w:snapToGrid w:val="0"/>
          <w:color w:val="auto"/>
          <w:kern w:val="0"/>
          <w:szCs w:val="21"/>
          <w:highlight w:val="none"/>
        </w:rPr>
      </w:pPr>
      <w:r>
        <w:rPr>
          <w:rFonts w:hint="eastAsia" w:ascii="宋体" w:hAnsi="宋体" w:eastAsia="宋体" w:cs="Times New Roman"/>
          <w:snapToGrid w:val="0"/>
          <w:color w:val="auto"/>
          <w:kern w:val="0"/>
          <w:szCs w:val="21"/>
          <w:highlight w:val="none"/>
          <w:lang w:eastAsia="zh-CN"/>
        </w:rPr>
        <w:t>（</w:t>
      </w:r>
      <w:r>
        <w:rPr>
          <w:rFonts w:hint="eastAsia" w:ascii="宋体" w:hAnsi="宋体" w:eastAsia="宋体" w:cs="Times New Roman"/>
          <w:snapToGrid w:val="0"/>
          <w:color w:val="auto"/>
          <w:kern w:val="0"/>
          <w:szCs w:val="21"/>
          <w:highlight w:val="none"/>
          <w:lang w:val="en-US" w:eastAsia="zh-CN"/>
        </w:rPr>
        <w:t>2</w:t>
      </w:r>
      <w:r>
        <w:rPr>
          <w:rFonts w:hint="eastAsia" w:ascii="宋体" w:hAnsi="宋体" w:eastAsia="宋体" w:cs="Times New Roman"/>
          <w:snapToGrid w:val="0"/>
          <w:color w:val="auto"/>
          <w:kern w:val="0"/>
          <w:szCs w:val="21"/>
          <w:highlight w:val="none"/>
          <w:lang w:eastAsia="zh-CN"/>
        </w:rPr>
        <w:t>）</w:t>
      </w:r>
      <w:r>
        <w:rPr>
          <w:rFonts w:hint="eastAsia" w:ascii="宋体" w:hAnsi="宋体" w:eastAsia="宋体" w:cs="Times New Roman"/>
          <w:snapToGrid w:val="0"/>
          <w:color w:val="auto"/>
          <w:kern w:val="0"/>
          <w:szCs w:val="21"/>
          <w:highlight w:val="none"/>
        </w:rPr>
        <w:t>我方承诺在合同约定的期限内完成全部合同工作。</w:t>
      </w:r>
    </w:p>
    <w:p w14:paraId="32B88F48">
      <w:pPr>
        <w:autoSpaceDE w:val="0"/>
        <w:autoSpaceDN w:val="0"/>
        <w:adjustRightInd w:val="0"/>
        <w:spacing w:before="10" w:line="100" w:lineRule="exact"/>
        <w:jc w:val="left"/>
        <w:rPr>
          <w:rFonts w:ascii="宋体" w:hAnsi="宋体" w:cs="MingLiU"/>
          <w:snapToGrid w:val="0"/>
          <w:color w:val="auto"/>
          <w:kern w:val="0"/>
          <w:sz w:val="10"/>
          <w:szCs w:val="10"/>
          <w:highlight w:val="none"/>
        </w:rPr>
      </w:pPr>
    </w:p>
    <w:p w14:paraId="22741C5F">
      <w:pPr>
        <w:autoSpaceDE w:val="0"/>
        <w:autoSpaceDN w:val="0"/>
        <w:adjustRightInd w:val="0"/>
        <w:spacing w:line="354" w:lineRule="auto"/>
        <w:ind w:left="120" w:right="-9" w:firstLine="420"/>
        <w:jc w:val="left"/>
        <w:rPr>
          <w:rFonts w:ascii="宋体" w:hAnsi="宋体" w:cs="MingLiU"/>
          <w:snapToGrid w:val="0"/>
          <w:color w:val="auto"/>
          <w:kern w:val="0"/>
          <w:szCs w:val="21"/>
          <w:highlight w:val="none"/>
        </w:rPr>
      </w:pPr>
      <w:r>
        <w:rPr>
          <w:rFonts w:hint="eastAsia" w:ascii="宋体" w:hAnsi="宋体"/>
          <w:snapToGrid w:val="0"/>
          <w:color w:val="auto"/>
          <w:kern w:val="0"/>
          <w:szCs w:val="21"/>
          <w:highlight w:val="none"/>
          <w:lang w:val="en-US" w:eastAsia="zh-CN"/>
        </w:rPr>
        <w:t>4</w:t>
      </w:r>
      <w:r>
        <w:rPr>
          <w:rFonts w:hint="eastAsia" w:ascii="宋体" w:hAnsi="宋体" w:cs="MingLiU"/>
          <w:snapToGrid w:val="0"/>
          <w:color w:val="auto"/>
          <w:kern w:val="0"/>
          <w:szCs w:val="21"/>
          <w:highlight w:val="none"/>
        </w:rPr>
        <w:t>．我方在此声明，所递交的</w:t>
      </w:r>
      <w:r>
        <w:rPr>
          <w:rFonts w:hint="eastAsia" w:ascii="宋体" w:hAnsi="宋体" w:cs="MingLiU"/>
          <w:snapToGrid w:val="0"/>
          <w:color w:val="auto"/>
          <w:kern w:val="0"/>
          <w:szCs w:val="21"/>
          <w:highlight w:val="none"/>
          <w:lang w:val="en-US" w:eastAsia="zh-CN"/>
        </w:rPr>
        <w:t>谈判文件</w:t>
      </w:r>
      <w:r>
        <w:rPr>
          <w:rFonts w:hint="eastAsia" w:ascii="宋体" w:hAnsi="宋体" w:cs="MingLiU"/>
          <w:snapToGrid w:val="0"/>
          <w:color w:val="auto"/>
          <w:kern w:val="0"/>
          <w:szCs w:val="21"/>
          <w:highlight w:val="none"/>
        </w:rPr>
        <w:t>及有关资料内容完整、真实和准确。</w:t>
      </w:r>
    </w:p>
    <w:p w14:paraId="5623B420">
      <w:pPr>
        <w:tabs>
          <w:tab w:val="left" w:pos="4940"/>
        </w:tabs>
        <w:autoSpaceDE w:val="0"/>
        <w:autoSpaceDN w:val="0"/>
        <w:adjustRightInd w:val="0"/>
        <w:ind w:left="540" w:right="-20"/>
        <w:jc w:val="left"/>
        <w:rPr>
          <w:rFonts w:ascii="宋体" w:hAnsi="宋体" w:cs="MingLiU"/>
          <w:snapToGrid w:val="0"/>
          <w:color w:val="auto"/>
          <w:kern w:val="0"/>
          <w:szCs w:val="21"/>
          <w:highlight w:val="none"/>
        </w:rPr>
      </w:pPr>
      <w:r>
        <w:rPr>
          <w:rFonts w:hint="eastAsia" w:ascii="宋体" w:hAnsi="宋体"/>
          <w:snapToGrid w:val="0"/>
          <w:color w:val="auto"/>
          <w:kern w:val="0"/>
          <w:szCs w:val="21"/>
          <w:highlight w:val="none"/>
          <w:lang w:val="en-US" w:eastAsia="zh-CN"/>
        </w:rPr>
        <w:t>5</w:t>
      </w:r>
      <w:r>
        <w:rPr>
          <w:rFonts w:hint="eastAsia" w:ascii="宋体" w:hAnsi="宋体" w:cs="MingLiU"/>
          <w:snapToGrid w:val="0"/>
          <w:color w:val="auto"/>
          <w:kern w:val="0"/>
          <w:szCs w:val="21"/>
          <w:highlight w:val="none"/>
        </w:rPr>
        <w:t>．</w:t>
      </w:r>
      <w:r>
        <w:rPr>
          <w:rFonts w:ascii="宋体" w:hAnsi="宋体" w:cs="MingLiU"/>
          <w:snapToGrid w:val="0"/>
          <w:color w:val="auto"/>
          <w:w w:val="200"/>
          <w:kern w:val="0"/>
          <w:szCs w:val="21"/>
          <w:highlight w:val="none"/>
          <w:u w:val="single"/>
        </w:rPr>
        <w:t xml:space="preserve"> </w:t>
      </w:r>
      <w:r>
        <w:rPr>
          <w:rFonts w:ascii="宋体" w:hAnsi="宋体"/>
          <w:snapToGrid w:val="0"/>
          <w:color w:val="auto"/>
          <w:kern w:val="0"/>
          <w:szCs w:val="21"/>
          <w:highlight w:val="none"/>
          <w:u w:val="single"/>
        </w:rPr>
        <w:tab/>
      </w:r>
      <w:r>
        <w:rPr>
          <w:rFonts w:hint="eastAsia" w:ascii="宋体" w:hAnsi="宋体" w:cs="MingLiU"/>
          <w:snapToGrid w:val="0"/>
          <w:color w:val="auto"/>
          <w:kern w:val="0"/>
          <w:szCs w:val="21"/>
          <w:highlight w:val="none"/>
        </w:rPr>
        <w:t>（其他补充说明）。</w:t>
      </w:r>
    </w:p>
    <w:p w14:paraId="46376A48">
      <w:pPr>
        <w:tabs>
          <w:tab w:val="left" w:pos="7140"/>
          <w:tab w:val="left" w:pos="7560"/>
          <w:tab w:val="left" w:pos="8300"/>
        </w:tabs>
        <w:autoSpaceDE w:val="0"/>
        <w:autoSpaceDN w:val="0"/>
        <w:adjustRightInd w:val="0"/>
        <w:spacing w:line="370" w:lineRule="auto"/>
        <w:ind w:right="210" w:firstLine="1995" w:firstLineChars="950"/>
        <w:rPr>
          <w:rFonts w:hint="eastAsia" w:ascii="宋体" w:hAnsi="宋体"/>
          <w:snapToGrid w:val="0"/>
          <w:color w:val="auto"/>
          <w:kern w:val="0"/>
          <w:szCs w:val="21"/>
          <w:highlight w:val="none"/>
        </w:rPr>
      </w:pPr>
    </w:p>
    <w:p w14:paraId="6BC47B1C">
      <w:pPr>
        <w:tabs>
          <w:tab w:val="left" w:pos="7140"/>
          <w:tab w:val="left" w:pos="7560"/>
          <w:tab w:val="left" w:pos="8300"/>
        </w:tabs>
        <w:autoSpaceDE w:val="0"/>
        <w:autoSpaceDN w:val="0"/>
        <w:adjustRightInd w:val="0"/>
        <w:spacing w:line="370" w:lineRule="auto"/>
        <w:ind w:right="210" w:firstLine="1995" w:firstLineChars="950"/>
        <w:rPr>
          <w:rFonts w:hint="eastAsia" w:ascii="宋体" w:hAnsi="宋体"/>
          <w:snapToGrid w:val="0"/>
          <w:color w:val="auto"/>
          <w:kern w:val="0"/>
          <w:szCs w:val="21"/>
          <w:highlight w:val="none"/>
        </w:rPr>
      </w:pPr>
    </w:p>
    <w:p w14:paraId="1A49B1D0">
      <w:pPr>
        <w:tabs>
          <w:tab w:val="left" w:pos="7140"/>
          <w:tab w:val="left" w:pos="7560"/>
          <w:tab w:val="left" w:pos="8300"/>
        </w:tabs>
        <w:autoSpaceDE w:val="0"/>
        <w:autoSpaceDN w:val="0"/>
        <w:adjustRightInd w:val="0"/>
        <w:spacing w:line="370" w:lineRule="auto"/>
        <w:ind w:right="210" w:firstLine="1995" w:firstLineChars="950"/>
        <w:rPr>
          <w:rFonts w:hint="eastAsia" w:ascii="宋体" w:hAnsi="宋体"/>
          <w:snapToGrid w:val="0"/>
          <w:color w:val="auto"/>
          <w:kern w:val="0"/>
          <w:szCs w:val="21"/>
          <w:highlight w:val="none"/>
        </w:rPr>
      </w:pPr>
    </w:p>
    <w:p w14:paraId="16A65A8A">
      <w:pPr>
        <w:tabs>
          <w:tab w:val="left" w:pos="7140"/>
          <w:tab w:val="left" w:pos="7560"/>
          <w:tab w:val="left" w:pos="8300"/>
        </w:tabs>
        <w:autoSpaceDE w:val="0"/>
        <w:autoSpaceDN w:val="0"/>
        <w:adjustRightInd w:val="0"/>
        <w:spacing w:line="370" w:lineRule="auto"/>
        <w:ind w:right="210" w:firstLine="1995" w:firstLineChars="950"/>
        <w:rPr>
          <w:rFonts w:hint="eastAsia" w:ascii="宋体" w:hAnsi="宋体"/>
          <w:snapToGrid w:val="0"/>
          <w:color w:val="auto"/>
          <w:kern w:val="0"/>
          <w:szCs w:val="21"/>
          <w:highlight w:val="none"/>
        </w:rPr>
      </w:pPr>
    </w:p>
    <w:p w14:paraId="7ADDC9E4">
      <w:pPr>
        <w:tabs>
          <w:tab w:val="left" w:pos="7140"/>
          <w:tab w:val="left" w:pos="7560"/>
          <w:tab w:val="left" w:pos="8300"/>
        </w:tabs>
        <w:autoSpaceDE w:val="0"/>
        <w:autoSpaceDN w:val="0"/>
        <w:adjustRightInd w:val="0"/>
        <w:spacing w:line="370" w:lineRule="auto"/>
        <w:ind w:right="210" w:firstLine="1995" w:firstLineChars="950"/>
        <w:rPr>
          <w:rFonts w:hint="eastAsia" w:ascii="宋体" w:hAnsi="宋体"/>
          <w:snapToGrid w:val="0"/>
          <w:color w:val="auto"/>
          <w:kern w:val="0"/>
          <w:szCs w:val="21"/>
          <w:highlight w:val="none"/>
        </w:rPr>
      </w:pPr>
    </w:p>
    <w:p w14:paraId="119270A3">
      <w:pPr>
        <w:tabs>
          <w:tab w:val="left" w:pos="7140"/>
          <w:tab w:val="left" w:pos="7560"/>
          <w:tab w:val="left" w:pos="8300"/>
        </w:tabs>
        <w:autoSpaceDE w:val="0"/>
        <w:autoSpaceDN w:val="0"/>
        <w:adjustRightInd w:val="0"/>
        <w:spacing w:line="370" w:lineRule="auto"/>
        <w:ind w:right="210" w:firstLine="1995" w:firstLineChars="950"/>
        <w:rPr>
          <w:rFonts w:ascii="宋体" w:hAnsi="宋体"/>
          <w:snapToGrid w:val="0"/>
          <w:color w:val="auto"/>
          <w:kern w:val="0"/>
          <w:szCs w:val="21"/>
          <w:highlight w:val="none"/>
        </w:rPr>
      </w:pPr>
      <w:r>
        <w:rPr>
          <w:rFonts w:hint="eastAsia" w:ascii="宋体" w:hAnsi="宋体"/>
          <w:snapToGrid w:val="0"/>
          <w:color w:val="auto"/>
          <w:kern w:val="0"/>
          <w:szCs w:val="21"/>
          <w:highlight w:val="none"/>
          <w:lang w:val="en-US" w:eastAsia="zh-CN"/>
        </w:rPr>
        <w:t>报价人</w:t>
      </w:r>
      <w:r>
        <w:rPr>
          <w:rFonts w:hint="eastAsia" w:ascii="宋体" w:hAnsi="宋体" w:cs="MingLiU"/>
          <w:snapToGrid w:val="0"/>
          <w:color w:val="auto"/>
          <w:kern w:val="0"/>
          <w:szCs w:val="21"/>
          <w:highlight w:val="none"/>
        </w:rPr>
        <w:t>：</w:t>
      </w:r>
      <w:r>
        <w:rPr>
          <w:rFonts w:hint="eastAsia" w:ascii="宋体" w:hAnsi="宋体" w:cs="MingLiU"/>
          <w:snapToGrid w:val="0"/>
          <w:color w:val="auto"/>
          <w:kern w:val="0"/>
          <w:szCs w:val="21"/>
          <w:highlight w:val="none"/>
          <w:u w:val="single"/>
        </w:rPr>
        <w:t xml:space="preserve">                　　　　　     </w:t>
      </w:r>
      <w:r>
        <w:rPr>
          <w:rFonts w:hint="eastAsia" w:ascii="宋体" w:hAnsi="宋体" w:cs="MingLiU"/>
          <w:snapToGrid w:val="0"/>
          <w:color w:val="auto"/>
          <w:kern w:val="0"/>
          <w:szCs w:val="21"/>
          <w:highlight w:val="none"/>
        </w:rPr>
        <w:t>（盖单位法人章）</w:t>
      </w:r>
      <w:r>
        <w:rPr>
          <w:rFonts w:ascii="宋体" w:hAnsi="宋体"/>
          <w:snapToGrid w:val="0"/>
          <w:color w:val="auto"/>
          <w:kern w:val="0"/>
          <w:szCs w:val="21"/>
          <w:highlight w:val="none"/>
        </w:rPr>
        <w:t xml:space="preserve"> </w:t>
      </w:r>
    </w:p>
    <w:p w14:paraId="4BCB3BDB">
      <w:pPr>
        <w:tabs>
          <w:tab w:val="left" w:pos="7140"/>
          <w:tab w:val="left" w:pos="7560"/>
          <w:tab w:val="left" w:pos="8300"/>
        </w:tabs>
        <w:autoSpaceDE w:val="0"/>
        <w:autoSpaceDN w:val="0"/>
        <w:adjustRightInd w:val="0"/>
        <w:spacing w:line="370" w:lineRule="auto"/>
        <w:ind w:right="210" w:firstLine="1995" w:firstLineChars="950"/>
        <w:rPr>
          <w:rFonts w:ascii="宋体" w:hAnsi="宋体" w:cs="MingLiU"/>
          <w:snapToGrid w:val="0"/>
          <w:color w:val="auto"/>
          <w:kern w:val="0"/>
          <w:szCs w:val="21"/>
          <w:highlight w:val="none"/>
        </w:rPr>
      </w:pPr>
      <w:r>
        <w:rPr>
          <w:rFonts w:hint="eastAsia" w:ascii="宋体" w:hAnsi="宋体" w:cs="MingLiU"/>
          <w:snapToGrid w:val="0"/>
          <w:color w:val="auto"/>
          <w:kern w:val="0"/>
          <w:szCs w:val="21"/>
          <w:highlight w:val="none"/>
        </w:rPr>
        <w:t>法定代表人或其委托代理人：</w:t>
      </w:r>
      <w:r>
        <w:rPr>
          <w:rFonts w:hint="eastAsia" w:ascii="宋体" w:hAnsi="宋体" w:cs="MingLiU"/>
          <w:snapToGrid w:val="0"/>
          <w:color w:val="auto"/>
          <w:kern w:val="0"/>
          <w:szCs w:val="21"/>
          <w:highlight w:val="none"/>
          <w:u w:val="single"/>
        </w:rPr>
        <w:t xml:space="preserve">  </w:t>
      </w:r>
      <w:r>
        <w:rPr>
          <w:rFonts w:hint="eastAsia" w:ascii="宋体" w:hAnsi="宋体"/>
          <w:snapToGrid w:val="0"/>
          <w:color w:val="auto"/>
          <w:kern w:val="0"/>
          <w:szCs w:val="21"/>
          <w:highlight w:val="none"/>
          <w:u w:val="single"/>
        </w:rPr>
        <w:t xml:space="preserve">               </w:t>
      </w:r>
      <w:r>
        <w:rPr>
          <w:rFonts w:hint="eastAsia" w:ascii="宋体" w:hAnsi="宋体" w:cs="MingLiU"/>
          <w:snapToGrid w:val="0"/>
          <w:color w:val="auto"/>
          <w:kern w:val="0"/>
          <w:szCs w:val="21"/>
          <w:highlight w:val="none"/>
        </w:rPr>
        <w:t>（签字或盖章）</w:t>
      </w:r>
    </w:p>
    <w:p w14:paraId="73541E6A">
      <w:pPr>
        <w:tabs>
          <w:tab w:val="left" w:pos="7035"/>
          <w:tab w:val="left" w:pos="7560"/>
          <w:tab w:val="left" w:pos="8300"/>
        </w:tabs>
        <w:autoSpaceDE w:val="0"/>
        <w:autoSpaceDN w:val="0"/>
        <w:adjustRightInd w:val="0"/>
        <w:spacing w:line="370" w:lineRule="auto"/>
        <w:ind w:right="210" w:firstLine="1995" w:firstLineChars="950"/>
        <w:rPr>
          <w:rFonts w:ascii="宋体" w:hAnsi="宋体" w:cs="MingLiU"/>
          <w:snapToGrid w:val="0"/>
          <w:color w:val="auto"/>
          <w:kern w:val="0"/>
          <w:szCs w:val="21"/>
          <w:highlight w:val="none"/>
        </w:rPr>
      </w:pPr>
      <w:r>
        <w:rPr>
          <w:rFonts w:hint="eastAsia" w:ascii="宋体" w:hAnsi="宋体" w:cs="MingLiU"/>
          <w:snapToGrid w:val="0"/>
          <w:color w:val="auto"/>
          <w:kern w:val="0"/>
          <w:szCs w:val="21"/>
          <w:highlight w:val="none"/>
        </w:rPr>
        <w:t>地址：</w:t>
      </w:r>
      <w:r>
        <w:rPr>
          <w:rFonts w:ascii="宋体" w:hAnsi="宋体" w:cs="MingLiU"/>
          <w:snapToGrid w:val="0"/>
          <w:color w:val="auto"/>
          <w:w w:val="200"/>
          <w:kern w:val="0"/>
          <w:szCs w:val="21"/>
          <w:highlight w:val="none"/>
          <w:u w:val="single"/>
        </w:rPr>
        <w:t xml:space="preserve"> </w:t>
      </w:r>
      <w:r>
        <w:rPr>
          <w:rFonts w:ascii="宋体" w:hAnsi="宋体"/>
          <w:snapToGrid w:val="0"/>
          <w:color w:val="auto"/>
          <w:kern w:val="0"/>
          <w:szCs w:val="21"/>
          <w:highlight w:val="none"/>
          <w:u w:val="single"/>
        </w:rPr>
        <w:tab/>
      </w:r>
    </w:p>
    <w:p w14:paraId="441F67A1">
      <w:pPr>
        <w:tabs>
          <w:tab w:val="left" w:pos="8300"/>
        </w:tabs>
        <w:autoSpaceDE w:val="0"/>
        <w:autoSpaceDN w:val="0"/>
        <w:adjustRightInd w:val="0"/>
        <w:spacing w:before="1"/>
        <w:ind w:left="1985" w:right="-20"/>
        <w:jc w:val="left"/>
        <w:rPr>
          <w:rFonts w:ascii="宋体" w:hAnsi="宋体" w:cs="MingLiU"/>
          <w:snapToGrid w:val="0"/>
          <w:color w:val="auto"/>
          <w:kern w:val="0"/>
          <w:szCs w:val="21"/>
          <w:highlight w:val="none"/>
        </w:rPr>
      </w:pPr>
      <w:r>
        <w:rPr>
          <w:rFonts w:hint="eastAsia" w:ascii="宋体" w:hAnsi="宋体" w:cs="MingLiU"/>
          <w:snapToGrid w:val="0"/>
          <w:color w:val="auto"/>
          <w:kern w:val="0"/>
          <w:szCs w:val="21"/>
          <w:highlight w:val="none"/>
        </w:rPr>
        <w:t>网址：</w:t>
      </w:r>
      <w:r>
        <w:rPr>
          <w:rFonts w:ascii="宋体" w:hAnsi="宋体" w:cs="MingLiU"/>
          <w:snapToGrid w:val="0"/>
          <w:color w:val="auto"/>
          <w:w w:val="200"/>
          <w:kern w:val="0"/>
          <w:szCs w:val="21"/>
          <w:highlight w:val="none"/>
          <w:u w:val="single"/>
        </w:rPr>
        <w:t xml:space="preserve"> </w:t>
      </w:r>
      <w:r>
        <w:rPr>
          <w:rFonts w:hint="eastAsia" w:ascii="宋体" w:hAnsi="宋体"/>
          <w:snapToGrid w:val="0"/>
          <w:color w:val="auto"/>
          <w:kern w:val="0"/>
          <w:szCs w:val="21"/>
          <w:highlight w:val="none"/>
          <w:u w:val="single"/>
        </w:rPr>
        <w:t>　　　　　　　　　　　　　　　　　　　　</w:t>
      </w:r>
    </w:p>
    <w:p w14:paraId="6F5515FA">
      <w:pPr>
        <w:autoSpaceDE w:val="0"/>
        <w:autoSpaceDN w:val="0"/>
        <w:adjustRightInd w:val="0"/>
        <w:spacing w:before="14" w:line="200" w:lineRule="exact"/>
        <w:jc w:val="left"/>
        <w:rPr>
          <w:rFonts w:ascii="宋体" w:hAnsi="宋体" w:cs="MingLiU"/>
          <w:snapToGrid w:val="0"/>
          <w:color w:val="auto"/>
          <w:kern w:val="0"/>
          <w:sz w:val="20"/>
          <w:szCs w:val="20"/>
          <w:highlight w:val="none"/>
        </w:rPr>
      </w:pPr>
    </w:p>
    <w:p w14:paraId="1D6DC73B">
      <w:pPr>
        <w:tabs>
          <w:tab w:val="left" w:pos="8300"/>
        </w:tabs>
        <w:autoSpaceDE w:val="0"/>
        <w:autoSpaceDN w:val="0"/>
        <w:adjustRightInd w:val="0"/>
        <w:spacing w:line="220" w:lineRule="exact"/>
        <w:ind w:left="1985" w:right="-20"/>
        <w:jc w:val="left"/>
        <w:rPr>
          <w:rFonts w:ascii="宋体" w:hAnsi="宋体" w:cs="MingLiU"/>
          <w:snapToGrid w:val="0"/>
          <w:color w:val="auto"/>
          <w:kern w:val="0"/>
          <w:szCs w:val="21"/>
          <w:highlight w:val="none"/>
        </w:rPr>
      </w:pPr>
      <w:r>
        <w:rPr>
          <w:rFonts w:hint="eastAsia" w:ascii="宋体" w:hAnsi="宋体" w:cs="MingLiU"/>
          <w:snapToGrid w:val="0"/>
          <w:color w:val="auto"/>
          <w:kern w:val="0"/>
          <w:szCs w:val="21"/>
          <w:highlight w:val="none"/>
        </w:rPr>
        <w:t>电话：</w:t>
      </w:r>
      <w:r>
        <w:rPr>
          <w:rFonts w:ascii="宋体" w:hAnsi="宋体" w:cs="MingLiU"/>
          <w:snapToGrid w:val="0"/>
          <w:color w:val="auto"/>
          <w:w w:val="200"/>
          <w:kern w:val="0"/>
          <w:szCs w:val="21"/>
          <w:highlight w:val="none"/>
          <w:u w:val="single"/>
        </w:rPr>
        <w:t xml:space="preserve"> </w:t>
      </w:r>
      <w:r>
        <w:rPr>
          <w:rFonts w:hint="eastAsia" w:ascii="宋体" w:hAnsi="宋体"/>
          <w:snapToGrid w:val="0"/>
          <w:color w:val="auto"/>
          <w:kern w:val="0"/>
          <w:szCs w:val="21"/>
          <w:highlight w:val="none"/>
          <w:u w:val="single"/>
        </w:rPr>
        <w:t>　　　　　　　　　　　　　　　　　　　　</w:t>
      </w:r>
    </w:p>
    <w:p w14:paraId="5883FE6E">
      <w:pPr>
        <w:autoSpaceDE w:val="0"/>
        <w:autoSpaceDN w:val="0"/>
        <w:adjustRightInd w:val="0"/>
        <w:spacing w:before="13" w:line="200" w:lineRule="exact"/>
        <w:jc w:val="left"/>
        <w:rPr>
          <w:rFonts w:ascii="宋体" w:hAnsi="宋体" w:cs="MingLiU"/>
          <w:snapToGrid w:val="0"/>
          <w:color w:val="auto"/>
          <w:kern w:val="0"/>
          <w:sz w:val="20"/>
          <w:szCs w:val="20"/>
          <w:highlight w:val="none"/>
        </w:rPr>
      </w:pPr>
    </w:p>
    <w:p w14:paraId="00F7FEED">
      <w:pPr>
        <w:tabs>
          <w:tab w:val="left" w:pos="8300"/>
        </w:tabs>
        <w:autoSpaceDE w:val="0"/>
        <w:autoSpaceDN w:val="0"/>
        <w:adjustRightInd w:val="0"/>
        <w:spacing w:line="220" w:lineRule="exact"/>
        <w:ind w:left="1985" w:right="-20"/>
        <w:jc w:val="left"/>
        <w:rPr>
          <w:rFonts w:ascii="宋体" w:hAnsi="宋体" w:cs="MingLiU"/>
          <w:snapToGrid w:val="0"/>
          <w:color w:val="auto"/>
          <w:kern w:val="0"/>
          <w:szCs w:val="21"/>
          <w:highlight w:val="none"/>
        </w:rPr>
      </w:pPr>
      <w:r>
        <w:rPr>
          <w:rFonts w:hint="eastAsia" w:ascii="宋体" w:hAnsi="宋体" w:cs="MingLiU"/>
          <w:snapToGrid w:val="0"/>
          <w:color w:val="auto"/>
          <w:kern w:val="0"/>
          <w:szCs w:val="21"/>
          <w:highlight w:val="none"/>
        </w:rPr>
        <w:t>传真：</w:t>
      </w:r>
      <w:r>
        <w:rPr>
          <w:rFonts w:ascii="宋体" w:hAnsi="宋体" w:cs="MingLiU"/>
          <w:snapToGrid w:val="0"/>
          <w:color w:val="auto"/>
          <w:w w:val="200"/>
          <w:kern w:val="0"/>
          <w:szCs w:val="21"/>
          <w:highlight w:val="none"/>
          <w:u w:val="single"/>
        </w:rPr>
        <w:t xml:space="preserve"> </w:t>
      </w:r>
      <w:r>
        <w:rPr>
          <w:rFonts w:hint="eastAsia" w:ascii="宋体" w:hAnsi="宋体"/>
          <w:snapToGrid w:val="0"/>
          <w:color w:val="auto"/>
          <w:kern w:val="0"/>
          <w:szCs w:val="21"/>
          <w:highlight w:val="none"/>
          <w:u w:val="single"/>
        </w:rPr>
        <w:t>　　　　　　　　　　　　　　　　　　　　</w:t>
      </w:r>
    </w:p>
    <w:p w14:paraId="05029239">
      <w:pPr>
        <w:tabs>
          <w:tab w:val="left" w:pos="8300"/>
        </w:tabs>
        <w:autoSpaceDE w:val="0"/>
        <w:autoSpaceDN w:val="0"/>
        <w:adjustRightInd w:val="0"/>
        <w:spacing w:line="220" w:lineRule="exact"/>
        <w:ind w:left="3796" w:right="-20"/>
        <w:jc w:val="left"/>
        <w:rPr>
          <w:rFonts w:ascii="宋体" w:hAnsi="宋体" w:cs="MingLiU"/>
          <w:snapToGrid w:val="0"/>
          <w:color w:val="auto"/>
          <w:kern w:val="0"/>
          <w:szCs w:val="21"/>
          <w:highlight w:val="none"/>
        </w:rPr>
      </w:pPr>
    </w:p>
    <w:p w14:paraId="57BC2C48">
      <w:pPr>
        <w:tabs>
          <w:tab w:val="left" w:pos="8300"/>
        </w:tabs>
        <w:autoSpaceDE w:val="0"/>
        <w:autoSpaceDN w:val="0"/>
        <w:adjustRightInd w:val="0"/>
        <w:spacing w:line="220" w:lineRule="exact"/>
        <w:ind w:left="1985" w:right="-20"/>
        <w:jc w:val="left"/>
        <w:rPr>
          <w:rFonts w:ascii="宋体" w:hAnsi="宋体" w:cs="MingLiU"/>
          <w:snapToGrid w:val="0"/>
          <w:color w:val="auto"/>
          <w:kern w:val="0"/>
          <w:sz w:val="20"/>
          <w:szCs w:val="20"/>
          <w:highlight w:val="none"/>
        </w:rPr>
      </w:pPr>
      <w:r>
        <w:rPr>
          <w:rFonts w:hint="eastAsia" w:ascii="宋体" w:hAnsi="宋体" w:cs="MingLiU"/>
          <w:snapToGrid w:val="0"/>
          <w:color w:val="auto"/>
          <w:kern w:val="0"/>
          <w:szCs w:val="21"/>
          <w:highlight w:val="none"/>
        </w:rPr>
        <w:t>邮政编码：</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w w:val="200"/>
          <w:kern w:val="0"/>
          <w:szCs w:val="21"/>
          <w:highlight w:val="none"/>
          <w:u w:val="single"/>
        </w:rPr>
        <w:t>　　　　　　　　　</w:t>
      </w:r>
    </w:p>
    <w:p w14:paraId="1273AAD0">
      <w:pPr>
        <w:tabs>
          <w:tab w:val="left" w:pos="6000"/>
          <w:tab w:val="left" w:pos="7040"/>
          <w:tab w:val="left" w:pos="8100"/>
        </w:tabs>
        <w:autoSpaceDE w:val="0"/>
        <w:autoSpaceDN w:val="0"/>
        <w:adjustRightInd w:val="0"/>
        <w:spacing w:line="220" w:lineRule="exact"/>
        <w:ind w:right="-20"/>
        <w:jc w:val="left"/>
        <w:rPr>
          <w:rFonts w:ascii="宋体" w:hAnsi="宋体" w:cs="MingLiU"/>
          <w:snapToGrid w:val="0"/>
          <w:color w:val="auto"/>
          <w:kern w:val="0"/>
          <w:szCs w:val="21"/>
          <w:highlight w:val="none"/>
          <w:u w:val="single"/>
        </w:rPr>
      </w:pPr>
    </w:p>
    <w:p w14:paraId="5CC73277">
      <w:pPr>
        <w:spacing w:line="360" w:lineRule="auto"/>
        <w:ind w:firstLine="2377" w:firstLineChars="1132"/>
        <w:rPr>
          <w:rStyle w:val="66"/>
          <w:rFonts w:ascii="Times New Roman" w:hAnsi="Times New Roman" w:eastAsia="宋体"/>
          <w:color w:val="auto"/>
          <w:w w:val="99"/>
          <w:highlight w:val="none"/>
        </w:rPr>
      </w:pPr>
      <w:r>
        <w:rPr>
          <w:rFonts w:hint="eastAsia" w:ascii="宋体" w:hAnsi="宋体" w:cs="MingLiU"/>
          <w:snapToGrid w:val="0"/>
          <w:color w:val="auto"/>
          <w:kern w:val="0"/>
          <w:szCs w:val="21"/>
          <w:highlight w:val="none"/>
          <w:u w:val="single"/>
        </w:rPr>
        <w:t xml:space="preserve">        </w:t>
      </w:r>
      <w:r>
        <w:rPr>
          <w:rFonts w:hint="eastAsia" w:ascii="宋体" w:hAnsi="宋体" w:cs="MingLiU"/>
          <w:snapToGrid w:val="0"/>
          <w:color w:val="auto"/>
          <w:kern w:val="0"/>
          <w:szCs w:val="21"/>
          <w:highlight w:val="none"/>
        </w:rPr>
        <w:t>年</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w w:val="200"/>
          <w:kern w:val="0"/>
          <w:szCs w:val="21"/>
          <w:highlight w:val="none"/>
          <w:u w:val="single"/>
        </w:rPr>
        <w:t xml:space="preserve"> </w:t>
      </w:r>
      <w:r>
        <w:rPr>
          <w:rFonts w:hint="eastAsia" w:ascii="宋体" w:hAnsi="宋体" w:cs="MingLiU"/>
          <w:snapToGrid w:val="0"/>
          <w:color w:val="auto"/>
          <w:kern w:val="0"/>
          <w:szCs w:val="21"/>
          <w:highlight w:val="none"/>
        </w:rPr>
        <w:t>月</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w w:val="200"/>
          <w:kern w:val="0"/>
          <w:szCs w:val="21"/>
          <w:highlight w:val="none"/>
          <w:u w:val="single"/>
        </w:rPr>
        <w:t xml:space="preserve"> </w:t>
      </w:r>
      <w:r>
        <w:rPr>
          <w:rFonts w:hint="eastAsia" w:ascii="宋体" w:hAnsi="宋体" w:cs="MingLiU"/>
          <w:snapToGrid w:val="0"/>
          <w:color w:val="auto"/>
          <w:kern w:val="0"/>
          <w:szCs w:val="21"/>
          <w:highlight w:val="none"/>
        </w:rPr>
        <w:t>日</w:t>
      </w:r>
    </w:p>
    <w:p w14:paraId="6C10728A">
      <w:pPr>
        <w:pStyle w:val="64"/>
        <w:keepNext w:val="0"/>
        <w:keepLines w:val="0"/>
        <w:pageBreakBefore w:val="0"/>
        <w:widowControl/>
        <w:kinsoku/>
        <w:wordWrap w:val="0"/>
        <w:overflowPunct/>
        <w:bidi w:val="0"/>
        <w:spacing w:line="380" w:lineRule="exact"/>
        <w:ind w:firstLine="560" w:firstLineChars="200"/>
        <w:textAlignment w:val="auto"/>
        <w:rPr>
          <w:rFonts w:ascii="宋体" w:hAnsi="宋体"/>
          <w:bCs/>
          <w:kern w:val="0"/>
          <w:sz w:val="28"/>
          <w:szCs w:val="28"/>
        </w:rPr>
      </w:pPr>
    </w:p>
    <w:p w14:paraId="03053813">
      <w:pPr>
        <w:pStyle w:val="64"/>
        <w:keepNext w:val="0"/>
        <w:keepLines w:val="0"/>
        <w:pageBreakBefore w:val="0"/>
        <w:widowControl/>
        <w:kinsoku/>
        <w:wordWrap w:val="0"/>
        <w:overflowPunct/>
        <w:bidi w:val="0"/>
        <w:spacing w:line="380" w:lineRule="exact"/>
        <w:ind w:firstLine="560" w:firstLineChars="200"/>
        <w:textAlignment w:val="auto"/>
        <w:rPr>
          <w:rFonts w:ascii="宋体" w:hAnsi="宋体"/>
          <w:bCs/>
          <w:kern w:val="0"/>
          <w:sz w:val="28"/>
          <w:szCs w:val="28"/>
        </w:rPr>
      </w:pPr>
    </w:p>
    <w:p w14:paraId="24CF5D8F">
      <w:pPr>
        <w:pStyle w:val="64"/>
        <w:keepNext w:val="0"/>
        <w:keepLines w:val="0"/>
        <w:pageBreakBefore w:val="0"/>
        <w:widowControl/>
        <w:kinsoku/>
        <w:wordWrap w:val="0"/>
        <w:overflowPunct/>
        <w:bidi w:val="0"/>
        <w:spacing w:line="380" w:lineRule="exact"/>
        <w:ind w:firstLine="560" w:firstLineChars="200"/>
        <w:jc w:val="center"/>
        <w:textAlignment w:val="auto"/>
        <w:rPr>
          <w:rFonts w:hint="eastAsia" w:ascii="宋体" w:hAnsi="宋体"/>
          <w:bCs/>
          <w:kern w:val="0"/>
          <w:sz w:val="28"/>
          <w:szCs w:val="28"/>
          <w:lang w:val="en-US" w:eastAsia="zh-CN"/>
        </w:rPr>
      </w:pPr>
      <w:r>
        <w:rPr>
          <w:rFonts w:hint="eastAsia" w:ascii="宋体" w:hAnsi="宋体"/>
          <w:bCs/>
          <w:kern w:val="0"/>
          <w:sz w:val="28"/>
          <w:szCs w:val="28"/>
          <w:lang w:val="en-US" w:eastAsia="zh-CN"/>
        </w:rPr>
        <w:t>附件5、合同模板</w:t>
      </w:r>
    </w:p>
    <w:p w14:paraId="48A42802">
      <w:pPr>
        <w:jc w:val="left"/>
        <w:rPr>
          <w:rFonts w:eastAsia="仿宋_GB2312"/>
          <w:bCs/>
          <w:color w:val="auto"/>
          <w:sz w:val="32"/>
          <w:szCs w:val="32"/>
          <w:highlight w:val="none"/>
        </w:rPr>
      </w:pPr>
      <w:r>
        <w:rPr>
          <w:rFonts w:eastAsia="仿宋_GB2312"/>
          <w:bCs/>
          <w:color w:val="auto"/>
          <w:sz w:val="32"/>
          <w:szCs w:val="32"/>
          <w:highlight w:val="none"/>
        </w:rPr>
        <w:t>（GF—201</w:t>
      </w:r>
      <w:r>
        <w:rPr>
          <w:rFonts w:hint="eastAsia" w:eastAsia="仿宋_GB2312"/>
          <w:bCs/>
          <w:color w:val="auto"/>
          <w:sz w:val="32"/>
          <w:szCs w:val="32"/>
          <w:highlight w:val="none"/>
        </w:rPr>
        <w:t>7</w:t>
      </w:r>
      <w:r>
        <w:rPr>
          <w:rFonts w:eastAsia="仿宋_GB2312"/>
          <w:bCs/>
          <w:color w:val="auto"/>
          <w:sz w:val="32"/>
          <w:szCs w:val="32"/>
          <w:highlight w:val="none"/>
        </w:rPr>
        <w:t>—</w:t>
      </w:r>
      <w:r>
        <w:rPr>
          <w:rFonts w:hint="eastAsia" w:eastAsia="仿宋_GB2312"/>
          <w:bCs/>
          <w:color w:val="auto"/>
          <w:sz w:val="32"/>
          <w:szCs w:val="32"/>
          <w:highlight w:val="none"/>
        </w:rPr>
        <w:t>0201）</w:t>
      </w:r>
    </w:p>
    <w:p w14:paraId="09F7DEFA">
      <w:pPr>
        <w:jc w:val="center"/>
        <w:rPr>
          <w:rFonts w:eastAsia="华文中宋"/>
          <w:b/>
          <w:color w:val="auto"/>
          <w:sz w:val="52"/>
          <w:szCs w:val="52"/>
          <w:highlight w:val="none"/>
        </w:rPr>
      </w:pPr>
    </w:p>
    <w:p w14:paraId="1FA33276">
      <w:pPr>
        <w:jc w:val="center"/>
        <w:rPr>
          <w:rFonts w:eastAsia="华文中宋"/>
          <w:b/>
          <w:color w:val="auto"/>
          <w:sz w:val="52"/>
          <w:szCs w:val="52"/>
          <w:highlight w:val="none"/>
        </w:rPr>
      </w:pPr>
    </w:p>
    <w:p w14:paraId="0C9C4F80">
      <w:pPr>
        <w:jc w:val="center"/>
        <w:rPr>
          <w:rFonts w:eastAsia="华文中宋"/>
          <w:b/>
          <w:color w:val="auto"/>
          <w:sz w:val="52"/>
          <w:szCs w:val="52"/>
          <w:highlight w:val="none"/>
        </w:rPr>
      </w:pPr>
    </w:p>
    <w:p w14:paraId="3880B8C7">
      <w:pPr>
        <w:jc w:val="center"/>
        <w:rPr>
          <w:rFonts w:eastAsia="华文中宋"/>
          <w:b/>
          <w:color w:val="auto"/>
          <w:sz w:val="52"/>
          <w:szCs w:val="52"/>
          <w:highlight w:val="none"/>
        </w:rPr>
      </w:pPr>
    </w:p>
    <w:p w14:paraId="05FCF824">
      <w:pPr>
        <w:jc w:val="center"/>
        <w:rPr>
          <w:rFonts w:eastAsia="华文中宋"/>
          <w:b/>
          <w:color w:val="auto"/>
          <w:sz w:val="52"/>
          <w:szCs w:val="52"/>
          <w:highlight w:val="none"/>
        </w:rPr>
      </w:pPr>
      <w:r>
        <w:rPr>
          <w:rFonts w:eastAsia="华文中宋"/>
          <w:b/>
          <w:color w:val="auto"/>
          <w:sz w:val="72"/>
          <w:szCs w:val="52"/>
          <w:highlight w:val="none"/>
        </w:rPr>
        <w:t>建设工程施工合同</w:t>
      </w:r>
      <w:r>
        <w:rPr>
          <w:rFonts w:eastAsia="华文中宋"/>
          <w:b/>
          <w:color w:val="auto"/>
          <w:sz w:val="52"/>
          <w:szCs w:val="52"/>
          <w:highlight w:val="none"/>
        </w:rPr>
        <w:br w:type="textWrapping"/>
      </w:r>
    </w:p>
    <w:p w14:paraId="56BF0C25">
      <w:pPr>
        <w:jc w:val="center"/>
        <w:rPr>
          <w:rFonts w:eastAsia="华文中宋"/>
          <w:b/>
          <w:color w:val="auto"/>
          <w:sz w:val="52"/>
          <w:szCs w:val="52"/>
          <w:highlight w:val="none"/>
        </w:rPr>
      </w:pPr>
    </w:p>
    <w:p w14:paraId="7BD5C197">
      <w:pPr>
        <w:jc w:val="center"/>
        <w:rPr>
          <w:rFonts w:eastAsia="黑体"/>
          <w:b/>
          <w:color w:val="auto"/>
          <w:sz w:val="72"/>
          <w:szCs w:val="72"/>
          <w:highlight w:val="none"/>
        </w:rPr>
      </w:pPr>
    </w:p>
    <w:p w14:paraId="47C575F0">
      <w:pPr>
        <w:jc w:val="center"/>
        <w:rPr>
          <w:rFonts w:eastAsia="楷体_GB2312"/>
          <w:b/>
          <w:color w:val="auto"/>
          <w:sz w:val="72"/>
          <w:szCs w:val="72"/>
          <w:highlight w:val="none"/>
        </w:rPr>
      </w:pPr>
    </w:p>
    <w:p w14:paraId="684E77AC">
      <w:pPr>
        <w:jc w:val="center"/>
        <w:rPr>
          <w:rFonts w:eastAsia="黑体"/>
          <w:b/>
          <w:color w:val="auto"/>
          <w:sz w:val="52"/>
          <w:szCs w:val="52"/>
          <w:highlight w:val="none"/>
        </w:rPr>
      </w:pPr>
    </w:p>
    <w:p w14:paraId="717DC09E">
      <w:pPr>
        <w:rPr>
          <w:b/>
          <w:color w:val="auto"/>
          <w:sz w:val="28"/>
          <w:szCs w:val="28"/>
          <w:highlight w:val="none"/>
        </w:rPr>
      </w:pPr>
    </w:p>
    <w:p w14:paraId="2E6367E8">
      <w:pPr>
        <w:rPr>
          <w:b/>
          <w:color w:val="auto"/>
          <w:sz w:val="28"/>
          <w:szCs w:val="28"/>
          <w:highlight w:val="none"/>
        </w:rPr>
      </w:pPr>
    </w:p>
    <w:p w14:paraId="05D72283">
      <w:pPr>
        <w:rPr>
          <w:b/>
          <w:color w:val="auto"/>
          <w:sz w:val="28"/>
          <w:szCs w:val="28"/>
          <w:highlight w:val="none"/>
        </w:rPr>
      </w:pPr>
    </w:p>
    <w:p w14:paraId="6FA1164F">
      <w:pPr>
        <w:rPr>
          <w:b/>
          <w:color w:val="auto"/>
          <w:sz w:val="28"/>
          <w:szCs w:val="28"/>
          <w:highlight w:val="none"/>
        </w:rPr>
      </w:pPr>
    </w:p>
    <w:p w14:paraId="5CF35FC9">
      <w:pPr>
        <w:rPr>
          <w:b/>
          <w:color w:val="auto"/>
          <w:sz w:val="28"/>
          <w:szCs w:val="28"/>
          <w:highlight w:val="none"/>
        </w:rPr>
      </w:pPr>
    </w:p>
    <w:p w14:paraId="329AC107">
      <w:pPr>
        <w:ind w:right="2719" w:rightChars="1295" w:firstLine="2738" w:firstLineChars="1304"/>
        <w:jc w:val="distribute"/>
        <w:rPr>
          <w:b/>
          <w:color w:val="auto"/>
          <w:sz w:val="32"/>
          <w:szCs w:val="28"/>
          <w:highlight w:val="none"/>
        </w:rPr>
      </w:pPr>
      <w:r>
        <w:rPr>
          <w:color w:val="auto"/>
          <w:highlight w:val="none"/>
        </w:rPr>
        <mc:AlternateContent>
          <mc:Choice Requires="wps">
            <w:drawing>
              <wp:anchor distT="0" distB="0" distL="114300" distR="114300" simplePos="0" relativeHeight="251659264" behindDoc="0" locked="0" layoutInCell="1" allowOverlap="1">
                <wp:simplePos x="0" y="0"/>
                <wp:positionH relativeFrom="column">
                  <wp:posOffset>3970020</wp:posOffset>
                </wp:positionH>
                <wp:positionV relativeFrom="paragraph">
                  <wp:posOffset>120015</wp:posOffset>
                </wp:positionV>
                <wp:extent cx="723900" cy="457200"/>
                <wp:effectExtent l="4445" t="4445" r="5080" b="5080"/>
                <wp:wrapNone/>
                <wp:docPr id="2" name="文本框 2"/>
                <wp:cNvGraphicFramePr/>
                <a:graphic xmlns:a="http://schemas.openxmlformats.org/drawingml/2006/main">
                  <a:graphicData uri="http://schemas.microsoft.com/office/word/2010/wordprocessingShape">
                    <wps:wsp>
                      <wps:cNvSpPr txBox="1"/>
                      <wps:spPr>
                        <a:xfrm>
                          <a:off x="0" y="0"/>
                          <a:ext cx="723900" cy="457200"/>
                        </a:xfrm>
                        <a:prstGeom prst="rect">
                          <a:avLst/>
                        </a:prstGeom>
                        <a:noFill/>
                        <a:ln w="9525" cap="flat" cmpd="sng">
                          <a:solidFill>
                            <a:srgbClr val="FFFFFF"/>
                          </a:solidFill>
                          <a:prstDash val="solid"/>
                          <a:miter/>
                          <a:headEnd type="none" w="med" len="med"/>
                          <a:tailEnd type="none" w="med" len="med"/>
                        </a:ln>
                      </wps:spPr>
                      <wps:txbx>
                        <w:txbxContent>
                          <w:p w14:paraId="742786E3">
                            <w:pPr>
                              <w:rPr>
                                <w:b/>
                                <w:bCs/>
                                <w:sz w:val="32"/>
                              </w:rPr>
                            </w:pPr>
                            <w:r>
                              <w:rPr>
                                <w:rFonts w:hint="eastAsia"/>
                                <w:b/>
                                <w:bCs/>
                                <w:sz w:val="32"/>
                              </w:rPr>
                              <w:t>制定</w:t>
                            </w:r>
                          </w:p>
                        </w:txbxContent>
                      </wps:txbx>
                      <wps:bodyPr upright="1"/>
                    </wps:wsp>
                  </a:graphicData>
                </a:graphic>
              </wp:anchor>
            </w:drawing>
          </mc:Choice>
          <mc:Fallback>
            <w:pict>
              <v:shape id="_x0000_s1026" o:spid="_x0000_s1026" o:spt="202" type="#_x0000_t202" style="position:absolute;left:0pt;margin-left:312.6pt;margin-top:9.45pt;height:36pt;width:57pt;z-index:251659264;mso-width-relative:page;mso-height-relative:page;" filled="f" stroked="t" coordsize="21600,21600" o:gfxdata="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Qc0tcdgAAAAJAQAADwAAAAAAAAABACAAAAAiAAAAZHJz&#10;L2Rvd25yZXYueG1sUEsBAhQAFAAAAAgAh07iQBMA6w8EAgAADAQAAA4AAAAAAAAAAQAgAAAAJwEA&#10;AGRycy9lMm9Eb2MueG1sUEsFBgAAAAAGAAYAWQEAAJ0FAAAAAA==&#10;">
                <v:fill on="f" focussize="0,0"/>
                <v:stroke color="#FFFFFF" joinstyle="miter"/>
                <v:imagedata o:title=""/>
                <o:lock v:ext="edit" aspectratio="f"/>
                <v:textbox>
                  <w:txbxContent>
                    <w:p w14:paraId="742786E3">
                      <w:pPr>
                        <w:rPr>
                          <w:b/>
                          <w:bCs/>
                          <w:sz w:val="32"/>
                        </w:rPr>
                      </w:pPr>
                      <w:r>
                        <w:rPr>
                          <w:rFonts w:hint="eastAsia"/>
                          <w:b/>
                          <w:bCs/>
                          <w:sz w:val="32"/>
                        </w:rPr>
                        <w:t>制定</w:t>
                      </w:r>
                    </w:p>
                  </w:txbxContent>
                </v:textbox>
              </v:shape>
            </w:pict>
          </mc:Fallback>
        </mc:AlternateContent>
      </w:r>
      <w:r>
        <w:rPr>
          <w:b/>
          <w:color w:val="auto"/>
          <w:sz w:val="32"/>
          <w:szCs w:val="28"/>
          <w:highlight w:val="none"/>
        </w:rPr>
        <w:t>住房城乡建设部</w:t>
      </w:r>
    </w:p>
    <w:p w14:paraId="02C0D17D">
      <w:pPr>
        <w:ind w:right="2719" w:rightChars="1295" w:firstLine="2750" w:firstLineChars="856"/>
        <w:jc w:val="distribute"/>
        <w:rPr>
          <w:b/>
          <w:color w:val="auto"/>
          <w:sz w:val="32"/>
          <w:szCs w:val="28"/>
          <w:highlight w:val="none"/>
        </w:rPr>
        <w:sectPr>
          <w:footerReference r:id="rId7" w:type="first"/>
          <w:headerReference r:id="rId5" w:type="default"/>
          <w:footerReference r:id="rId6" w:type="default"/>
          <w:pgSz w:w="11906" w:h="16838"/>
          <w:pgMar w:top="1418" w:right="1555" w:bottom="1418" w:left="1531" w:header="851" w:footer="992" w:gutter="0"/>
          <w:pgNumType w:start="1"/>
          <w:cols w:space="720" w:num="1"/>
          <w:titlePg/>
          <w:docGrid w:type="lines" w:linePitch="312" w:charSpace="0"/>
        </w:sectPr>
      </w:pPr>
      <w:r>
        <w:rPr>
          <w:b/>
          <w:color w:val="auto"/>
          <w:sz w:val="32"/>
          <w:szCs w:val="28"/>
          <w:highlight w:val="none"/>
        </w:rPr>
        <w:t>国家工商行政管理总局</w:t>
      </w:r>
      <w:bookmarkStart w:id="83" w:name="_Toc296890982"/>
      <w:bookmarkStart w:id="84" w:name="_Toc296503025"/>
    </w:p>
    <w:p w14:paraId="01BE914B">
      <w:pPr>
        <w:tabs>
          <w:tab w:val="left" w:pos="2424"/>
        </w:tabs>
        <w:rPr>
          <w:rFonts w:ascii="华文中宋" w:hAnsi="华文中宋" w:eastAsia="华文中宋"/>
          <w:color w:val="auto"/>
          <w:sz w:val="44"/>
          <w:szCs w:val="44"/>
          <w:highlight w:val="none"/>
        </w:rPr>
      </w:pPr>
      <w:bookmarkStart w:id="85" w:name="_Toc351203480"/>
      <w:r>
        <w:rPr>
          <w:color w:val="auto"/>
          <w:highlight w:val="none"/>
        </w:rPr>
        <w:tab/>
      </w:r>
      <w:r>
        <w:rPr>
          <w:rFonts w:ascii="华文中宋" w:hAnsi="华文中宋" w:eastAsia="华文中宋"/>
          <w:color w:val="auto"/>
          <w:sz w:val="44"/>
          <w:szCs w:val="44"/>
          <w:highlight w:val="none"/>
        </w:rPr>
        <w:tab/>
      </w:r>
    </w:p>
    <w:p w14:paraId="35051C56">
      <w:pPr>
        <w:tabs>
          <w:tab w:val="left" w:pos="2424"/>
        </w:tabs>
        <w:jc w:val="center"/>
        <w:rPr>
          <w:rFonts w:eastAsia="华文中宋"/>
          <w:b/>
          <w:color w:val="auto"/>
          <w:sz w:val="44"/>
          <w:szCs w:val="44"/>
          <w:highlight w:val="none"/>
        </w:rPr>
      </w:pPr>
      <w:r>
        <w:rPr>
          <w:rFonts w:ascii="华文中宋" w:hAnsi="华文中宋" w:eastAsia="华文中宋"/>
          <w:color w:val="auto"/>
          <w:sz w:val="44"/>
          <w:szCs w:val="44"/>
          <w:highlight w:val="none"/>
        </w:rPr>
        <w:t>第一部分 合同协议书</w:t>
      </w:r>
      <w:bookmarkEnd w:id="83"/>
      <w:bookmarkEnd w:id="84"/>
      <w:bookmarkEnd w:id="85"/>
    </w:p>
    <w:p w14:paraId="13338BCD">
      <w:pPr>
        <w:spacing w:line="360" w:lineRule="auto"/>
        <w:rPr>
          <w:rFonts w:eastAsia="仿宋_GB2312"/>
          <w:b/>
          <w:color w:val="auto"/>
          <w:sz w:val="30"/>
          <w:szCs w:val="30"/>
          <w:highlight w:val="none"/>
          <w:u w:val="single"/>
        </w:rPr>
      </w:pPr>
      <w:r>
        <w:rPr>
          <w:rFonts w:eastAsia="仿宋_GB2312"/>
          <w:b/>
          <w:color w:val="auto"/>
          <w:sz w:val="30"/>
          <w:szCs w:val="30"/>
          <w:highlight w:val="none"/>
        </w:rPr>
        <w:t>发包人（全称）：</w:t>
      </w:r>
      <w:r>
        <w:rPr>
          <w:rFonts w:eastAsia="仿宋_GB2312"/>
          <w:b/>
          <w:color w:val="auto"/>
          <w:sz w:val="30"/>
          <w:szCs w:val="30"/>
          <w:highlight w:val="none"/>
          <w:u w:val="single"/>
        </w:rPr>
        <w:t xml:space="preserve">                                    </w:t>
      </w:r>
    </w:p>
    <w:p w14:paraId="6D9D37FD">
      <w:pPr>
        <w:spacing w:line="360" w:lineRule="auto"/>
        <w:rPr>
          <w:rFonts w:eastAsia="仿宋_GB2312"/>
          <w:b/>
          <w:color w:val="auto"/>
          <w:sz w:val="30"/>
          <w:szCs w:val="30"/>
          <w:highlight w:val="none"/>
          <w:u w:val="single"/>
        </w:rPr>
      </w:pPr>
      <w:r>
        <w:rPr>
          <w:rFonts w:eastAsia="仿宋_GB2312"/>
          <w:b/>
          <w:color w:val="auto"/>
          <w:sz w:val="30"/>
          <w:szCs w:val="30"/>
          <w:highlight w:val="none"/>
        </w:rPr>
        <w:t>承包人（全称）：</w:t>
      </w:r>
      <w:r>
        <w:rPr>
          <w:rFonts w:eastAsia="仿宋_GB2312"/>
          <w:b/>
          <w:color w:val="auto"/>
          <w:sz w:val="30"/>
          <w:szCs w:val="30"/>
          <w:highlight w:val="none"/>
          <w:u w:val="single"/>
        </w:rPr>
        <w:t xml:space="preserve">                                    </w:t>
      </w:r>
    </w:p>
    <w:p w14:paraId="6C931EB0">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根据《</w:t>
      </w:r>
      <w:r>
        <w:rPr>
          <w:rFonts w:hint="eastAsia" w:eastAsia="仿宋_GB2312"/>
          <w:color w:val="auto"/>
          <w:sz w:val="30"/>
          <w:szCs w:val="30"/>
          <w:highlight w:val="none"/>
        </w:rPr>
        <w:t>中华人民共和国民法典</w:t>
      </w:r>
      <w:r>
        <w:rPr>
          <w:rFonts w:eastAsia="仿宋_GB2312"/>
          <w:color w:val="auto"/>
          <w:sz w:val="30"/>
          <w:szCs w:val="30"/>
          <w:highlight w:val="none"/>
        </w:rPr>
        <w:t>》、《中华人民共和国建筑法》及有关法律规定，遵循平等、自愿、公平和诚实信用的原则，双方就</w:t>
      </w:r>
    </w:p>
    <w:p w14:paraId="0D8474AF">
      <w:pPr>
        <w:spacing w:line="360" w:lineRule="auto"/>
        <w:rPr>
          <w:rFonts w:eastAsia="仿宋_GB2312"/>
          <w:color w:val="auto"/>
          <w:sz w:val="30"/>
          <w:szCs w:val="30"/>
          <w:highlight w:val="none"/>
        </w:rPr>
      </w:pPr>
      <w:r>
        <w:rPr>
          <w:rFonts w:eastAsia="仿宋_GB2312"/>
          <w:color w:val="auto"/>
          <w:sz w:val="30"/>
          <w:szCs w:val="30"/>
          <w:highlight w:val="none"/>
          <w:u w:val="single"/>
        </w:rPr>
        <w:t xml:space="preserve">                 </w:t>
      </w:r>
      <w:r>
        <w:rPr>
          <w:rFonts w:eastAsia="仿宋_GB2312"/>
          <w:color w:val="auto"/>
          <w:sz w:val="30"/>
          <w:szCs w:val="30"/>
          <w:highlight w:val="none"/>
        </w:rPr>
        <w:t>工程施工及有关事项协商一致</w:t>
      </w:r>
      <w:r>
        <w:rPr>
          <w:rFonts w:hint="eastAsia" w:eastAsia="仿宋_GB2312"/>
          <w:color w:val="auto"/>
          <w:sz w:val="30"/>
          <w:szCs w:val="30"/>
          <w:highlight w:val="none"/>
        </w:rPr>
        <w:t>，</w:t>
      </w:r>
      <w:r>
        <w:rPr>
          <w:rFonts w:eastAsia="仿宋_GB2312"/>
          <w:color w:val="auto"/>
          <w:sz w:val="30"/>
          <w:szCs w:val="30"/>
          <w:highlight w:val="none"/>
        </w:rPr>
        <w:t>共同达成如下协议：</w:t>
      </w:r>
    </w:p>
    <w:p w14:paraId="3C3EA5D1">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r>
        <w:rPr>
          <w:rFonts w:ascii="Times New Roman" w:hAnsi="Times New Roman" w:eastAsia="黑体"/>
          <w:b w:val="0"/>
          <w:color w:val="auto"/>
          <w:sz w:val="32"/>
          <w:szCs w:val="32"/>
          <w:highlight w:val="none"/>
        </w:rPr>
        <w:t xml:space="preserve"> </w:t>
      </w:r>
      <w:bookmarkStart w:id="86" w:name="_Toc351203481"/>
      <w:r>
        <w:rPr>
          <w:rFonts w:ascii="Times New Roman" w:hAnsi="Times New Roman" w:eastAsia="黑体"/>
          <w:b w:val="0"/>
          <w:color w:val="auto"/>
          <w:sz w:val="32"/>
          <w:szCs w:val="32"/>
          <w:highlight w:val="none"/>
        </w:rPr>
        <w:t>一、工程概况</w:t>
      </w:r>
      <w:bookmarkEnd w:id="86"/>
    </w:p>
    <w:p w14:paraId="5371E13C">
      <w:pPr>
        <w:spacing w:line="360" w:lineRule="auto"/>
        <w:ind w:firstLine="588" w:firstLineChars="196"/>
        <w:rPr>
          <w:rFonts w:eastAsia="仿宋_GB2312"/>
          <w:color w:val="auto"/>
          <w:sz w:val="30"/>
          <w:szCs w:val="30"/>
          <w:highlight w:val="none"/>
          <w:u w:val="single"/>
        </w:rPr>
      </w:pPr>
      <w:r>
        <w:rPr>
          <w:rFonts w:eastAsia="仿宋_GB2312"/>
          <w:bCs/>
          <w:color w:val="auto"/>
          <w:sz w:val="30"/>
          <w:szCs w:val="30"/>
          <w:highlight w:val="none"/>
        </w:rPr>
        <w:t>1.工程名称</w:t>
      </w:r>
      <w:r>
        <w:rPr>
          <w:rFonts w:eastAsia="仿宋_GB2312"/>
          <w:color w:val="auto"/>
          <w:sz w:val="30"/>
          <w:szCs w:val="30"/>
          <w:highlight w:val="none"/>
        </w:rPr>
        <w:t>：</w:t>
      </w:r>
      <w:r>
        <w:rPr>
          <w:rFonts w:eastAsia="仿宋_GB2312"/>
          <w:color w:val="auto"/>
          <w:sz w:val="30"/>
          <w:szCs w:val="30"/>
          <w:highlight w:val="none"/>
          <w:u w:val="single"/>
        </w:rPr>
        <w:t xml:space="preserve">                              </w:t>
      </w:r>
      <w:r>
        <w:rPr>
          <w:rFonts w:eastAsia="仿宋_GB2312"/>
          <w:color w:val="auto"/>
          <w:sz w:val="30"/>
          <w:szCs w:val="30"/>
          <w:highlight w:val="none"/>
        </w:rPr>
        <w:t>。</w:t>
      </w:r>
    </w:p>
    <w:p w14:paraId="5EB447F1">
      <w:pPr>
        <w:spacing w:line="360" w:lineRule="auto"/>
        <w:ind w:firstLine="588" w:firstLineChars="196"/>
        <w:rPr>
          <w:rFonts w:eastAsia="仿宋_GB2312"/>
          <w:bCs/>
          <w:color w:val="auto"/>
          <w:sz w:val="30"/>
          <w:szCs w:val="30"/>
          <w:highlight w:val="none"/>
        </w:rPr>
      </w:pPr>
      <w:r>
        <w:rPr>
          <w:rFonts w:eastAsia="仿宋_GB2312"/>
          <w:bCs/>
          <w:color w:val="auto"/>
          <w:sz w:val="30"/>
          <w:szCs w:val="30"/>
          <w:highlight w:val="none"/>
        </w:rPr>
        <w:t>2.工程地点：</w:t>
      </w:r>
      <w:r>
        <w:rPr>
          <w:rFonts w:eastAsia="仿宋_GB2312"/>
          <w:color w:val="auto"/>
          <w:sz w:val="30"/>
          <w:szCs w:val="30"/>
          <w:highlight w:val="none"/>
          <w:u w:val="single"/>
        </w:rPr>
        <w:t xml:space="preserve">                              </w:t>
      </w:r>
      <w:r>
        <w:rPr>
          <w:rFonts w:eastAsia="仿宋_GB2312"/>
          <w:color w:val="auto"/>
          <w:sz w:val="30"/>
          <w:szCs w:val="30"/>
          <w:highlight w:val="none"/>
        </w:rPr>
        <w:t>。</w:t>
      </w:r>
    </w:p>
    <w:p w14:paraId="483867FA">
      <w:pPr>
        <w:spacing w:line="360" w:lineRule="auto"/>
        <w:ind w:firstLine="588" w:firstLineChars="196"/>
        <w:rPr>
          <w:rFonts w:eastAsia="仿宋_GB2312"/>
          <w:bCs/>
          <w:color w:val="auto"/>
          <w:sz w:val="30"/>
          <w:szCs w:val="30"/>
          <w:highlight w:val="none"/>
        </w:rPr>
      </w:pPr>
      <w:r>
        <w:rPr>
          <w:rFonts w:eastAsia="仿宋_GB2312"/>
          <w:bCs/>
          <w:color w:val="auto"/>
          <w:sz w:val="30"/>
          <w:szCs w:val="30"/>
          <w:highlight w:val="none"/>
        </w:rPr>
        <w:t>3.工程立项批准文号：</w:t>
      </w:r>
      <w:r>
        <w:rPr>
          <w:rFonts w:eastAsia="仿宋_GB2312"/>
          <w:color w:val="auto"/>
          <w:sz w:val="30"/>
          <w:szCs w:val="30"/>
          <w:highlight w:val="none"/>
          <w:u w:val="single"/>
        </w:rPr>
        <w:t xml:space="preserve">                      </w:t>
      </w:r>
      <w:r>
        <w:rPr>
          <w:rFonts w:eastAsia="仿宋_GB2312"/>
          <w:bCs/>
          <w:color w:val="auto"/>
          <w:sz w:val="30"/>
          <w:szCs w:val="30"/>
          <w:highlight w:val="none"/>
        </w:rPr>
        <w:t>。</w:t>
      </w:r>
    </w:p>
    <w:p w14:paraId="1E2441FD">
      <w:pPr>
        <w:spacing w:line="360" w:lineRule="auto"/>
        <w:ind w:firstLine="588" w:firstLineChars="196"/>
        <w:rPr>
          <w:rFonts w:eastAsia="仿宋_GB2312"/>
          <w:bCs/>
          <w:color w:val="auto"/>
          <w:sz w:val="30"/>
          <w:szCs w:val="30"/>
          <w:highlight w:val="none"/>
        </w:rPr>
      </w:pPr>
      <w:r>
        <w:rPr>
          <w:rFonts w:eastAsia="仿宋_GB2312"/>
          <w:bCs/>
          <w:color w:val="auto"/>
          <w:sz w:val="30"/>
          <w:szCs w:val="30"/>
          <w:highlight w:val="none"/>
        </w:rPr>
        <w:t>4.资金来源：</w:t>
      </w:r>
      <w:r>
        <w:rPr>
          <w:rFonts w:eastAsia="仿宋_GB2312"/>
          <w:color w:val="auto"/>
          <w:sz w:val="30"/>
          <w:szCs w:val="30"/>
          <w:highlight w:val="none"/>
          <w:u w:val="single"/>
        </w:rPr>
        <w:t xml:space="preserve">                              </w:t>
      </w:r>
      <w:r>
        <w:rPr>
          <w:rFonts w:eastAsia="仿宋_GB2312"/>
          <w:bCs/>
          <w:color w:val="auto"/>
          <w:sz w:val="30"/>
          <w:szCs w:val="30"/>
          <w:highlight w:val="none"/>
        </w:rPr>
        <w:t>。</w:t>
      </w:r>
    </w:p>
    <w:p w14:paraId="3D47A866">
      <w:pPr>
        <w:spacing w:line="360" w:lineRule="auto"/>
        <w:ind w:firstLine="588" w:firstLineChars="196"/>
        <w:rPr>
          <w:rFonts w:eastAsia="仿宋_GB2312"/>
          <w:bCs/>
          <w:color w:val="auto"/>
          <w:sz w:val="30"/>
          <w:szCs w:val="30"/>
          <w:highlight w:val="none"/>
        </w:rPr>
      </w:pPr>
      <w:r>
        <w:rPr>
          <w:rFonts w:hint="eastAsia" w:eastAsia="仿宋_GB2312"/>
          <w:bCs/>
          <w:color w:val="auto"/>
          <w:sz w:val="30"/>
          <w:szCs w:val="30"/>
          <w:highlight w:val="none"/>
        </w:rPr>
        <w:t>5.工程内容：</w:t>
      </w:r>
      <w:r>
        <w:rPr>
          <w:rFonts w:eastAsia="仿宋_GB2312"/>
          <w:color w:val="auto"/>
          <w:sz w:val="30"/>
          <w:szCs w:val="30"/>
          <w:highlight w:val="none"/>
          <w:u w:val="single"/>
        </w:rPr>
        <w:t xml:space="preserve">                              </w:t>
      </w:r>
      <w:r>
        <w:rPr>
          <w:rFonts w:eastAsia="仿宋_GB2312"/>
          <w:bCs/>
          <w:color w:val="auto"/>
          <w:sz w:val="30"/>
          <w:szCs w:val="30"/>
          <w:highlight w:val="none"/>
        </w:rPr>
        <w:t>。</w:t>
      </w:r>
    </w:p>
    <w:p w14:paraId="0832FD3B">
      <w:pPr>
        <w:spacing w:line="360" w:lineRule="auto"/>
        <w:ind w:firstLine="600" w:firstLineChars="200"/>
        <w:rPr>
          <w:rFonts w:eastAsia="仿宋_GB2312"/>
          <w:color w:val="auto"/>
          <w:sz w:val="30"/>
          <w:szCs w:val="30"/>
          <w:highlight w:val="none"/>
        </w:rPr>
      </w:pPr>
      <w:r>
        <w:rPr>
          <w:rFonts w:hint="eastAsia" w:eastAsia="仿宋_GB2312"/>
          <w:bCs/>
          <w:color w:val="auto"/>
          <w:sz w:val="30"/>
          <w:szCs w:val="30"/>
          <w:highlight w:val="none"/>
        </w:rPr>
        <w:t>6</w:t>
      </w:r>
      <w:r>
        <w:rPr>
          <w:rFonts w:eastAsia="仿宋_GB2312"/>
          <w:bCs/>
          <w:color w:val="auto"/>
          <w:sz w:val="30"/>
          <w:szCs w:val="30"/>
          <w:highlight w:val="none"/>
        </w:rPr>
        <w:t>.工程承包范围：</w:t>
      </w:r>
      <w:r>
        <w:rPr>
          <w:rFonts w:eastAsia="仿宋_GB2312"/>
          <w:color w:val="auto"/>
          <w:sz w:val="30"/>
          <w:szCs w:val="30"/>
          <w:highlight w:val="none"/>
          <w:u w:val="single"/>
        </w:rPr>
        <w:t xml:space="preserve">                          </w:t>
      </w:r>
      <w:r>
        <w:rPr>
          <w:rFonts w:eastAsia="仿宋_GB2312"/>
          <w:color w:val="auto"/>
          <w:sz w:val="30"/>
          <w:szCs w:val="30"/>
          <w:highlight w:val="none"/>
        </w:rPr>
        <w:t>。</w:t>
      </w:r>
    </w:p>
    <w:p w14:paraId="3C858111">
      <w:pPr>
        <w:pStyle w:val="8"/>
        <w:ind w:left="0" w:leftChars="0" w:right="63" w:firstLine="600" w:firstLineChars="200"/>
        <w:jc w:val="both"/>
        <w:rPr>
          <w:color w:val="auto"/>
          <w:highlight w:val="none"/>
        </w:rPr>
      </w:pPr>
      <w:r>
        <w:rPr>
          <w:rFonts w:hint="eastAsia" w:eastAsia="仿宋_GB2312"/>
          <w:bCs/>
          <w:color w:val="auto"/>
          <w:sz w:val="30"/>
          <w:szCs w:val="30"/>
          <w:highlight w:val="none"/>
        </w:rPr>
        <w:t>7</w:t>
      </w:r>
      <w:r>
        <w:rPr>
          <w:rFonts w:eastAsia="仿宋_GB2312"/>
          <w:bCs/>
          <w:color w:val="auto"/>
          <w:sz w:val="30"/>
          <w:szCs w:val="30"/>
          <w:highlight w:val="none"/>
        </w:rPr>
        <w:t>.</w:t>
      </w:r>
      <w:r>
        <w:rPr>
          <w:rFonts w:hint="eastAsia" w:eastAsia="仿宋_GB2312"/>
          <w:bCs/>
          <w:color w:val="auto"/>
          <w:sz w:val="30"/>
          <w:szCs w:val="30"/>
          <w:highlight w:val="none"/>
        </w:rPr>
        <w:t>甲供材</w:t>
      </w:r>
      <w:r>
        <w:rPr>
          <w:rFonts w:eastAsia="仿宋_GB2312"/>
          <w:bCs/>
          <w:color w:val="auto"/>
          <w:sz w:val="30"/>
          <w:szCs w:val="30"/>
          <w:highlight w:val="none"/>
        </w:rPr>
        <w:t>范围：</w:t>
      </w:r>
      <w:r>
        <w:rPr>
          <w:rFonts w:eastAsia="仿宋_GB2312"/>
          <w:color w:val="auto"/>
          <w:sz w:val="30"/>
          <w:szCs w:val="30"/>
          <w:highlight w:val="none"/>
          <w:u w:val="single"/>
        </w:rPr>
        <w:t xml:space="preserve">                            </w:t>
      </w:r>
      <w:r>
        <w:rPr>
          <w:rFonts w:eastAsia="仿宋_GB2312"/>
          <w:color w:val="auto"/>
          <w:sz w:val="30"/>
          <w:szCs w:val="30"/>
          <w:highlight w:val="none"/>
        </w:rPr>
        <w:t>。</w:t>
      </w:r>
    </w:p>
    <w:p w14:paraId="60DDDDD3">
      <w:pPr>
        <w:pStyle w:val="8"/>
        <w:ind w:left="63" w:right="63"/>
        <w:rPr>
          <w:color w:val="auto"/>
          <w:highlight w:val="none"/>
        </w:rPr>
      </w:pPr>
    </w:p>
    <w:p w14:paraId="03CFB874">
      <w:pPr>
        <w:pStyle w:val="5"/>
        <w:spacing w:before="120" w:after="120" w:line="360" w:lineRule="auto"/>
        <w:rPr>
          <w:rFonts w:ascii="Times New Roman" w:hAnsi="Times New Roman" w:eastAsia="黑体"/>
          <w:b w:val="0"/>
          <w:color w:val="auto"/>
          <w:sz w:val="32"/>
          <w:szCs w:val="32"/>
          <w:highlight w:val="none"/>
        </w:rPr>
      </w:pPr>
      <w:r>
        <w:rPr>
          <w:rFonts w:ascii="Times New Roman" w:hAnsi="Times New Roman" w:eastAsia="黑体"/>
          <w:b w:val="0"/>
          <w:color w:val="auto"/>
          <w:sz w:val="32"/>
          <w:szCs w:val="32"/>
          <w:highlight w:val="none"/>
        </w:rPr>
        <w:t xml:space="preserve">   </w:t>
      </w:r>
      <w:bookmarkStart w:id="87" w:name="_Toc351203482"/>
      <w:r>
        <w:rPr>
          <w:rFonts w:ascii="Times New Roman" w:hAnsi="Times New Roman" w:eastAsia="黑体"/>
          <w:b w:val="0"/>
          <w:color w:val="auto"/>
          <w:sz w:val="32"/>
          <w:szCs w:val="32"/>
          <w:highlight w:val="none"/>
        </w:rPr>
        <w:t>二、合同工期</w:t>
      </w:r>
      <w:bookmarkEnd w:id="87"/>
    </w:p>
    <w:p w14:paraId="285AC16A">
      <w:pPr>
        <w:spacing w:line="360" w:lineRule="auto"/>
        <w:ind w:firstLine="459"/>
        <w:rPr>
          <w:rFonts w:eastAsia="仿宋_GB2312"/>
          <w:color w:val="auto"/>
          <w:sz w:val="30"/>
          <w:szCs w:val="30"/>
          <w:highlight w:val="none"/>
        </w:rPr>
      </w:pPr>
      <w:r>
        <w:rPr>
          <w:rFonts w:eastAsia="仿宋_GB2312"/>
          <w:color w:val="auto"/>
          <w:sz w:val="30"/>
          <w:szCs w:val="30"/>
          <w:highlight w:val="none"/>
        </w:rPr>
        <w:t>计划开工日期：</w:t>
      </w:r>
      <w:r>
        <w:rPr>
          <w:rFonts w:eastAsia="仿宋_GB2312"/>
          <w:color w:val="auto"/>
          <w:sz w:val="30"/>
          <w:szCs w:val="30"/>
          <w:highlight w:val="none"/>
          <w:u w:val="single"/>
        </w:rPr>
        <w:t xml:space="preserve">      </w:t>
      </w:r>
      <w:r>
        <w:rPr>
          <w:rFonts w:eastAsia="仿宋_GB2312"/>
          <w:color w:val="auto"/>
          <w:sz w:val="30"/>
          <w:szCs w:val="30"/>
          <w:highlight w:val="none"/>
        </w:rPr>
        <w:t>年</w:t>
      </w:r>
      <w:r>
        <w:rPr>
          <w:rFonts w:eastAsia="仿宋_GB2312"/>
          <w:color w:val="auto"/>
          <w:sz w:val="30"/>
          <w:szCs w:val="30"/>
          <w:highlight w:val="none"/>
          <w:u w:val="single"/>
        </w:rPr>
        <w:t xml:space="preserve">      </w:t>
      </w:r>
      <w:r>
        <w:rPr>
          <w:rFonts w:eastAsia="仿宋_GB2312"/>
          <w:color w:val="auto"/>
          <w:sz w:val="30"/>
          <w:szCs w:val="30"/>
          <w:highlight w:val="none"/>
        </w:rPr>
        <w:t>月</w:t>
      </w:r>
      <w:r>
        <w:rPr>
          <w:rFonts w:eastAsia="仿宋_GB2312"/>
          <w:color w:val="auto"/>
          <w:sz w:val="30"/>
          <w:szCs w:val="30"/>
          <w:highlight w:val="none"/>
          <w:u w:val="single"/>
        </w:rPr>
        <w:t xml:space="preserve">      </w:t>
      </w:r>
      <w:r>
        <w:rPr>
          <w:rFonts w:eastAsia="仿宋_GB2312"/>
          <w:color w:val="auto"/>
          <w:sz w:val="30"/>
          <w:szCs w:val="30"/>
          <w:highlight w:val="none"/>
        </w:rPr>
        <w:t>日。</w:t>
      </w:r>
    </w:p>
    <w:p w14:paraId="4C46FEFE">
      <w:pPr>
        <w:spacing w:line="360" w:lineRule="auto"/>
        <w:ind w:firstLine="459"/>
        <w:rPr>
          <w:rFonts w:eastAsia="仿宋_GB2312"/>
          <w:color w:val="auto"/>
          <w:sz w:val="30"/>
          <w:szCs w:val="30"/>
          <w:highlight w:val="none"/>
        </w:rPr>
      </w:pPr>
      <w:r>
        <w:rPr>
          <w:rFonts w:eastAsia="仿宋_GB2312"/>
          <w:color w:val="auto"/>
          <w:sz w:val="30"/>
          <w:szCs w:val="30"/>
          <w:highlight w:val="none"/>
        </w:rPr>
        <w:t>计划竣工日期：</w:t>
      </w:r>
      <w:r>
        <w:rPr>
          <w:rFonts w:eastAsia="仿宋_GB2312"/>
          <w:color w:val="auto"/>
          <w:sz w:val="30"/>
          <w:szCs w:val="30"/>
          <w:highlight w:val="none"/>
          <w:u w:val="single"/>
        </w:rPr>
        <w:t xml:space="preserve">      </w:t>
      </w:r>
      <w:r>
        <w:rPr>
          <w:rFonts w:eastAsia="仿宋_GB2312"/>
          <w:color w:val="auto"/>
          <w:sz w:val="30"/>
          <w:szCs w:val="30"/>
          <w:highlight w:val="none"/>
        </w:rPr>
        <w:t>年</w:t>
      </w:r>
      <w:r>
        <w:rPr>
          <w:rFonts w:eastAsia="仿宋_GB2312"/>
          <w:color w:val="auto"/>
          <w:sz w:val="30"/>
          <w:szCs w:val="30"/>
          <w:highlight w:val="none"/>
          <w:u w:val="single"/>
        </w:rPr>
        <w:t xml:space="preserve">      </w:t>
      </w:r>
      <w:r>
        <w:rPr>
          <w:rFonts w:eastAsia="仿宋_GB2312"/>
          <w:color w:val="auto"/>
          <w:sz w:val="30"/>
          <w:szCs w:val="30"/>
          <w:highlight w:val="none"/>
        </w:rPr>
        <w:t>月</w:t>
      </w:r>
      <w:r>
        <w:rPr>
          <w:rFonts w:eastAsia="仿宋_GB2312"/>
          <w:color w:val="auto"/>
          <w:sz w:val="30"/>
          <w:szCs w:val="30"/>
          <w:highlight w:val="none"/>
          <w:u w:val="single"/>
        </w:rPr>
        <w:t xml:space="preserve">      </w:t>
      </w:r>
      <w:r>
        <w:rPr>
          <w:rFonts w:eastAsia="仿宋_GB2312"/>
          <w:color w:val="auto"/>
          <w:sz w:val="30"/>
          <w:szCs w:val="30"/>
          <w:highlight w:val="none"/>
        </w:rPr>
        <w:t>日。</w:t>
      </w:r>
    </w:p>
    <w:p w14:paraId="2670CB4E">
      <w:pPr>
        <w:spacing w:line="360" w:lineRule="auto"/>
        <w:ind w:firstLine="459"/>
        <w:rPr>
          <w:rFonts w:eastAsia="仿宋_GB2312"/>
          <w:color w:val="auto"/>
          <w:sz w:val="30"/>
          <w:szCs w:val="30"/>
          <w:highlight w:val="none"/>
        </w:rPr>
      </w:pPr>
      <w:r>
        <w:rPr>
          <w:rFonts w:eastAsia="仿宋_GB2312"/>
          <w:color w:val="auto"/>
          <w:sz w:val="30"/>
          <w:szCs w:val="30"/>
          <w:highlight w:val="none"/>
        </w:rPr>
        <w:t>工期总日历天数：</w:t>
      </w:r>
      <w:r>
        <w:rPr>
          <w:rFonts w:eastAsia="仿宋_GB2312"/>
          <w:color w:val="auto"/>
          <w:sz w:val="30"/>
          <w:szCs w:val="30"/>
          <w:highlight w:val="none"/>
          <w:u w:val="single"/>
        </w:rPr>
        <w:t xml:space="preserve">      </w:t>
      </w:r>
      <w:r>
        <w:rPr>
          <w:rFonts w:eastAsia="仿宋_GB2312"/>
          <w:color w:val="auto"/>
          <w:sz w:val="30"/>
          <w:szCs w:val="30"/>
          <w:highlight w:val="none"/>
        </w:rPr>
        <w:t>天。</w:t>
      </w:r>
      <w:r>
        <w:rPr>
          <w:rFonts w:hint="eastAsia" w:eastAsia="仿宋_GB2312"/>
          <w:color w:val="auto"/>
          <w:sz w:val="30"/>
          <w:szCs w:val="30"/>
          <w:highlight w:val="none"/>
        </w:rPr>
        <w:t>合同工期为合同范围内所有工程内容的整体工期，竣工验收之日应以合同内最后一个单位工程验收合格之日为准。</w:t>
      </w:r>
      <w:r>
        <w:rPr>
          <w:rFonts w:eastAsia="仿宋_GB2312"/>
          <w:color w:val="auto"/>
          <w:sz w:val="30"/>
          <w:szCs w:val="30"/>
          <w:highlight w:val="none"/>
        </w:rPr>
        <w:t>工期总日历天数与根据前述计划开竣工日期计算的工期天数不一致的，以工期总日历天数为准。</w:t>
      </w:r>
    </w:p>
    <w:p w14:paraId="570A8F65">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bookmarkStart w:id="88" w:name="_Toc351203483"/>
      <w:r>
        <w:rPr>
          <w:rFonts w:ascii="Times New Roman" w:hAnsi="Times New Roman" w:eastAsia="黑体"/>
          <w:b w:val="0"/>
          <w:color w:val="auto"/>
          <w:sz w:val="32"/>
          <w:szCs w:val="32"/>
          <w:highlight w:val="none"/>
        </w:rPr>
        <w:t>三、质量标准</w:t>
      </w:r>
      <w:bookmarkEnd w:id="88"/>
    </w:p>
    <w:p w14:paraId="79B65E9E">
      <w:pPr>
        <w:spacing w:line="360" w:lineRule="auto"/>
        <w:ind w:firstLine="459"/>
        <w:rPr>
          <w:rFonts w:eastAsia="仿宋_GB2312"/>
          <w:color w:val="auto"/>
          <w:sz w:val="30"/>
          <w:szCs w:val="30"/>
          <w:highlight w:val="none"/>
        </w:rPr>
      </w:pPr>
      <w:r>
        <w:rPr>
          <w:rFonts w:eastAsia="仿宋_GB2312"/>
          <w:color w:val="auto"/>
          <w:sz w:val="30"/>
          <w:szCs w:val="30"/>
          <w:highlight w:val="none"/>
        </w:rPr>
        <w:t>工程质量符合</w:t>
      </w:r>
      <w:r>
        <w:rPr>
          <w:rFonts w:hint="eastAsia" w:eastAsia="仿宋_GB2312"/>
          <w:color w:val="auto"/>
          <w:sz w:val="30"/>
          <w:szCs w:val="30"/>
          <w:highlight w:val="none"/>
          <w:u w:val="single"/>
        </w:rPr>
        <w:t xml:space="preserve"> 国家现行有关施工质量验收规范及双方约定的施工方案的要求，并达到合格 </w:t>
      </w:r>
      <w:r>
        <w:rPr>
          <w:rFonts w:eastAsia="仿宋_GB2312"/>
          <w:color w:val="auto"/>
          <w:sz w:val="30"/>
          <w:szCs w:val="30"/>
          <w:highlight w:val="none"/>
        </w:rPr>
        <w:t>标准。</w:t>
      </w:r>
    </w:p>
    <w:p w14:paraId="43498835">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r>
        <w:rPr>
          <w:rFonts w:ascii="Times New Roman" w:hAnsi="Times New Roman" w:eastAsia="黑体"/>
          <w:b w:val="0"/>
          <w:color w:val="auto"/>
          <w:sz w:val="32"/>
          <w:szCs w:val="32"/>
          <w:highlight w:val="none"/>
        </w:rPr>
        <w:t xml:space="preserve"> </w:t>
      </w:r>
      <w:bookmarkStart w:id="89" w:name="_Toc351203484"/>
      <w:r>
        <w:rPr>
          <w:rFonts w:ascii="Times New Roman" w:hAnsi="Times New Roman" w:eastAsia="黑体"/>
          <w:b w:val="0"/>
          <w:color w:val="auto"/>
          <w:sz w:val="32"/>
          <w:szCs w:val="32"/>
          <w:highlight w:val="none"/>
        </w:rPr>
        <w:t>四、签约合同价与合同价格形式</w:t>
      </w:r>
      <w:bookmarkEnd w:id="89"/>
      <w:r>
        <w:rPr>
          <w:rFonts w:ascii="Times New Roman" w:hAnsi="Times New Roman" w:eastAsia="黑体"/>
          <w:b w:val="0"/>
          <w:color w:val="auto"/>
          <w:sz w:val="32"/>
          <w:szCs w:val="32"/>
          <w:highlight w:val="none"/>
        </w:rPr>
        <w:tab/>
      </w:r>
    </w:p>
    <w:p w14:paraId="69DE29C9">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1.签约合同价为：</w:t>
      </w:r>
    </w:p>
    <w:p w14:paraId="55489E96">
      <w:pPr>
        <w:spacing w:line="360" w:lineRule="auto"/>
        <w:ind w:firstLine="750" w:firstLineChars="250"/>
        <w:rPr>
          <w:rFonts w:eastAsia="仿宋_GB2312"/>
          <w:color w:val="auto"/>
          <w:sz w:val="30"/>
          <w:szCs w:val="30"/>
          <w:highlight w:val="none"/>
        </w:rPr>
      </w:pPr>
      <w:r>
        <w:rPr>
          <w:rFonts w:eastAsia="仿宋_GB2312"/>
          <w:color w:val="auto"/>
          <w:sz w:val="30"/>
          <w:szCs w:val="30"/>
          <w:highlight w:val="none"/>
        </w:rPr>
        <w:t>人民币（大写）</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元)；</w:t>
      </w:r>
    </w:p>
    <w:p w14:paraId="5FD88F80">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其中：</w:t>
      </w:r>
    </w:p>
    <w:p w14:paraId="7CFEAD19">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（1）安全文明施工费：</w:t>
      </w:r>
    </w:p>
    <w:p w14:paraId="7CF2842F">
      <w:pPr>
        <w:spacing w:line="360" w:lineRule="auto"/>
        <w:ind w:firstLine="1350" w:firstLineChars="450"/>
        <w:rPr>
          <w:rFonts w:eastAsia="仿宋_GB2312"/>
          <w:color w:val="auto"/>
          <w:sz w:val="30"/>
          <w:szCs w:val="30"/>
          <w:highlight w:val="none"/>
        </w:rPr>
      </w:pPr>
      <w:r>
        <w:rPr>
          <w:rFonts w:eastAsia="仿宋_GB2312"/>
          <w:color w:val="auto"/>
          <w:sz w:val="30"/>
          <w:szCs w:val="30"/>
          <w:highlight w:val="none"/>
        </w:rPr>
        <w:t>人民币（大写）</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元)；</w:t>
      </w:r>
    </w:p>
    <w:p w14:paraId="0A05473A">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（2）</w:t>
      </w:r>
      <w:r>
        <w:rPr>
          <w:rFonts w:hint="eastAsia" w:eastAsia="仿宋_GB2312"/>
          <w:color w:val="auto"/>
          <w:sz w:val="30"/>
          <w:szCs w:val="30"/>
          <w:highlight w:val="none"/>
        </w:rPr>
        <w:t>甲供材料暂估</w:t>
      </w:r>
      <w:r>
        <w:rPr>
          <w:rFonts w:eastAsia="仿宋_GB2312"/>
          <w:color w:val="auto"/>
          <w:sz w:val="30"/>
          <w:szCs w:val="30"/>
          <w:highlight w:val="none"/>
        </w:rPr>
        <w:t>金额：</w:t>
      </w:r>
    </w:p>
    <w:p w14:paraId="59AE0171">
      <w:pPr>
        <w:spacing w:line="360" w:lineRule="auto"/>
        <w:ind w:firstLine="1350" w:firstLineChars="450"/>
        <w:rPr>
          <w:rFonts w:eastAsia="仿宋_GB2312"/>
          <w:color w:val="auto"/>
          <w:sz w:val="30"/>
          <w:szCs w:val="30"/>
          <w:highlight w:val="none"/>
        </w:rPr>
      </w:pPr>
      <w:r>
        <w:rPr>
          <w:rFonts w:eastAsia="仿宋_GB2312"/>
          <w:color w:val="auto"/>
          <w:sz w:val="30"/>
          <w:szCs w:val="30"/>
          <w:highlight w:val="none"/>
        </w:rPr>
        <w:t>人民币（大写）</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元)；</w:t>
      </w:r>
    </w:p>
    <w:p w14:paraId="2638F10B">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（3）暂列金额：</w:t>
      </w:r>
    </w:p>
    <w:p w14:paraId="10CF59F5">
      <w:pPr>
        <w:spacing w:line="360" w:lineRule="auto"/>
        <w:ind w:firstLine="1350" w:firstLineChars="450"/>
        <w:rPr>
          <w:rFonts w:eastAsia="仿宋_GB2312"/>
          <w:color w:val="auto"/>
          <w:sz w:val="30"/>
          <w:szCs w:val="30"/>
          <w:highlight w:val="none"/>
        </w:rPr>
      </w:pPr>
      <w:r>
        <w:rPr>
          <w:rFonts w:eastAsia="仿宋_GB2312"/>
          <w:color w:val="auto"/>
          <w:sz w:val="30"/>
          <w:szCs w:val="30"/>
          <w:highlight w:val="none"/>
        </w:rPr>
        <w:t>人民币（大写）</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元)。</w:t>
      </w:r>
    </w:p>
    <w:p w14:paraId="65C0EE4A">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2.合同价格形式：</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固定单价合同</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w:t>
      </w:r>
    </w:p>
    <w:p w14:paraId="31D18AAA">
      <w:pPr>
        <w:pStyle w:val="5"/>
        <w:spacing w:before="120" w:after="120" w:line="360" w:lineRule="auto"/>
        <w:rPr>
          <w:rFonts w:ascii="Times New Roman" w:hAnsi="Times New Roman" w:eastAsia="黑体"/>
          <w:b w:val="0"/>
          <w:color w:val="auto"/>
          <w:sz w:val="32"/>
          <w:szCs w:val="32"/>
          <w:highlight w:val="none"/>
        </w:rPr>
      </w:pPr>
      <w:r>
        <w:rPr>
          <w:rFonts w:ascii="Times New Roman" w:hAnsi="Times New Roman" w:eastAsia="黑体"/>
          <w:bCs w:val="0"/>
          <w:color w:val="auto"/>
          <w:sz w:val="32"/>
          <w:szCs w:val="32"/>
          <w:highlight w:val="none"/>
        </w:rPr>
        <w:t xml:space="preserve">   </w:t>
      </w:r>
      <w:r>
        <w:rPr>
          <w:rFonts w:ascii="Times New Roman" w:hAnsi="Times New Roman" w:eastAsia="黑体"/>
          <w:b w:val="0"/>
          <w:color w:val="auto"/>
          <w:sz w:val="32"/>
          <w:szCs w:val="32"/>
          <w:highlight w:val="none"/>
        </w:rPr>
        <w:t xml:space="preserve"> </w:t>
      </w:r>
      <w:bookmarkStart w:id="90" w:name="_Toc351203485"/>
      <w:r>
        <w:rPr>
          <w:rFonts w:ascii="Times New Roman" w:hAnsi="Times New Roman" w:eastAsia="黑体"/>
          <w:b w:val="0"/>
          <w:color w:val="auto"/>
          <w:sz w:val="32"/>
          <w:szCs w:val="32"/>
          <w:highlight w:val="none"/>
        </w:rPr>
        <w:t>五、</w:t>
      </w:r>
      <w:bookmarkEnd w:id="90"/>
      <w:r>
        <w:rPr>
          <w:rFonts w:ascii="Times New Roman" w:hAnsi="Times New Roman" w:eastAsia="黑体"/>
          <w:b w:val="0"/>
          <w:color w:val="auto"/>
          <w:sz w:val="32"/>
          <w:szCs w:val="32"/>
          <w:highlight w:val="none"/>
        </w:rPr>
        <w:t>项目经理</w:t>
      </w:r>
    </w:p>
    <w:p w14:paraId="5F819581">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承包人项目经理：</w:t>
      </w:r>
      <w:r>
        <w:rPr>
          <w:rFonts w:eastAsia="仿宋_GB2312"/>
          <w:color w:val="auto"/>
          <w:sz w:val="30"/>
          <w:szCs w:val="30"/>
          <w:highlight w:val="none"/>
          <w:u w:val="single"/>
        </w:rPr>
        <w:t xml:space="preserve">                  </w:t>
      </w:r>
      <w:r>
        <w:rPr>
          <w:rFonts w:eastAsia="仿宋_GB2312"/>
          <w:color w:val="auto"/>
          <w:sz w:val="30"/>
          <w:szCs w:val="30"/>
          <w:highlight w:val="none"/>
        </w:rPr>
        <w:t>。</w:t>
      </w:r>
    </w:p>
    <w:p w14:paraId="152EA717">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r>
        <w:rPr>
          <w:rFonts w:ascii="Times New Roman" w:hAnsi="Times New Roman" w:eastAsia="黑体"/>
          <w:b w:val="0"/>
          <w:color w:val="auto"/>
          <w:sz w:val="32"/>
          <w:szCs w:val="32"/>
          <w:highlight w:val="none"/>
        </w:rPr>
        <w:t xml:space="preserve"> </w:t>
      </w:r>
      <w:bookmarkStart w:id="91" w:name="_Toc351203486"/>
      <w:r>
        <w:rPr>
          <w:rFonts w:ascii="Times New Roman" w:hAnsi="Times New Roman" w:eastAsia="黑体"/>
          <w:b w:val="0"/>
          <w:color w:val="auto"/>
          <w:sz w:val="32"/>
          <w:szCs w:val="32"/>
          <w:highlight w:val="none"/>
        </w:rPr>
        <w:t>六、合同文件构成</w:t>
      </w:r>
      <w:bookmarkEnd w:id="91"/>
    </w:p>
    <w:p w14:paraId="7A00F987">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本协议书与下列文件一起构成合同文件：</w:t>
      </w:r>
    </w:p>
    <w:p w14:paraId="11B2974F">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（1）中标通知书（如果有）；</w:t>
      </w:r>
    </w:p>
    <w:p w14:paraId="2381E8B7">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 xml:space="preserve">（2）投标函及其附录（如果有）； </w:t>
      </w:r>
    </w:p>
    <w:p w14:paraId="05E9046E">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（3）专用合同条款及其附件；</w:t>
      </w:r>
    </w:p>
    <w:p w14:paraId="46D38A0B">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（4）通用合同条款；</w:t>
      </w:r>
    </w:p>
    <w:p w14:paraId="2A6C2DCC">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（5）技术标准和要求；</w:t>
      </w:r>
    </w:p>
    <w:p w14:paraId="3682A5F5">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（6）图纸；</w:t>
      </w:r>
    </w:p>
    <w:p w14:paraId="1A587359">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（7）已标价工程量清单或预算书；</w:t>
      </w:r>
    </w:p>
    <w:p w14:paraId="0C3A2A2A">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（8）</w:t>
      </w:r>
      <w:r>
        <w:rPr>
          <w:rFonts w:hint="eastAsia" w:eastAsia="仿宋_GB2312"/>
          <w:color w:val="auto"/>
          <w:sz w:val="30"/>
          <w:szCs w:val="30"/>
          <w:highlight w:val="none"/>
        </w:rPr>
        <w:t>招标文件</w:t>
      </w:r>
    </w:p>
    <w:p w14:paraId="3B764F5F">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（9）其他合同文件。</w:t>
      </w:r>
    </w:p>
    <w:p w14:paraId="7988E54E">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在合同订立及履行过程中形成的与合同有关的文件均构成合同文件组成部分。</w:t>
      </w:r>
    </w:p>
    <w:p w14:paraId="0F22C2EE">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上述各项合同文件包括合同当事人就该项合同文件所作出的补充和修改，属于同一类内容的文件，应以最新签署的为准。</w:t>
      </w:r>
      <w:r>
        <w:rPr>
          <w:rFonts w:hint="eastAsia" w:eastAsia="仿宋_GB2312"/>
          <w:color w:val="auto"/>
          <w:sz w:val="30"/>
          <w:szCs w:val="30"/>
          <w:highlight w:val="none"/>
        </w:rPr>
        <w:t>专用合同条款及其附件须经合同当事人签字或盖章。</w:t>
      </w:r>
    </w:p>
    <w:p w14:paraId="29971536">
      <w:pPr>
        <w:pStyle w:val="5"/>
        <w:spacing w:before="120" w:after="120" w:line="360" w:lineRule="auto"/>
        <w:rPr>
          <w:rFonts w:ascii="Times New Roman" w:hAnsi="Times New Roman" w:eastAsia="黑体"/>
          <w:b w:val="0"/>
          <w:bCs w:val="0"/>
          <w:color w:val="auto"/>
          <w:sz w:val="32"/>
          <w:szCs w:val="32"/>
          <w:highlight w:val="none"/>
        </w:rPr>
      </w:pPr>
      <w:r>
        <w:rPr>
          <w:rFonts w:ascii="Times New Roman" w:hAnsi="Times New Roman" w:eastAsia="黑体"/>
          <w:b w:val="0"/>
          <w:bCs w:val="0"/>
          <w:color w:val="auto"/>
          <w:sz w:val="32"/>
          <w:szCs w:val="32"/>
          <w:highlight w:val="none"/>
        </w:rPr>
        <w:t xml:space="preserve">   </w:t>
      </w:r>
      <w:r>
        <w:rPr>
          <w:rFonts w:ascii="Times New Roman" w:hAnsi="Times New Roman" w:eastAsia="黑体"/>
          <w:b w:val="0"/>
          <w:color w:val="auto"/>
          <w:sz w:val="32"/>
          <w:szCs w:val="32"/>
          <w:highlight w:val="none"/>
        </w:rPr>
        <w:t xml:space="preserve"> </w:t>
      </w:r>
      <w:bookmarkStart w:id="92" w:name="_Toc351203487"/>
      <w:r>
        <w:rPr>
          <w:rFonts w:ascii="Times New Roman" w:hAnsi="Times New Roman" w:eastAsia="黑体"/>
          <w:b w:val="0"/>
          <w:color w:val="auto"/>
          <w:sz w:val="32"/>
          <w:szCs w:val="32"/>
          <w:highlight w:val="none"/>
        </w:rPr>
        <w:t>七、承诺</w:t>
      </w:r>
      <w:bookmarkEnd w:id="92"/>
    </w:p>
    <w:p w14:paraId="5B713676">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1.发包人承诺按照法律规定履行项目审批手续、筹集工程建设资金并按照合同约定的期限和方式支付合同价款。</w:t>
      </w:r>
    </w:p>
    <w:p w14:paraId="22C4CB53">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2.承包人承诺按照法律规定及合同约定组织完成工程施工，确保工程质量和安全，不进行转包及违法分包，并在缺陷责任期及保修期内承担相应的工程维修责任。</w:t>
      </w:r>
    </w:p>
    <w:p w14:paraId="3597E43B">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3.发包人和承包人通过招投标形式签订合同的，双方理解并</w:t>
      </w:r>
      <w:r>
        <w:rPr>
          <w:rFonts w:hint="eastAsia" w:eastAsia="仿宋_GB2312"/>
          <w:bCs/>
          <w:color w:val="auto"/>
          <w:sz w:val="30"/>
          <w:szCs w:val="30"/>
          <w:highlight w:val="none"/>
        </w:rPr>
        <w:t>承诺</w:t>
      </w:r>
      <w:r>
        <w:rPr>
          <w:rFonts w:eastAsia="仿宋_GB2312"/>
          <w:bCs/>
          <w:color w:val="auto"/>
          <w:sz w:val="30"/>
          <w:szCs w:val="30"/>
          <w:highlight w:val="none"/>
        </w:rPr>
        <w:t>不再就同一工程另行签订与合同实质性内容相背离的协议。</w:t>
      </w:r>
    </w:p>
    <w:p w14:paraId="355C34FB">
      <w:pPr>
        <w:spacing w:line="360" w:lineRule="auto"/>
        <w:rPr>
          <w:rFonts w:eastAsia="黑体"/>
          <w:bCs/>
          <w:color w:val="auto"/>
          <w:sz w:val="32"/>
          <w:szCs w:val="32"/>
          <w:highlight w:val="none"/>
        </w:rPr>
      </w:pPr>
      <w:bookmarkStart w:id="93" w:name="_Toc351203488"/>
      <w:r>
        <w:rPr>
          <w:rFonts w:hint="eastAsia" w:eastAsia="黑体"/>
          <w:b/>
          <w:color w:val="auto"/>
          <w:sz w:val="32"/>
          <w:szCs w:val="32"/>
          <w:highlight w:val="none"/>
        </w:rPr>
        <w:t xml:space="preserve">    </w:t>
      </w:r>
      <w:r>
        <w:rPr>
          <w:rFonts w:eastAsia="黑体"/>
          <w:b/>
          <w:color w:val="auto"/>
          <w:sz w:val="32"/>
          <w:szCs w:val="32"/>
          <w:highlight w:val="none"/>
        </w:rPr>
        <w:t>八、词语含义</w:t>
      </w:r>
      <w:bookmarkEnd w:id="93"/>
    </w:p>
    <w:p w14:paraId="7FC4824A">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本协议书中词语含义与第二部分通用合同条款中赋予的含义相同。</w:t>
      </w:r>
    </w:p>
    <w:p w14:paraId="096997C4">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r>
        <w:rPr>
          <w:rFonts w:ascii="Times New Roman" w:hAnsi="Times New Roman" w:eastAsia="黑体"/>
          <w:b w:val="0"/>
          <w:color w:val="auto"/>
          <w:sz w:val="32"/>
          <w:szCs w:val="32"/>
          <w:highlight w:val="none"/>
        </w:rPr>
        <w:t xml:space="preserve">  </w:t>
      </w:r>
      <w:bookmarkStart w:id="94" w:name="_Toc351203489"/>
      <w:r>
        <w:rPr>
          <w:rFonts w:ascii="Times New Roman" w:hAnsi="Times New Roman" w:eastAsia="黑体"/>
          <w:b w:val="0"/>
          <w:color w:val="auto"/>
          <w:sz w:val="32"/>
          <w:szCs w:val="32"/>
          <w:highlight w:val="none"/>
        </w:rPr>
        <w:t>九、签订时间</w:t>
      </w:r>
      <w:bookmarkEnd w:id="94"/>
    </w:p>
    <w:p w14:paraId="52BA301F">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本合同于</w:t>
      </w:r>
      <w:r>
        <w:rPr>
          <w:rFonts w:eastAsia="仿宋_GB2312"/>
          <w:color w:val="auto"/>
          <w:sz w:val="30"/>
          <w:szCs w:val="30"/>
          <w:highlight w:val="none"/>
          <w:u w:val="single"/>
        </w:rPr>
        <w:t xml:space="preserve">         </w:t>
      </w:r>
      <w:r>
        <w:rPr>
          <w:rFonts w:eastAsia="仿宋_GB2312"/>
          <w:bCs/>
          <w:color w:val="auto"/>
          <w:sz w:val="30"/>
          <w:szCs w:val="30"/>
          <w:highlight w:val="none"/>
        </w:rPr>
        <w:t>年</w:t>
      </w:r>
      <w:r>
        <w:rPr>
          <w:rFonts w:eastAsia="仿宋_GB2312"/>
          <w:color w:val="auto"/>
          <w:sz w:val="30"/>
          <w:szCs w:val="30"/>
          <w:highlight w:val="none"/>
          <w:u w:val="single"/>
        </w:rPr>
        <w:t xml:space="preserve">         </w:t>
      </w:r>
      <w:r>
        <w:rPr>
          <w:rFonts w:eastAsia="仿宋_GB2312"/>
          <w:bCs/>
          <w:color w:val="auto"/>
          <w:sz w:val="30"/>
          <w:szCs w:val="30"/>
          <w:highlight w:val="none"/>
        </w:rPr>
        <w:t>月</w:t>
      </w:r>
      <w:r>
        <w:rPr>
          <w:rFonts w:eastAsia="仿宋_GB2312"/>
          <w:color w:val="auto"/>
          <w:sz w:val="30"/>
          <w:szCs w:val="30"/>
          <w:highlight w:val="none"/>
          <w:u w:val="single"/>
        </w:rPr>
        <w:t xml:space="preserve">         </w:t>
      </w:r>
      <w:r>
        <w:rPr>
          <w:rFonts w:eastAsia="仿宋_GB2312"/>
          <w:bCs/>
          <w:color w:val="auto"/>
          <w:sz w:val="30"/>
          <w:szCs w:val="30"/>
          <w:highlight w:val="none"/>
        </w:rPr>
        <w:t>日签订。</w:t>
      </w:r>
    </w:p>
    <w:p w14:paraId="02C0E4F3">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bookmarkStart w:id="95" w:name="_Toc351203490"/>
      <w:r>
        <w:rPr>
          <w:rFonts w:ascii="Times New Roman" w:hAnsi="Times New Roman" w:eastAsia="黑体"/>
          <w:b w:val="0"/>
          <w:color w:val="auto"/>
          <w:sz w:val="32"/>
          <w:szCs w:val="32"/>
          <w:highlight w:val="none"/>
        </w:rPr>
        <w:t>十、签订地点</w:t>
      </w:r>
      <w:bookmarkEnd w:id="95"/>
    </w:p>
    <w:p w14:paraId="066C3F39">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本合同在</w:t>
      </w:r>
      <w:r>
        <w:rPr>
          <w:rFonts w:eastAsia="仿宋_GB2312"/>
          <w:color w:val="auto"/>
          <w:sz w:val="30"/>
          <w:szCs w:val="30"/>
          <w:highlight w:val="none"/>
          <w:u w:val="single"/>
        </w:rPr>
        <w:t xml:space="preserve">                                </w:t>
      </w:r>
      <w:r>
        <w:rPr>
          <w:rFonts w:eastAsia="仿宋_GB2312"/>
          <w:bCs/>
          <w:color w:val="auto"/>
          <w:sz w:val="30"/>
          <w:szCs w:val="30"/>
          <w:highlight w:val="none"/>
        </w:rPr>
        <w:t>签订。</w:t>
      </w:r>
    </w:p>
    <w:p w14:paraId="25089818">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bookmarkStart w:id="96" w:name="_Toc351203491"/>
      <w:r>
        <w:rPr>
          <w:rFonts w:ascii="Times New Roman" w:hAnsi="Times New Roman" w:eastAsia="黑体"/>
          <w:b w:val="0"/>
          <w:color w:val="auto"/>
          <w:sz w:val="32"/>
          <w:szCs w:val="32"/>
          <w:highlight w:val="none"/>
        </w:rPr>
        <w:t>十一、补充协议</w:t>
      </w:r>
      <w:bookmarkEnd w:id="96"/>
    </w:p>
    <w:p w14:paraId="5F073339">
      <w:pPr>
        <w:spacing w:line="360" w:lineRule="auto"/>
        <w:ind w:firstLine="600" w:firstLineChars="200"/>
        <w:rPr>
          <w:rFonts w:eastAsia="仿宋_GB2312"/>
          <w:b/>
          <w:bCs/>
          <w:color w:val="auto"/>
          <w:sz w:val="30"/>
          <w:szCs w:val="30"/>
          <w:highlight w:val="none"/>
        </w:rPr>
      </w:pPr>
      <w:r>
        <w:rPr>
          <w:rFonts w:eastAsia="仿宋_GB2312"/>
          <w:bCs/>
          <w:color w:val="auto"/>
          <w:sz w:val="30"/>
          <w:szCs w:val="30"/>
          <w:highlight w:val="none"/>
        </w:rPr>
        <w:t>合同未尽事宜，合同当事人另行签订补充协议</w:t>
      </w:r>
      <w:r>
        <w:rPr>
          <w:rFonts w:hint="eastAsia" w:eastAsia="仿宋_GB2312"/>
          <w:bCs/>
          <w:color w:val="auto"/>
          <w:sz w:val="30"/>
          <w:szCs w:val="30"/>
          <w:highlight w:val="none"/>
        </w:rPr>
        <w:t>，</w:t>
      </w:r>
      <w:r>
        <w:rPr>
          <w:rFonts w:eastAsia="仿宋_GB2312"/>
          <w:bCs/>
          <w:color w:val="auto"/>
          <w:sz w:val="30"/>
          <w:szCs w:val="30"/>
          <w:highlight w:val="none"/>
        </w:rPr>
        <w:t>补充协议是合同的组成部分。</w:t>
      </w:r>
    </w:p>
    <w:p w14:paraId="65A8730E">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bookmarkStart w:id="97" w:name="_Toc351203492"/>
      <w:r>
        <w:rPr>
          <w:rFonts w:ascii="Times New Roman" w:hAnsi="Times New Roman" w:eastAsia="黑体"/>
          <w:b w:val="0"/>
          <w:color w:val="auto"/>
          <w:sz w:val="32"/>
          <w:szCs w:val="32"/>
          <w:highlight w:val="none"/>
        </w:rPr>
        <w:t>十二、合同生效</w:t>
      </w:r>
      <w:bookmarkEnd w:id="97"/>
    </w:p>
    <w:p w14:paraId="2F2FE5EB">
      <w:pPr>
        <w:spacing w:line="360" w:lineRule="auto"/>
        <w:ind w:firstLine="600" w:firstLineChars="200"/>
        <w:rPr>
          <w:rFonts w:eastAsia="仿宋_GB2312"/>
          <w:bCs/>
          <w:color w:val="auto"/>
          <w:sz w:val="30"/>
          <w:szCs w:val="30"/>
          <w:highlight w:val="none"/>
        </w:rPr>
      </w:pPr>
      <w:r>
        <w:rPr>
          <w:rFonts w:hint="eastAsia" w:eastAsia="仿宋_GB2312"/>
          <w:bCs/>
          <w:color w:val="auto"/>
          <w:sz w:val="30"/>
          <w:szCs w:val="30"/>
          <w:highlight w:val="none"/>
        </w:rPr>
        <w:t>本合同自（1）、（2）后生效</w:t>
      </w:r>
    </w:p>
    <w:p w14:paraId="7F953188">
      <w:pPr>
        <w:spacing w:line="360" w:lineRule="auto"/>
        <w:ind w:firstLine="600" w:firstLineChars="200"/>
        <w:rPr>
          <w:rFonts w:eastAsia="仿宋_GB2312"/>
          <w:bCs/>
          <w:color w:val="auto"/>
          <w:sz w:val="30"/>
          <w:szCs w:val="30"/>
          <w:highlight w:val="none"/>
        </w:rPr>
      </w:pPr>
      <w:r>
        <w:rPr>
          <w:rFonts w:hint="eastAsia" w:eastAsia="仿宋_GB2312"/>
          <w:bCs/>
          <w:color w:val="auto"/>
          <w:sz w:val="30"/>
          <w:szCs w:val="30"/>
          <w:highlight w:val="none"/>
        </w:rPr>
        <w:t>（1）经双方法定代表人或其委托代理人签名并加盖公章或合同专用章</w:t>
      </w:r>
    </w:p>
    <w:p w14:paraId="67CD4931">
      <w:pPr>
        <w:spacing w:line="360" w:lineRule="auto"/>
        <w:ind w:firstLine="600" w:firstLineChars="200"/>
        <w:rPr>
          <w:rFonts w:eastAsia="仿宋_GB2312"/>
          <w:bCs/>
          <w:color w:val="auto"/>
          <w:sz w:val="30"/>
          <w:szCs w:val="30"/>
          <w:highlight w:val="none"/>
        </w:rPr>
      </w:pPr>
      <w:r>
        <w:rPr>
          <w:rFonts w:hint="eastAsia" w:eastAsia="仿宋_GB2312"/>
          <w:bCs/>
          <w:color w:val="auto"/>
          <w:sz w:val="30"/>
          <w:szCs w:val="30"/>
          <w:highlight w:val="none"/>
        </w:rPr>
        <w:t>（2）承包人按合同约定向发包人提交履约担保后</w:t>
      </w:r>
    </w:p>
    <w:p w14:paraId="37C354BE">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bookmarkStart w:id="98" w:name="_Toc351203493"/>
      <w:r>
        <w:rPr>
          <w:rFonts w:ascii="Times New Roman" w:hAnsi="Times New Roman" w:eastAsia="黑体"/>
          <w:b w:val="0"/>
          <w:color w:val="auto"/>
          <w:sz w:val="32"/>
          <w:szCs w:val="32"/>
          <w:highlight w:val="none"/>
        </w:rPr>
        <w:t>十三、合同份数</w:t>
      </w:r>
      <w:bookmarkEnd w:id="98"/>
    </w:p>
    <w:p w14:paraId="6595F538">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本合同一式</w:t>
      </w:r>
      <w:r>
        <w:rPr>
          <w:rFonts w:eastAsia="仿宋_GB2312"/>
          <w:color w:val="auto"/>
          <w:sz w:val="30"/>
          <w:szCs w:val="30"/>
          <w:highlight w:val="none"/>
          <w:u w:val="single"/>
        </w:rPr>
        <w:t xml:space="preserve">         </w:t>
      </w:r>
      <w:r>
        <w:rPr>
          <w:rFonts w:eastAsia="仿宋_GB2312"/>
          <w:bCs/>
          <w:color w:val="auto"/>
          <w:sz w:val="30"/>
          <w:szCs w:val="30"/>
          <w:highlight w:val="none"/>
        </w:rPr>
        <w:t>份，均具有同等法律效力，发包人执</w:t>
      </w:r>
      <w:r>
        <w:rPr>
          <w:rFonts w:eastAsia="仿宋_GB2312"/>
          <w:color w:val="auto"/>
          <w:sz w:val="30"/>
          <w:szCs w:val="30"/>
          <w:highlight w:val="none"/>
          <w:u w:val="single"/>
        </w:rPr>
        <w:t xml:space="preserve">         </w:t>
      </w:r>
      <w:r>
        <w:rPr>
          <w:rFonts w:eastAsia="仿宋_GB2312"/>
          <w:bCs/>
          <w:color w:val="auto"/>
          <w:sz w:val="30"/>
          <w:szCs w:val="30"/>
          <w:highlight w:val="none"/>
        </w:rPr>
        <w:t>份，承包人执</w:t>
      </w:r>
      <w:r>
        <w:rPr>
          <w:rFonts w:eastAsia="仿宋_GB2312"/>
          <w:color w:val="auto"/>
          <w:sz w:val="30"/>
          <w:szCs w:val="30"/>
          <w:highlight w:val="none"/>
          <w:u w:val="single"/>
        </w:rPr>
        <w:t xml:space="preserve">         </w:t>
      </w:r>
      <w:r>
        <w:rPr>
          <w:rFonts w:eastAsia="仿宋_GB2312"/>
          <w:bCs/>
          <w:color w:val="auto"/>
          <w:sz w:val="30"/>
          <w:szCs w:val="30"/>
          <w:highlight w:val="none"/>
        </w:rPr>
        <w:t>份。</w:t>
      </w:r>
    </w:p>
    <w:p w14:paraId="473D9FC8">
      <w:pPr>
        <w:spacing w:line="360" w:lineRule="auto"/>
        <w:rPr>
          <w:rFonts w:eastAsia="仿宋_GB2312"/>
          <w:bCs/>
          <w:color w:val="auto"/>
          <w:sz w:val="30"/>
          <w:szCs w:val="30"/>
          <w:highlight w:val="none"/>
        </w:rPr>
      </w:pPr>
    </w:p>
    <w:p w14:paraId="2736B64C">
      <w:pPr>
        <w:spacing w:line="360" w:lineRule="auto"/>
        <w:rPr>
          <w:rFonts w:eastAsia="仿宋_GB2312"/>
          <w:color w:val="auto"/>
          <w:sz w:val="30"/>
          <w:szCs w:val="30"/>
          <w:highlight w:val="none"/>
        </w:rPr>
      </w:pPr>
    </w:p>
    <w:p w14:paraId="670C44E0">
      <w:pPr>
        <w:spacing w:line="360" w:lineRule="auto"/>
        <w:rPr>
          <w:rFonts w:eastAsia="仿宋_GB2312"/>
          <w:color w:val="auto"/>
          <w:sz w:val="30"/>
          <w:szCs w:val="30"/>
          <w:highlight w:val="none"/>
        </w:rPr>
      </w:pPr>
      <w:r>
        <w:rPr>
          <w:rFonts w:eastAsia="仿宋_GB2312"/>
          <w:color w:val="auto"/>
          <w:sz w:val="30"/>
          <w:szCs w:val="30"/>
          <w:highlight w:val="none"/>
        </w:rPr>
        <w:t>发包人</w:t>
      </w:r>
      <w:r>
        <w:rPr>
          <w:rFonts w:hint="eastAsia" w:eastAsia="仿宋_GB2312"/>
          <w:color w:val="auto"/>
          <w:sz w:val="30"/>
          <w:szCs w:val="30"/>
          <w:highlight w:val="none"/>
        </w:rPr>
        <w:t xml:space="preserve">：  </w:t>
      </w:r>
      <w:r>
        <w:rPr>
          <w:rFonts w:eastAsia="仿宋_GB2312"/>
          <w:color w:val="auto"/>
          <w:sz w:val="30"/>
          <w:szCs w:val="30"/>
          <w:highlight w:val="none"/>
        </w:rPr>
        <w:t>(公章)</w:t>
      </w:r>
      <w:r>
        <w:rPr>
          <w:rFonts w:hint="eastAsia" w:eastAsia="仿宋_GB2312"/>
          <w:color w:val="auto"/>
          <w:sz w:val="30"/>
          <w:szCs w:val="30"/>
          <w:highlight w:val="none"/>
        </w:rPr>
        <w:t xml:space="preserve">             </w:t>
      </w:r>
      <w:r>
        <w:rPr>
          <w:rFonts w:eastAsia="仿宋_GB2312"/>
          <w:color w:val="auto"/>
          <w:sz w:val="30"/>
          <w:szCs w:val="30"/>
          <w:highlight w:val="none"/>
        </w:rPr>
        <w:t>承包人</w:t>
      </w:r>
      <w:r>
        <w:rPr>
          <w:rFonts w:hint="eastAsia" w:eastAsia="仿宋_GB2312"/>
          <w:color w:val="auto"/>
          <w:sz w:val="30"/>
          <w:szCs w:val="30"/>
          <w:highlight w:val="none"/>
        </w:rPr>
        <w:t xml:space="preserve">：  </w:t>
      </w:r>
      <w:r>
        <w:rPr>
          <w:rFonts w:eastAsia="仿宋_GB2312"/>
          <w:color w:val="auto"/>
          <w:sz w:val="30"/>
          <w:szCs w:val="30"/>
          <w:highlight w:val="none"/>
        </w:rPr>
        <w:t>(公章)</w:t>
      </w:r>
    </w:p>
    <w:p w14:paraId="474E9ADB">
      <w:pPr>
        <w:spacing w:line="360" w:lineRule="auto"/>
        <w:rPr>
          <w:rFonts w:eastAsia="仿宋_GB2312"/>
          <w:color w:val="auto"/>
          <w:sz w:val="30"/>
          <w:szCs w:val="30"/>
          <w:highlight w:val="none"/>
          <w:u w:val="single"/>
        </w:rPr>
      </w:pPr>
      <w:r>
        <w:rPr>
          <w:rFonts w:hint="eastAsia" w:eastAsia="仿宋_GB2312"/>
          <w:color w:val="auto"/>
          <w:sz w:val="30"/>
          <w:szCs w:val="30"/>
          <w:highlight w:val="none"/>
        </w:rPr>
        <w:t xml:space="preserve">                                 </w:t>
      </w:r>
    </w:p>
    <w:p w14:paraId="720E8EAF">
      <w:pPr>
        <w:spacing w:line="360" w:lineRule="auto"/>
        <w:rPr>
          <w:rFonts w:eastAsia="仿宋_GB2312"/>
          <w:color w:val="auto"/>
          <w:sz w:val="30"/>
          <w:szCs w:val="30"/>
          <w:highlight w:val="none"/>
        </w:rPr>
      </w:pPr>
      <w:r>
        <w:rPr>
          <w:rFonts w:hint="eastAsia" w:eastAsia="仿宋_GB2312"/>
          <w:color w:val="auto"/>
          <w:sz w:val="30"/>
          <w:szCs w:val="30"/>
          <w:highlight w:val="none"/>
        </w:rPr>
        <w:t>法定代表人或其委托代理人：  法定代表人或其委托代理人：</w:t>
      </w:r>
    </w:p>
    <w:p w14:paraId="2606CE50">
      <w:pPr>
        <w:spacing w:line="360" w:lineRule="auto"/>
        <w:rPr>
          <w:rFonts w:eastAsia="仿宋_GB2312"/>
          <w:color w:val="auto"/>
          <w:sz w:val="30"/>
          <w:szCs w:val="30"/>
          <w:highlight w:val="none"/>
        </w:rPr>
      </w:pPr>
      <w:r>
        <w:rPr>
          <w:rFonts w:hint="eastAsia" w:eastAsia="仿宋_GB2312"/>
          <w:color w:val="auto"/>
          <w:sz w:val="30"/>
          <w:szCs w:val="30"/>
          <w:highlight w:val="none"/>
        </w:rPr>
        <w:t>（签字）                    （签字）</w:t>
      </w:r>
    </w:p>
    <w:p w14:paraId="30D7DD8E">
      <w:pPr>
        <w:spacing w:line="360" w:lineRule="auto"/>
        <w:rPr>
          <w:rFonts w:eastAsia="仿宋_GB2312"/>
          <w:color w:val="auto"/>
          <w:sz w:val="30"/>
          <w:szCs w:val="30"/>
          <w:highlight w:val="none"/>
          <w:u w:val="single"/>
        </w:rPr>
      </w:pPr>
    </w:p>
    <w:p w14:paraId="37313364">
      <w:pPr>
        <w:tabs>
          <w:tab w:val="left" w:pos="4410"/>
        </w:tabs>
        <w:spacing w:line="360" w:lineRule="auto"/>
        <w:rPr>
          <w:rFonts w:eastAsia="仿宋_GB2312"/>
          <w:color w:val="auto"/>
          <w:sz w:val="30"/>
          <w:szCs w:val="30"/>
          <w:highlight w:val="none"/>
        </w:rPr>
      </w:pPr>
      <w:r>
        <w:rPr>
          <w:rFonts w:hint="eastAsia" w:eastAsia="仿宋_GB2312"/>
          <w:color w:val="auto"/>
          <w:sz w:val="30"/>
          <w:szCs w:val="30"/>
          <w:highlight w:val="none"/>
        </w:rPr>
        <w:t>组织机构代码：</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hint="eastAsia" w:eastAsia="仿宋_GB2312"/>
          <w:color w:val="auto"/>
          <w:sz w:val="30"/>
          <w:szCs w:val="30"/>
          <w:highlight w:val="none"/>
        </w:rPr>
        <w:t xml:space="preserve"> 组织机构代码：</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p>
    <w:p w14:paraId="27852333">
      <w:pPr>
        <w:spacing w:line="360" w:lineRule="auto"/>
        <w:rPr>
          <w:rFonts w:eastAsia="仿宋_GB2312"/>
          <w:color w:val="auto"/>
          <w:sz w:val="30"/>
          <w:szCs w:val="30"/>
          <w:highlight w:val="none"/>
        </w:rPr>
      </w:pPr>
      <w:r>
        <w:rPr>
          <w:rFonts w:eastAsia="仿宋_GB2312"/>
          <w:color w:val="auto"/>
          <w:sz w:val="30"/>
          <w:szCs w:val="30"/>
          <w:highlight w:val="none"/>
        </w:rPr>
        <w:t>地  址：</w:t>
      </w:r>
      <w:r>
        <w:rPr>
          <w:rFonts w:eastAsia="仿宋_GB2312"/>
          <w:color w:val="auto"/>
          <w:sz w:val="30"/>
          <w:szCs w:val="30"/>
          <w:highlight w:val="none"/>
          <w:u w:val="singl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 xml:space="preserve"> 地  址：</w:t>
      </w:r>
      <w:r>
        <w:rPr>
          <w:rFonts w:eastAsia="仿宋_GB2312"/>
          <w:color w:val="auto"/>
          <w:sz w:val="30"/>
          <w:szCs w:val="30"/>
          <w:highlight w:val="none"/>
          <w:u w:val="single"/>
        </w:rPr>
        <w:t xml:space="preserve">                 </w:t>
      </w:r>
    </w:p>
    <w:p w14:paraId="72C5E374">
      <w:pPr>
        <w:spacing w:line="360" w:lineRule="auto"/>
        <w:rPr>
          <w:rFonts w:eastAsia="仿宋_GB2312"/>
          <w:color w:val="auto"/>
          <w:sz w:val="30"/>
          <w:szCs w:val="30"/>
          <w:highlight w:val="none"/>
        </w:rPr>
      </w:pPr>
      <w:r>
        <w:rPr>
          <w:rFonts w:eastAsia="仿宋_GB2312"/>
          <w:color w:val="auto"/>
          <w:sz w:val="30"/>
          <w:szCs w:val="30"/>
          <w:highlight w:val="none"/>
        </w:rPr>
        <w:t>邮政编码：</w:t>
      </w:r>
      <w:r>
        <w:rPr>
          <w:rFonts w:eastAsia="仿宋_GB2312"/>
          <w:color w:val="auto"/>
          <w:sz w:val="30"/>
          <w:szCs w:val="30"/>
          <w:highlight w:val="none"/>
          <w:u w:val="singl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 xml:space="preserve"> 邮政编码：</w:t>
      </w:r>
      <w:r>
        <w:rPr>
          <w:rFonts w:eastAsia="仿宋_GB2312"/>
          <w:color w:val="auto"/>
          <w:sz w:val="30"/>
          <w:szCs w:val="30"/>
          <w:highlight w:val="none"/>
          <w:u w:val="single"/>
        </w:rPr>
        <w:t xml:space="preserve">               </w:t>
      </w:r>
    </w:p>
    <w:p w14:paraId="0C221E90">
      <w:pPr>
        <w:spacing w:line="360" w:lineRule="auto"/>
        <w:rPr>
          <w:rFonts w:eastAsia="仿宋_GB2312"/>
          <w:color w:val="auto"/>
          <w:sz w:val="30"/>
          <w:szCs w:val="30"/>
          <w:highlight w:val="none"/>
        </w:rPr>
      </w:pPr>
      <w:r>
        <w:rPr>
          <w:rFonts w:eastAsia="仿宋_GB2312"/>
          <w:color w:val="auto"/>
          <w:sz w:val="30"/>
          <w:szCs w:val="30"/>
          <w:highlight w:val="none"/>
        </w:rPr>
        <w:t>法定代表人：</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法定代表人：</w:t>
      </w:r>
      <w:r>
        <w:rPr>
          <w:rFonts w:eastAsia="仿宋_GB2312"/>
          <w:color w:val="auto"/>
          <w:sz w:val="30"/>
          <w:szCs w:val="30"/>
          <w:highlight w:val="none"/>
          <w:u w:val="single"/>
        </w:rPr>
        <w:t xml:space="preserve">             </w:t>
      </w:r>
    </w:p>
    <w:p w14:paraId="05FC631A">
      <w:pPr>
        <w:spacing w:line="360" w:lineRule="auto"/>
        <w:rPr>
          <w:rFonts w:eastAsia="仿宋_GB2312"/>
          <w:color w:val="auto"/>
          <w:sz w:val="30"/>
          <w:szCs w:val="30"/>
          <w:highlight w:val="none"/>
        </w:rPr>
      </w:pPr>
      <w:r>
        <w:rPr>
          <w:rFonts w:eastAsia="仿宋_GB2312"/>
          <w:color w:val="auto"/>
          <w:sz w:val="30"/>
          <w:szCs w:val="30"/>
          <w:highlight w:val="none"/>
        </w:rPr>
        <w:t>委托代理人：</w:t>
      </w:r>
      <w:r>
        <w:rPr>
          <w:rFonts w:eastAsia="仿宋_GB2312"/>
          <w:color w:val="auto"/>
          <w:sz w:val="30"/>
          <w:szCs w:val="30"/>
          <w:highlight w:val="none"/>
          <w:u w:val="singl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 xml:space="preserve"> 委托代理人：</w:t>
      </w:r>
      <w:r>
        <w:rPr>
          <w:rFonts w:eastAsia="仿宋_GB2312"/>
          <w:color w:val="auto"/>
          <w:sz w:val="30"/>
          <w:szCs w:val="30"/>
          <w:highlight w:val="none"/>
          <w:u w:val="single"/>
        </w:rPr>
        <w:t xml:space="preserve">             </w:t>
      </w:r>
    </w:p>
    <w:p w14:paraId="5382BB30">
      <w:pPr>
        <w:spacing w:line="360" w:lineRule="auto"/>
        <w:rPr>
          <w:rFonts w:eastAsia="仿宋_GB2312"/>
          <w:color w:val="auto"/>
          <w:sz w:val="30"/>
          <w:szCs w:val="30"/>
          <w:highlight w:val="none"/>
        </w:rPr>
      </w:pPr>
      <w:r>
        <w:rPr>
          <w:rFonts w:eastAsia="仿宋_GB2312"/>
          <w:color w:val="auto"/>
          <w:sz w:val="30"/>
          <w:szCs w:val="30"/>
          <w:highlight w:val="none"/>
        </w:rPr>
        <w:t>电  话：</w:t>
      </w:r>
      <w:r>
        <w:rPr>
          <w:rFonts w:eastAsia="仿宋_GB2312"/>
          <w:color w:val="auto"/>
          <w:sz w:val="30"/>
          <w:szCs w:val="30"/>
          <w:highlight w:val="none"/>
          <w:u w:val="singl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 xml:space="preserve"> 电  话：</w:t>
      </w:r>
      <w:r>
        <w:rPr>
          <w:rFonts w:eastAsia="仿宋_GB2312"/>
          <w:color w:val="auto"/>
          <w:sz w:val="30"/>
          <w:szCs w:val="30"/>
          <w:highlight w:val="none"/>
          <w:u w:val="single"/>
        </w:rPr>
        <w:t xml:space="preserve">                 </w:t>
      </w:r>
    </w:p>
    <w:p w14:paraId="28023A9D">
      <w:pPr>
        <w:spacing w:line="360" w:lineRule="auto"/>
        <w:rPr>
          <w:rFonts w:eastAsia="仿宋_GB2312"/>
          <w:color w:val="auto"/>
          <w:sz w:val="30"/>
          <w:szCs w:val="30"/>
          <w:highlight w:val="none"/>
        </w:rPr>
      </w:pPr>
      <w:r>
        <w:rPr>
          <w:rFonts w:eastAsia="仿宋_GB2312"/>
          <w:color w:val="auto"/>
          <w:sz w:val="30"/>
          <w:szCs w:val="30"/>
          <w:highlight w:val="none"/>
        </w:rPr>
        <w:t>传  真：</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传  真：</w:t>
      </w:r>
      <w:r>
        <w:rPr>
          <w:rFonts w:eastAsia="仿宋_GB2312"/>
          <w:color w:val="auto"/>
          <w:sz w:val="30"/>
          <w:szCs w:val="30"/>
          <w:highlight w:val="none"/>
          <w:u w:val="single"/>
        </w:rPr>
        <w:t xml:space="preserve">                 </w:t>
      </w:r>
    </w:p>
    <w:p w14:paraId="5187B48B">
      <w:pPr>
        <w:spacing w:line="360" w:lineRule="auto"/>
        <w:rPr>
          <w:rFonts w:eastAsia="仿宋_GB2312"/>
          <w:color w:val="auto"/>
          <w:sz w:val="30"/>
          <w:szCs w:val="30"/>
          <w:highlight w:val="none"/>
        </w:rPr>
      </w:pPr>
      <w:r>
        <w:rPr>
          <w:rFonts w:eastAsia="仿宋_GB2312"/>
          <w:color w:val="auto"/>
          <w:sz w:val="30"/>
          <w:szCs w:val="30"/>
          <w:highlight w:val="none"/>
        </w:rPr>
        <w:t>电子信箱：</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电子信箱：</w:t>
      </w:r>
      <w:r>
        <w:rPr>
          <w:rFonts w:eastAsia="仿宋_GB2312"/>
          <w:color w:val="auto"/>
          <w:sz w:val="30"/>
          <w:szCs w:val="30"/>
          <w:highlight w:val="none"/>
          <w:u w:val="single"/>
        </w:rPr>
        <w:t xml:space="preserve">               </w:t>
      </w:r>
    </w:p>
    <w:p w14:paraId="76136D88">
      <w:pPr>
        <w:spacing w:line="360" w:lineRule="auto"/>
        <w:rPr>
          <w:rFonts w:eastAsia="仿宋_GB2312"/>
          <w:color w:val="auto"/>
          <w:sz w:val="30"/>
          <w:szCs w:val="30"/>
          <w:highlight w:val="none"/>
        </w:rPr>
      </w:pPr>
      <w:r>
        <w:rPr>
          <w:rFonts w:eastAsia="仿宋_GB2312"/>
          <w:color w:val="auto"/>
          <w:sz w:val="30"/>
          <w:szCs w:val="30"/>
          <w:highlight w:val="none"/>
        </w:rPr>
        <w:t>开户银行：</w:t>
      </w:r>
      <w:r>
        <w:rPr>
          <w:rFonts w:eastAsia="仿宋_GB2312"/>
          <w:color w:val="auto"/>
          <w:sz w:val="30"/>
          <w:szCs w:val="30"/>
          <w:highlight w:val="none"/>
          <w:u w:val="singl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 xml:space="preserve"> 开户银行：</w:t>
      </w:r>
      <w:r>
        <w:rPr>
          <w:rFonts w:eastAsia="仿宋_GB2312"/>
          <w:color w:val="auto"/>
          <w:sz w:val="30"/>
          <w:szCs w:val="30"/>
          <w:highlight w:val="none"/>
          <w:u w:val="single"/>
        </w:rPr>
        <w:t xml:space="preserve">               </w:t>
      </w:r>
    </w:p>
    <w:p w14:paraId="1A6A37DD">
      <w:pPr>
        <w:spacing w:line="360" w:lineRule="auto"/>
        <w:rPr>
          <w:rFonts w:eastAsia="仿宋_GB2312"/>
          <w:color w:val="auto"/>
          <w:sz w:val="30"/>
          <w:szCs w:val="30"/>
          <w:highlight w:val="none"/>
        </w:rPr>
      </w:pPr>
      <w:r>
        <w:rPr>
          <w:rFonts w:eastAsia="仿宋_GB2312"/>
          <w:color w:val="auto"/>
          <w:sz w:val="30"/>
          <w:szCs w:val="30"/>
          <w:highlight w:val="none"/>
        </w:rPr>
        <w:t>账  号：</w:t>
      </w:r>
      <w:r>
        <w:rPr>
          <w:rFonts w:eastAsia="仿宋_GB2312"/>
          <w:color w:val="auto"/>
          <w:sz w:val="30"/>
          <w:szCs w:val="30"/>
          <w:highlight w:val="none"/>
          <w:u w:val="singl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账</w:t>
      </w:r>
      <w:r>
        <w:rPr>
          <w:rFonts w:hint="eastAsia" w:eastAsia="仿宋_GB2312"/>
          <w:color w:val="auto"/>
          <w:sz w:val="30"/>
          <w:szCs w:val="30"/>
          <w:highlight w:val="none"/>
        </w:rPr>
        <w:t xml:space="preserve"> </w:t>
      </w:r>
      <w:r>
        <w:rPr>
          <w:rFonts w:eastAsia="仿宋_GB2312"/>
          <w:color w:val="auto"/>
          <w:sz w:val="30"/>
          <w:szCs w:val="30"/>
          <w:highlight w:val="none"/>
        </w:rPr>
        <w:t xml:space="preserve"> 号：</w:t>
      </w:r>
      <w:r>
        <w:rPr>
          <w:rFonts w:eastAsia="仿宋_GB2312"/>
          <w:color w:val="auto"/>
          <w:sz w:val="30"/>
          <w:szCs w:val="30"/>
          <w:highlight w:val="none"/>
          <w:u w:val="single"/>
        </w:rPr>
        <w:t xml:space="preserve">                 </w:t>
      </w:r>
    </w:p>
    <w:p w14:paraId="5EC8A987">
      <w:pPr>
        <w:pStyle w:val="4"/>
        <w:jc w:val="center"/>
        <w:rPr>
          <w:rFonts w:ascii="华文中宋" w:hAnsi="华文中宋" w:eastAsia="华文中宋"/>
          <w:color w:val="auto"/>
          <w:sz w:val="44"/>
          <w:szCs w:val="44"/>
          <w:highlight w:val="none"/>
        </w:rPr>
      </w:pPr>
      <w:r>
        <w:rPr>
          <w:rFonts w:eastAsia="仿宋_GB2312"/>
          <w:color w:val="auto"/>
          <w:highlight w:val="none"/>
        </w:rPr>
        <w:br w:type="page"/>
      </w:r>
      <w:bookmarkStart w:id="99" w:name="_Toc351203494"/>
      <w:r>
        <w:rPr>
          <w:rFonts w:ascii="华文中宋" w:hAnsi="华文中宋" w:eastAsia="华文中宋"/>
          <w:color w:val="auto"/>
          <w:sz w:val="44"/>
          <w:szCs w:val="44"/>
          <w:highlight w:val="none"/>
        </w:rPr>
        <w:t>第二部分 通用合同条款</w:t>
      </w:r>
      <w:bookmarkEnd w:id="99"/>
      <w:bookmarkStart w:id="100" w:name="_Toc337558727"/>
    </w:p>
    <w:p w14:paraId="454E5ED2">
      <w:pPr>
        <w:widowControl/>
        <w:spacing w:line="360" w:lineRule="auto"/>
        <w:ind w:firstLine="600" w:firstLineChars="200"/>
        <w:jc w:val="left"/>
        <w:rPr>
          <w:rFonts w:ascii="宋体" w:hAnsi="宋体" w:cs="黑体"/>
          <w:b/>
          <w:color w:val="auto"/>
          <w:sz w:val="24"/>
          <w:highlight w:val="none"/>
        </w:rPr>
      </w:pPr>
      <w:r>
        <w:rPr>
          <w:rFonts w:hint="eastAsia" w:ascii="仿宋_GB2312" w:eastAsia="仿宋_GB2312"/>
          <w:b/>
          <w:color w:val="auto"/>
          <w:sz w:val="30"/>
          <w:szCs w:val="30"/>
          <w:highlight w:val="none"/>
        </w:rPr>
        <w:t>住房城乡建设部、国家工商行政管理总局制定的《建设工程施工合同（示范文本）》（GF-20</w:t>
      </w:r>
      <w:r>
        <w:rPr>
          <w:rFonts w:ascii="仿宋_GB2312" w:eastAsia="仿宋_GB2312"/>
          <w:b/>
          <w:color w:val="auto"/>
          <w:sz w:val="30"/>
          <w:szCs w:val="30"/>
          <w:highlight w:val="none"/>
        </w:rPr>
        <w:tab/>
      </w:r>
      <w:r>
        <w:rPr>
          <w:rFonts w:hint="eastAsia" w:ascii="仿宋_GB2312" w:eastAsia="仿宋_GB2312"/>
          <w:b/>
          <w:color w:val="auto"/>
          <w:sz w:val="30"/>
          <w:szCs w:val="30"/>
          <w:highlight w:val="none"/>
        </w:rPr>
        <w:t>17-0201）</w:t>
      </w:r>
      <w:r>
        <w:rPr>
          <w:rFonts w:hint="eastAsia" w:ascii="宋体" w:hAnsi="宋体" w:cs="黑体"/>
          <w:b/>
          <w:color w:val="auto"/>
          <w:sz w:val="24"/>
          <w:highlight w:val="none"/>
        </w:rPr>
        <w:t>。</w:t>
      </w:r>
    </w:p>
    <w:p w14:paraId="6BB99265">
      <w:pPr>
        <w:pStyle w:val="4"/>
        <w:rPr>
          <w:rFonts w:ascii="华文中宋" w:hAnsi="华文中宋" w:eastAsia="华文中宋"/>
          <w:color w:val="auto"/>
          <w:sz w:val="44"/>
          <w:szCs w:val="44"/>
          <w:highlight w:val="none"/>
        </w:rPr>
      </w:pPr>
    </w:p>
    <w:p w14:paraId="3A27017A">
      <w:pPr>
        <w:pStyle w:val="4"/>
        <w:jc w:val="center"/>
        <w:rPr>
          <w:rFonts w:ascii="华文中宋" w:hAnsi="华文中宋" w:eastAsia="华文中宋"/>
          <w:color w:val="auto"/>
          <w:sz w:val="44"/>
          <w:szCs w:val="44"/>
          <w:highlight w:val="none"/>
        </w:rPr>
      </w:pPr>
      <w:r>
        <w:rPr>
          <w:color w:val="auto"/>
          <w:highlight w:val="none"/>
        </w:rPr>
        <w:br w:type="page"/>
      </w:r>
      <w:bookmarkEnd w:id="100"/>
      <w:bookmarkStart w:id="101" w:name="_Toc351203632"/>
      <w:r>
        <w:rPr>
          <w:rFonts w:ascii="华文中宋" w:hAnsi="华文中宋" w:eastAsia="华文中宋"/>
          <w:color w:val="auto"/>
          <w:sz w:val="44"/>
          <w:szCs w:val="44"/>
          <w:highlight w:val="none"/>
        </w:rPr>
        <w:t xml:space="preserve">第三部分 </w:t>
      </w:r>
      <w:r>
        <w:rPr>
          <w:rFonts w:hint="eastAsia" w:ascii="华文中宋" w:hAnsi="华文中宋" w:eastAsia="华文中宋"/>
          <w:color w:val="auto"/>
          <w:sz w:val="44"/>
          <w:szCs w:val="44"/>
          <w:highlight w:val="none"/>
        </w:rPr>
        <w:t>专用合同条款</w:t>
      </w:r>
      <w:bookmarkEnd w:id="101"/>
    </w:p>
    <w:p w14:paraId="3F501757">
      <w:pPr>
        <w:pStyle w:val="5"/>
        <w:spacing w:before="120" w:after="120" w:line="360" w:lineRule="auto"/>
        <w:rPr>
          <w:rFonts w:ascii="Times New Roman" w:hAnsi="Times New Roman" w:eastAsia="黑体"/>
          <w:b w:val="0"/>
          <w:color w:val="auto"/>
          <w:sz w:val="32"/>
          <w:szCs w:val="32"/>
          <w:highlight w:val="none"/>
        </w:rPr>
      </w:pPr>
      <w:bookmarkStart w:id="102" w:name="_Toc351203633"/>
      <w:r>
        <w:rPr>
          <w:rFonts w:ascii="Times New Roman" w:hAnsi="Times New Roman" w:eastAsia="黑体"/>
          <w:b w:val="0"/>
          <w:color w:val="auto"/>
          <w:sz w:val="32"/>
          <w:szCs w:val="32"/>
          <w:highlight w:val="none"/>
        </w:rPr>
        <w:t>1</w:t>
      </w:r>
      <w:bookmarkStart w:id="103" w:name="_Toc297048342"/>
      <w:bookmarkStart w:id="104" w:name="_Toc296891196"/>
      <w:bookmarkStart w:id="105" w:name="_Toc296503156"/>
      <w:bookmarkStart w:id="106" w:name="_Toc296346657"/>
      <w:bookmarkStart w:id="107" w:name="_Toc297120456"/>
      <w:bookmarkStart w:id="108" w:name="_Toc292559361"/>
      <w:bookmarkStart w:id="109" w:name="_Toc296944495"/>
      <w:bookmarkStart w:id="110" w:name="_Toc292559866"/>
      <w:bookmarkStart w:id="111" w:name="_Toc296347155"/>
      <w:bookmarkStart w:id="112" w:name="_Toc296890984"/>
      <w:r>
        <w:rPr>
          <w:rFonts w:ascii="Times New Roman" w:hAnsi="Times New Roman" w:eastAsia="黑体"/>
          <w:b w:val="0"/>
          <w:color w:val="auto"/>
          <w:sz w:val="32"/>
          <w:szCs w:val="32"/>
          <w:highlight w:val="none"/>
        </w:rPr>
        <w:t>. 一般约定</w:t>
      </w:r>
      <w:bookmarkEnd w:id="102"/>
    </w:p>
    <w:bookmarkEnd w:id="103"/>
    <w:bookmarkEnd w:id="104"/>
    <w:bookmarkEnd w:id="105"/>
    <w:bookmarkEnd w:id="106"/>
    <w:bookmarkEnd w:id="107"/>
    <w:bookmarkEnd w:id="108"/>
    <w:bookmarkEnd w:id="109"/>
    <w:bookmarkEnd w:id="110"/>
    <w:bookmarkEnd w:id="111"/>
    <w:bookmarkEnd w:id="112"/>
    <w:p w14:paraId="2037FED0">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1.1 词语定义</w:t>
      </w:r>
    </w:p>
    <w:p w14:paraId="56EA1A91">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1.1.1合同</w:t>
      </w:r>
    </w:p>
    <w:p w14:paraId="1A98B03D">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1.1.1.10其他合同文件包括：</w:t>
      </w:r>
      <w:r>
        <w:rPr>
          <w:rFonts w:hint="eastAsia" w:eastAsia="仿宋_GB2312"/>
          <w:color w:val="auto"/>
          <w:sz w:val="30"/>
          <w:szCs w:val="32"/>
          <w:highlight w:val="none"/>
          <w:u w:val="single"/>
        </w:rPr>
        <w:t xml:space="preserve">(1)双方有关工程的洽商、变更等书面记录和文件；（2）发包人或监理工程师有关通知及工程会议纪要   </w:t>
      </w:r>
      <w:r>
        <w:rPr>
          <w:rFonts w:eastAsia="仿宋_GB2312"/>
          <w:color w:val="auto"/>
          <w:sz w:val="30"/>
          <w:szCs w:val="32"/>
          <w:highlight w:val="none"/>
        </w:rPr>
        <w:t>。</w:t>
      </w:r>
    </w:p>
    <w:p w14:paraId="3AE5AA54">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1.1.2 合同当事人及其他相关方</w:t>
      </w:r>
    </w:p>
    <w:p w14:paraId="3A296C33">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1.1.2.4监理人：</w:t>
      </w:r>
    </w:p>
    <w:p w14:paraId="5253D674">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名    称：</w:t>
      </w:r>
      <w:r>
        <w:rPr>
          <w:rFonts w:eastAsia="仿宋_GB2312"/>
          <w:color w:val="auto"/>
          <w:sz w:val="30"/>
          <w:szCs w:val="30"/>
          <w:highlight w:val="none"/>
          <w:u w:val="single"/>
        </w:rPr>
        <w:t xml:space="preserve">                                   </w:t>
      </w:r>
      <w:r>
        <w:rPr>
          <w:rFonts w:eastAsia="仿宋_GB2312"/>
          <w:color w:val="auto"/>
          <w:sz w:val="30"/>
          <w:szCs w:val="32"/>
          <w:highlight w:val="none"/>
        </w:rPr>
        <w:t>；</w:t>
      </w:r>
    </w:p>
    <w:p w14:paraId="449D0D7D">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资质类别和等级：</w:t>
      </w:r>
      <w:r>
        <w:rPr>
          <w:rFonts w:eastAsia="仿宋_GB2312"/>
          <w:color w:val="auto"/>
          <w:sz w:val="30"/>
          <w:szCs w:val="30"/>
          <w:highlight w:val="none"/>
          <w:u w:val="single"/>
        </w:rPr>
        <w:t xml:space="preserve">                             </w:t>
      </w:r>
      <w:r>
        <w:rPr>
          <w:rFonts w:eastAsia="仿宋_GB2312"/>
          <w:color w:val="auto"/>
          <w:sz w:val="30"/>
          <w:szCs w:val="32"/>
          <w:highlight w:val="none"/>
        </w:rPr>
        <w:t>；</w:t>
      </w:r>
    </w:p>
    <w:p w14:paraId="53782700">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联系电话：</w:t>
      </w:r>
      <w:r>
        <w:rPr>
          <w:rFonts w:eastAsia="仿宋_GB2312"/>
          <w:color w:val="auto"/>
          <w:sz w:val="30"/>
          <w:szCs w:val="30"/>
          <w:highlight w:val="none"/>
          <w:u w:val="single"/>
        </w:rPr>
        <w:t xml:space="preserve">                                   </w:t>
      </w:r>
      <w:r>
        <w:rPr>
          <w:rFonts w:eastAsia="仿宋_GB2312"/>
          <w:color w:val="auto"/>
          <w:sz w:val="30"/>
          <w:szCs w:val="32"/>
          <w:highlight w:val="none"/>
        </w:rPr>
        <w:t>；</w:t>
      </w:r>
    </w:p>
    <w:p w14:paraId="33D72E5B">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电子信箱：</w:t>
      </w:r>
      <w:r>
        <w:rPr>
          <w:rFonts w:eastAsia="仿宋_GB2312"/>
          <w:color w:val="auto"/>
          <w:sz w:val="30"/>
          <w:szCs w:val="30"/>
          <w:highlight w:val="none"/>
          <w:u w:val="single"/>
        </w:rPr>
        <w:t xml:space="preserve">                                   </w:t>
      </w:r>
      <w:r>
        <w:rPr>
          <w:rFonts w:eastAsia="仿宋_GB2312"/>
          <w:color w:val="auto"/>
          <w:sz w:val="30"/>
          <w:szCs w:val="32"/>
          <w:highlight w:val="none"/>
        </w:rPr>
        <w:t>；</w:t>
      </w:r>
    </w:p>
    <w:p w14:paraId="05C5F6F9">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通信地址：</w:t>
      </w:r>
      <w:r>
        <w:rPr>
          <w:rFonts w:eastAsia="仿宋_GB2312"/>
          <w:color w:val="auto"/>
          <w:sz w:val="30"/>
          <w:szCs w:val="30"/>
          <w:highlight w:val="none"/>
          <w:u w:val="single"/>
        </w:rPr>
        <w:t xml:space="preserve">                                   </w:t>
      </w:r>
      <w:r>
        <w:rPr>
          <w:rFonts w:eastAsia="仿宋_GB2312"/>
          <w:color w:val="auto"/>
          <w:sz w:val="30"/>
          <w:szCs w:val="32"/>
          <w:highlight w:val="none"/>
        </w:rPr>
        <w:t>。</w:t>
      </w:r>
    </w:p>
    <w:p w14:paraId="16887A17">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1.1.2.5 设计人：</w:t>
      </w:r>
    </w:p>
    <w:p w14:paraId="5AD720CE">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名    称：</w:t>
      </w:r>
      <w:r>
        <w:rPr>
          <w:rFonts w:eastAsia="仿宋_GB2312"/>
          <w:color w:val="auto"/>
          <w:sz w:val="30"/>
          <w:szCs w:val="30"/>
          <w:highlight w:val="none"/>
          <w:u w:val="single"/>
        </w:rPr>
        <w:t xml:space="preserve">                                   </w:t>
      </w:r>
      <w:r>
        <w:rPr>
          <w:rFonts w:eastAsia="仿宋_GB2312"/>
          <w:color w:val="auto"/>
          <w:sz w:val="30"/>
          <w:szCs w:val="32"/>
          <w:highlight w:val="none"/>
        </w:rPr>
        <w:t>；</w:t>
      </w:r>
    </w:p>
    <w:p w14:paraId="71166B01">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资质类别和等级：</w:t>
      </w:r>
      <w:r>
        <w:rPr>
          <w:rFonts w:eastAsia="仿宋_GB2312"/>
          <w:color w:val="auto"/>
          <w:sz w:val="30"/>
          <w:szCs w:val="30"/>
          <w:highlight w:val="none"/>
          <w:u w:val="single"/>
        </w:rPr>
        <w:t xml:space="preserve">                             </w:t>
      </w:r>
      <w:r>
        <w:rPr>
          <w:rFonts w:eastAsia="仿宋_GB2312"/>
          <w:color w:val="auto"/>
          <w:sz w:val="30"/>
          <w:szCs w:val="32"/>
          <w:highlight w:val="none"/>
        </w:rPr>
        <w:t>；</w:t>
      </w:r>
    </w:p>
    <w:p w14:paraId="1F17C94A">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联系电话：</w:t>
      </w:r>
      <w:r>
        <w:rPr>
          <w:rFonts w:eastAsia="仿宋_GB2312"/>
          <w:color w:val="auto"/>
          <w:sz w:val="30"/>
          <w:szCs w:val="30"/>
          <w:highlight w:val="none"/>
          <w:u w:val="single"/>
        </w:rPr>
        <w:t xml:space="preserve">                                   </w:t>
      </w:r>
      <w:r>
        <w:rPr>
          <w:rFonts w:eastAsia="仿宋_GB2312"/>
          <w:color w:val="auto"/>
          <w:sz w:val="30"/>
          <w:szCs w:val="32"/>
          <w:highlight w:val="none"/>
        </w:rPr>
        <w:t>；</w:t>
      </w:r>
    </w:p>
    <w:p w14:paraId="740B27E3">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电子信箱：</w:t>
      </w:r>
      <w:r>
        <w:rPr>
          <w:rFonts w:eastAsia="仿宋_GB2312"/>
          <w:color w:val="auto"/>
          <w:sz w:val="30"/>
          <w:szCs w:val="30"/>
          <w:highlight w:val="none"/>
          <w:u w:val="single"/>
        </w:rPr>
        <w:t xml:space="preserve">                                   </w:t>
      </w:r>
      <w:r>
        <w:rPr>
          <w:rFonts w:eastAsia="仿宋_GB2312"/>
          <w:color w:val="auto"/>
          <w:sz w:val="30"/>
          <w:szCs w:val="32"/>
          <w:highlight w:val="none"/>
        </w:rPr>
        <w:t>；</w:t>
      </w:r>
    </w:p>
    <w:p w14:paraId="46DFB644">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通信地址：</w:t>
      </w:r>
      <w:r>
        <w:rPr>
          <w:rFonts w:eastAsia="仿宋_GB2312"/>
          <w:color w:val="auto"/>
          <w:sz w:val="30"/>
          <w:szCs w:val="30"/>
          <w:highlight w:val="none"/>
          <w:u w:val="single"/>
        </w:rPr>
        <w:t xml:space="preserve">                                   </w:t>
      </w:r>
      <w:r>
        <w:rPr>
          <w:rFonts w:eastAsia="仿宋_GB2312"/>
          <w:color w:val="auto"/>
          <w:sz w:val="30"/>
          <w:szCs w:val="32"/>
          <w:highlight w:val="none"/>
        </w:rPr>
        <w:t>。</w:t>
      </w:r>
    </w:p>
    <w:p w14:paraId="4728FBEF">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1.1.3 工程和设备</w:t>
      </w:r>
    </w:p>
    <w:p w14:paraId="06294DE8">
      <w:pPr>
        <w:spacing w:line="360" w:lineRule="auto"/>
        <w:ind w:firstLine="600" w:firstLineChars="200"/>
        <w:jc w:val="left"/>
        <w:rPr>
          <w:rFonts w:eastAsia="仿宋_GB2312"/>
          <w:color w:val="auto"/>
          <w:sz w:val="30"/>
          <w:szCs w:val="32"/>
          <w:highlight w:val="none"/>
        </w:rPr>
      </w:pPr>
      <w:r>
        <w:rPr>
          <w:rFonts w:eastAsia="仿宋_GB2312"/>
          <w:color w:val="auto"/>
          <w:kern w:val="0"/>
          <w:sz w:val="30"/>
          <w:szCs w:val="32"/>
          <w:highlight w:val="none"/>
        </w:rPr>
        <w:t>1.1.3.10 临时占地包括：</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临时施工用地、临时便道用地 </w:t>
      </w:r>
      <w:r>
        <w:rPr>
          <w:rFonts w:eastAsia="仿宋_GB2312"/>
          <w:color w:val="auto"/>
          <w:kern w:val="0"/>
          <w:sz w:val="30"/>
          <w:szCs w:val="32"/>
          <w:highlight w:val="none"/>
        </w:rPr>
        <w:t>。</w:t>
      </w:r>
    </w:p>
    <w:p w14:paraId="7F9D0066">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 xml:space="preserve">1.3法律 </w:t>
      </w:r>
    </w:p>
    <w:p w14:paraId="542A4253">
      <w:pPr>
        <w:autoSpaceDE w:val="0"/>
        <w:autoSpaceDN w:val="0"/>
        <w:adjustRightInd w:val="0"/>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适用于合同的其他规范性文件：</w:t>
      </w:r>
      <w:r>
        <w:rPr>
          <w:rFonts w:hint="eastAsia" w:eastAsia="仿宋_GB2312"/>
          <w:color w:val="auto"/>
          <w:sz w:val="30"/>
          <w:szCs w:val="32"/>
          <w:highlight w:val="none"/>
          <w:u w:val="single"/>
        </w:rPr>
        <w:t>国家及地方现行相关规范性文件</w:t>
      </w:r>
      <w:r>
        <w:rPr>
          <w:rFonts w:eastAsia="仿宋_GB2312"/>
          <w:color w:val="auto"/>
          <w:sz w:val="30"/>
          <w:szCs w:val="32"/>
          <w:highlight w:val="none"/>
          <w:u w:val="single"/>
        </w:rPr>
        <w:t xml:space="preserve"> </w:t>
      </w:r>
      <w:r>
        <w:rPr>
          <w:rFonts w:eastAsia="仿宋_GB2312"/>
          <w:color w:val="auto"/>
          <w:sz w:val="30"/>
          <w:szCs w:val="32"/>
          <w:highlight w:val="none"/>
        </w:rPr>
        <w:t>。</w:t>
      </w:r>
    </w:p>
    <w:p w14:paraId="5CCA4D29">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1.5 合同文件的优先顺序</w:t>
      </w:r>
    </w:p>
    <w:p w14:paraId="28C7C401">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合同文件组成及优先顺序为：</w:t>
      </w:r>
    </w:p>
    <w:p w14:paraId="7C82F9C2">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1</w:t>
      </w:r>
      <w:r>
        <w:rPr>
          <w:rFonts w:eastAsia="仿宋_GB2312"/>
          <w:color w:val="auto"/>
          <w:sz w:val="30"/>
          <w:szCs w:val="32"/>
          <w:highlight w:val="none"/>
        </w:rPr>
        <w:t>）</w:t>
      </w:r>
      <w:r>
        <w:rPr>
          <w:rFonts w:hint="eastAsia" w:eastAsia="仿宋_GB2312"/>
          <w:color w:val="auto"/>
          <w:sz w:val="30"/>
          <w:szCs w:val="32"/>
          <w:highlight w:val="none"/>
        </w:rPr>
        <w:t>合同协议书</w:t>
      </w:r>
      <w:r>
        <w:rPr>
          <w:rFonts w:eastAsia="仿宋_GB2312"/>
          <w:color w:val="auto"/>
          <w:sz w:val="30"/>
          <w:szCs w:val="32"/>
          <w:highlight w:val="none"/>
        </w:rPr>
        <w:t>；</w:t>
      </w:r>
    </w:p>
    <w:p w14:paraId="047BE24F">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2</w:t>
      </w:r>
      <w:r>
        <w:rPr>
          <w:rFonts w:eastAsia="仿宋_GB2312"/>
          <w:color w:val="auto"/>
          <w:sz w:val="30"/>
          <w:szCs w:val="32"/>
          <w:highlight w:val="none"/>
        </w:rPr>
        <w:t>）</w:t>
      </w:r>
      <w:r>
        <w:rPr>
          <w:rFonts w:hint="eastAsia" w:eastAsia="仿宋_GB2312"/>
          <w:color w:val="auto"/>
          <w:sz w:val="30"/>
          <w:szCs w:val="32"/>
          <w:highlight w:val="none"/>
        </w:rPr>
        <w:t>中标通知书</w:t>
      </w:r>
      <w:r>
        <w:rPr>
          <w:rFonts w:eastAsia="仿宋_GB2312"/>
          <w:color w:val="auto"/>
          <w:sz w:val="30"/>
          <w:szCs w:val="32"/>
          <w:highlight w:val="none"/>
        </w:rPr>
        <w:t>；</w:t>
      </w:r>
    </w:p>
    <w:p w14:paraId="1EDCC356">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3</w:t>
      </w:r>
      <w:r>
        <w:rPr>
          <w:rFonts w:eastAsia="仿宋_GB2312"/>
          <w:color w:val="auto"/>
          <w:sz w:val="30"/>
          <w:szCs w:val="32"/>
          <w:highlight w:val="none"/>
        </w:rPr>
        <w:t>）</w:t>
      </w:r>
      <w:r>
        <w:rPr>
          <w:rFonts w:hint="eastAsia" w:eastAsia="仿宋_GB2312"/>
          <w:color w:val="auto"/>
          <w:sz w:val="30"/>
          <w:szCs w:val="32"/>
          <w:highlight w:val="none"/>
        </w:rPr>
        <w:t>投标函及其附录</w:t>
      </w:r>
      <w:r>
        <w:rPr>
          <w:rFonts w:eastAsia="仿宋_GB2312"/>
          <w:color w:val="auto"/>
          <w:sz w:val="30"/>
          <w:szCs w:val="32"/>
          <w:highlight w:val="none"/>
        </w:rPr>
        <w:t>；</w:t>
      </w:r>
    </w:p>
    <w:p w14:paraId="5C46FDE9">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4</w:t>
      </w:r>
      <w:r>
        <w:rPr>
          <w:rFonts w:eastAsia="仿宋_GB2312"/>
          <w:color w:val="auto"/>
          <w:sz w:val="30"/>
          <w:szCs w:val="32"/>
          <w:highlight w:val="none"/>
        </w:rPr>
        <w:t>）专用合同条款</w:t>
      </w:r>
      <w:r>
        <w:rPr>
          <w:rFonts w:hint="eastAsia" w:eastAsia="仿宋_GB2312"/>
          <w:color w:val="auto"/>
          <w:sz w:val="30"/>
          <w:szCs w:val="32"/>
          <w:highlight w:val="none"/>
        </w:rPr>
        <w:t>及其附件</w:t>
      </w:r>
      <w:r>
        <w:rPr>
          <w:rFonts w:eastAsia="仿宋_GB2312"/>
          <w:color w:val="auto"/>
          <w:sz w:val="30"/>
          <w:szCs w:val="32"/>
          <w:highlight w:val="none"/>
        </w:rPr>
        <w:t>；</w:t>
      </w:r>
    </w:p>
    <w:p w14:paraId="55B3BD6E">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5</w:t>
      </w:r>
      <w:r>
        <w:rPr>
          <w:rFonts w:eastAsia="仿宋_GB2312"/>
          <w:color w:val="auto"/>
          <w:sz w:val="30"/>
          <w:szCs w:val="32"/>
          <w:highlight w:val="none"/>
        </w:rPr>
        <w:t xml:space="preserve">）通用合同条款； </w:t>
      </w:r>
    </w:p>
    <w:p w14:paraId="5539EE2E">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6</w:t>
      </w:r>
      <w:r>
        <w:rPr>
          <w:rFonts w:eastAsia="仿宋_GB2312"/>
          <w:color w:val="auto"/>
          <w:sz w:val="30"/>
          <w:szCs w:val="32"/>
          <w:highlight w:val="none"/>
        </w:rPr>
        <w:t>）技术标准和要求；</w:t>
      </w:r>
    </w:p>
    <w:p w14:paraId="256653BF">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7</w:t>
      </w:r>
      <w:r>
        <w:rPr>
          <w:rFonts w:eastAsia="仿宋_GB2312"/>
          <w:color w:val="auto"/>
          <w:sz w:val="30"/>
          <w:szCs w:val="32"/>
          <w:highlight w:val="none"/>
        </w:rPr>
        <w:t>）图纸；</w:t>
      </w:r>
    </w:p>
    <w:p w14:paraId="22C7D702">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8</w:t>
      </w:r>
      <w:r>
        <w:rPr>
          <w:rFonts w:eastAsia="仿宋_GB2312"/>
          <w:color w:val="auto"/>
          <w:sz w:val="30"/>
          <w:szCs w:val="32"/>
          <w:highlight w:val="none"/>
        </w:rPr>
        <w:t>）已标价</w:t>
      </w:r>
      <w:r>
        <w:rPr>
          <w:rFonts w:hint="eastAsia" w:eastAsia="仿宋_GB2312"/>
          <w:color w:val="auto"/>
          <w:sz w:val="30"/>
          <w:szCs w:val="32"/>
          <w:highlight w:val="none"/>
        </w:rPr>
        <w:t>工程量清单或</w:t>
      </w:r>
      <w:r>
        <w:rPr>
          <w:rFonts w:eastAsia="仿宋_GB2312"/>
          <w:color w:val="auto"/>
          <w:sz w:val="30"/>
          <w:szCs w:val="32"/>
          <w:highlight w:val="none"/>
        </w:rPr>
        <w:t>预算书；</w:t>
      </w:r>
    </w:p>
    <w:p w14:paraId="6A4A1DC8">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9</w:t>
      </w:r>
      <w:r>
        <w:rPr>
          <w:rFonts w:eastAsia="仿宋_GB2312"/>
          <w:color w:val="auto"/>
          <w:sz w:val="30"/>
          <w:szCs w:val="32"/>
          <w:highlight w:val="none"/>
        </w:rPr>
        <w:t>）</w:t>
      </w:r>
      <w:r>
        <w:rPr>
          <w:rFonts w:hint="eastAsia" w:eastAsia="仿宋_GB2312"/>
          <w:color w:val="auto"/>
          <w:sz w:val="30"/>
          <w:szCs w:val="32"/>
          <w:highlight w:val="none"/>
        </w:rPr>
        <w:t>招标文件</w:t>
      </w:r>
      <w:r>
        <w:rPr>
          <w:rFonts w:eastAsia="仿宋_GB2312"/>
          <w:color w:val="auto"/>
          <w:sz w:val="30"/>
          <w:szCs w:val="32"/>
          <w:highlight w:val="none"/>
        </w:rPr>
        <w:t>；</w:t>
      </w:r>
    </w:p>
    <w:p w14:paraId="16313125">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10</w:t>
      </w:r>
      <w:r>
        <w:rPr>
          <w:rFonts w:eastAsia="仿宋_GB2312"/>
          <w:color w:val="auto"/>
          <w:sz w:val="30"/>
          <w:szCs w:val="32"/>
          <w:highlight w:val="none"/>
        </w:rPr>
        <w:t>）其他合同文件</w:t>
      </w:r>
      <w:r>
        <w:rPr>
          <w:rFonts w:eastAsia="仿宋_GB2312"/>
          <w:color w:val="auto"/>
          <w:sz w:val="30"/>
          <w:szCs w:val="32"/>
          <w:highlight w:val="none"/>
        </w:rPr>
        <w:tab/>
      </w:r>
    </w:p>
    <w:p w14:paraId="26DACCC6">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1.6 图纸和承包人文件</w:t>
      </w:r>
      <w:r>
        <w:rPr>
          <w:rFonts w:eastAsia="黑体"/>
          <w:color w:val="auto"/>
          <w:sz w:val="30"/>
          <w:szCs w:val="32"/>
          <w:highlight w:val="none"/>
        </w:rPr>
        <w:tab/>
      </w:r>
    </w:p>
    <w:p w14:paraId="4E4C5252">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1.6.1 图纸的提供</w:t>
      </w:r>
    </w:p>
    <w:p w14:paraId="52469A16">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发包人向承包人提供图纸的期限：</w:t>
      </w:r>
      <w:r>
        <w:rPr>
          <w:rFonts w:hint="eastAsia" w:eastAsia="仿宋_GB2312"/>
          <w:color w:val="auto"/>
          <w:sz w:val="30"/>
          <w:szCs w:val="32"/>
          <w:highlight w:val="none"/>
          <w:u w:val="single"/>
        </w:rPr>
        <w:t xml:space="preserve"> 开工前七日内</w:t>
      </w:r>
      <w:r>
        <w:rPr>
          <w:rFonts w:eastAsia="仿宋_GB2312"/>
          <w:color w:val="auto"/>
          <w:sz w:val="30"/>
          <w:szCs w:val="32"/>
          <w:highlight w:val="none"/>
          <w:u w:val="single"/>
        </w:rPr>
        <w:t xml:space="preserve">  </w:t>
      </w:r>
      <w:r>
        <w:rPr>
          <w:rFonts w:eastAsia="仿宋_GB2312"/>
          <w:color w:val="auto"/>
          <w:sz w:val="30"/>
          <w:szCs w:val="32"/>
          <w:highlight w:val="none"/>
        </w:rPr>
        <w:t>；</w:t>
      </w:r>
    </w:p>
    <w:p w14:paraId="496322A3">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发包人向承包人提供图纸的数量：</w:t>
      </w:r>
      <w:r>
        <w:rPr>
          <w:rFonts w:hint="eastAsia" w:eastAsia="仿宋_GB2312"/>
          <w:color w:val="auto"/>
          <w:sz w:val="30"/>
          <w:szCs w:val="32"/>
          <w:highlight w:val="none"/>
          <w:u w:val="single"/>
        </w:rPr>
        <w:t>叁套，承包人确需增加图纸套数的，需经发包人同意，所需费用由承包人自行承担</w:t>
      </w:r>
      <w:r>
        <w:rPr>
          <w:rFonts w:eastAsia="仿宋_GB2312"/>
          <w:color w:val="auto"/>
          <w:sz w:val="30"/>
          <w:szCs w:val="32"/>
          <w:highlight w:val="none"/>
          <w:u w:val="single"/>
        </w:rPr>
        <w:t xml:space="preserve"> </w:t>
      </w:r>
      <w:r>
        <w:rPr>
          <w:rFonts w:eastAsia="仿宋_GB2312"/>
          <w:color w:val="auto"/>
          <w:sz w:val="30"/>
          <w:szCs w:val="32"/>
          <w:highlight w:val="none"/>
        </w:rPr>
        <w:t>；</w:t>
      </w:r>
    </w:p>
    <w:p w14:paraId="105BF20F">
      <w:pPr>
        <w:spacing w:line="360" w:lineRule="auto"/>
        <w:ind w:firstLine="600" w:firstLineChars="200"/>
        <w:rPr>
          <w:rFonts w:eastAsia="仿宋_GB2312"/>
          <w:color w:val="auto"/>
          <w:sz w:val="30"/>
          <w:szCs w:val="32"/>
          <w:highlight w:val="none"/>
        </w:rPr>
      </w:pPr>
      <w:r>
        <w:rPr>
          <w:rFonts w:hint="eastAsia" w:eastAsia="仿宋_GB2312"/>
          <w:color w:val="auto"/>
          <w:sz w:val="30"/>
          <w:szCs w:val="32"/>
          <w:highlight w:val="none"/>
        </w:rPr>
        <w:t>发包人对图纸的保密要求：</w:t>
      </w:r>
      <w:r>
        <w:rPr>
          <w:rFonts w:hint="eastAsia" w:eastAsia="仿宋_GB2312"/>
          <w:color w:val="auto"/>
          <w:sz w:val="30"/>
          <w:szCs w:val="32"/>
          <w:highlight w:val="none"/>
          <w:u w:val="single"/>
        </w:rPr>
        <w:t>未经发包人书面同意，施工图纸及资料不得拷贝、复印、转让给第三方。若承包人违反此保密义务，承包人应在发包人追究承包人此违约责任之日起5日内，向发包人支付违约金贰拾万元。逾期支付，承包人应额外向发包人支付未付违约金额0.5‰/天的逾期违约金直至完全支付为止。发包人有权单方解除合同且不承担违约责任。</w:t>
      </w:r>
    </w:p>
    <w:p w14:paraId="1B52D020">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1.6.4 承包人文件</w:t>
      </w:r>
    </w:p>
    <w:p w14:paraId="5DC1A079">
      <w:pPr>
        <w:spacing w:line="360" w:lineRule="auto"/>
        <w:ind w:left="596" w:leftChars="284"/>
        <w:jc w:val="left"/>
        <w:rPr>
          <w:rFonts w:eastAsia="仿宋_GB2312"/>
          <w:color w:val="auto"/>
          <w:sz w:val="30"/>
          <w:szCs w:val="32"/>
          <w:highlight w:val="none"/>
        </w:rPr>
      </w:pPr>
      <w:r>
        <w:rPr>
          <w:rFonts w:eastAsia="仿宋_GB2312"/>
          <w:color w:val="auto"/>
          <w:sz w:val="30"/>
          <w:szCs w:val="32"/>
          <w:highlight w:val="none"/>
        </w:rPr>
        <w:t>需要由承包人提供的文件，包括：</w:t>
      </w:r>
      <w:r>
        <w:rPr>
          <w:rFonts w:hint="eastAsia" w:eastAsia="仿宋_GB2312"/>
          <w:color w:val="auto"/>
          <w:sz w:val="30"/>
          <w:szCs w:val="32"/>
          <w:highlight w:val="none"/>
          <w:u w:val="single"/>
        </w:rPr>
        <w:t xml:space="preserve">施工组织设计、专项施工方案、进度计划等 </w:t>
      </w:r>
      <w:r>
        <w:rPr>
          <w:rFonts w:eastAsia="仿宋_GB2312"/>
          <w:color w:val="auto"/>
          <w:sz w:val="30"/>
          <w:szCs w:val="32"/>
          <w:highlight w:val="none"/>
        </w:rPr>
        <w:t>；</w:t>
      </w:r>
    </w:p>
    <w:p w14:paraId="7B3BE637">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承包人提供的文件的期限为：</w:t>
      </w:r>
      <w:r>
        <w:rPr>
          <w:rFonts w:hint="eastAsia" w:eastAsia="仿宋_GB2312"/>
          <w:color w:val="auto"/>
          <w:sz w:val="30"/>
          <w:szCs w:val="32"/>
          <w:highlight w:val="none"/>
          <w:u w:val="single"/>
        </w:rPr>
        <w:t>施工组织设计、进度计划在开工前7天，专项施工方案在专项工程实施前7天</w:t>
      </w:r>
      <w:r>
        <w:rPr>
          <w:rFonts w:eastAsia="仿宋_GB2312"/>
          <w:color w:val="auto"/>
          <w:sz w:val="30"/>
          <w:szCs w:val="32"/>
          <w:highlight w:val="none"/>
        </w:rPr>
        <w:t>；</w:t>
      </w:r>
    </w:p>
    <w:p w14:paraId="35F59F27">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承包人提供的文件的数量为：</w:t>
      </w:r>
      <w:r>
        <w:rPr>
          <w:rFonts w:hint="eastAsia" w:eastAsia="仿宋_GB2312"/>
          <w:color w:val="auto"/>
          <w:sz w:val="30"/>
          <w:szCs w:val="32"/>
          <w:highlight w:val="none"/>
          <w:u w:val="single"/>
        </w:rPr>
        <w:t xml:space="preserve">三份 </w:t>
      </w:r>
      <w:r>
        <w:rPr>
          <w:rFonts w:eastAsia="仿宋_GB2312"/>
          <w:color w:val="auto"/>
          <w:sz w:val="30"/>
          <w:szCs w:val="32"/>
          <w:highlight w:val="none"/>
        </w:rPr>
        <w:t>；</w:t>
      </w:r>
    </w:p>
    <w:p w14:paraId="11261D0E">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承包人提供的文件的形式为：</w:t>
      </w:r>
      <w:r>
        <w:rPr>
          <w:rFonts w:hint="eastAsia" w:eastAsia="仿宋_GB2312"/>
          <w:color w:val="auto"/>
          <w:sz w:val="30"/>
          <w:szCs w:val="32"/>
          <w:highlight w:val="none"/>
          <w:u w:val="single"/>
        </w:rPr>
        <w:t>正式纸质文件（承包人已完善签字盖章）</w:t>
      </w:r>
      <w:r>
        <w:rPr>
          <w:rFonts w:eastAsia="仿宋_GB2312"/>
          <w:color w:val="auto"/>
          <w:sz w:val="30"/>
          <w:szCs w:val="32"/>
          <w:highlight w:val="none"/>
        </w:rPr>
        <w:t>；</w:t>
      </w:r>
    </w:p>
    <w:p w14:paraId="0EBA6FB7">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发包人</w:t>
      </w:r>
      <w:r>
        <w:rPr>
          <w:rFonts w:hint="eastAsia" w:eastAsia="仿宋_GB2312"/>
          <w:color w:val="auto"/>
          <w:sz w:val="30"/>
          <w:szCs w:val="32"/>
          <w:highlight w:val="none"/>
        </w:rPr>
        <w:t>审批</w:t>
      </w:r>
      <w:r>
        <w:rPr>
          <w:rFonts w:eastAsia="仿宋_GB2312"/>
          <w:color w:val="auto"/>
          <w:sz w:val="30"/>
          <w:szCs w:val="32"/>
          <w:highlight w:val="none"/>
        </w:rPr>
        <w:t>承包人文件的期限：</w:t>
      </w:r>
      <w:r>
        <w:rPr>
          <w:rFonts w:hint="eastAsia" w:eastAsia="仿宋_GB2312"/>
          <w:color w:val="auto"/>
          <w:sz w:val="30"/>
          <w:szCs w:val="32"/>
          <w:highlight w:val="none"/>
          <w:u w:val="single"/>
        </w:rPr>
        <w:t>收到文件后7天内审核完毕</w:t>
      </w:r>
      <w:r>
        <w:rPr>
          <w:rFonts w:eastAsia="仿宋_GB2312"/>
          <w:color w:val="auto"/>
          <w:sz w:val="30"/>
          <w:szCs w:val="32"/>
          <w:highlight w:val="none"/>
        </w:rPr>
        <w:t>。</w:t>
      </w:r>
    </w:p>
    <w:p w14:paraId="306336D6">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1.7 联络</w:t>
      </w:r>
    </w:p>
    <w:p w14:paraId="386F8F96">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1.7.1发包人和承包人应当在</w:t>
      </w:r>
      <w:r>
        <w:rPr>
          <w:rFonts w:hint="eastAsia" w:eastAsia="仿宋_GB2312"/>
          <w:color w:val="auto"/>
          <w:kern w:val="0"/>
          <w:sz w:val="30"/>
          <w:szCs w:val="32"/>
          <w:highlight w:val="none"/>
        </w:rPr>
        <w:t>事件发生后</w:t>
      </w:r>
      <w:r>
        <w:rPr>
          <w:rFonts w:hint="eastAsia" w:eastAsia="仿宋_GB2312"/>
          <w:color w:val="auto"/>
          <w:kern w:val="0"/>
          <w:sz w:val="30"/>
          <w:szCs w:val="32"/>
          <w:highlight w:val="none"/>
          <w:u w:val="single"/>
        </w:rPr>
        <w:t xml:space="preserve"> </w:t>
      </w:r>
      <w:r>
        <w:rPr>
          <w:rFonts w:eastAsia="仿宋_GB2312"/>
          <w:color w:val="auto"/>
          <w:sz w:val="30"/>
          <w:szCs w:val="32"/>
          <w:highlight w:val="none"/>
          <w:u w:val="single"/>
        </w:rPr>
        <w:t xml:space="preserve">3 </w:t>
      </w:r>
      <w:r>
        <w:rPr>
          <w:rFonts w:eastAsia="仿宋_GB2312"/>
          <w:color w:val="auto"/>
          <w:kern w:val="0"/>
          <w:sz w:val="30"/>
          <w:szCs w:val="32"/>
          <w:highlight w:val="none"/>
        </w:rPr>
        <w:t>天内将与合同有关的通知、批准、证明、证书、指示、指令、要求、请求、同意、意见、确定和决定等书面函件送达对方当事人</w:t>
      </w:r>
      <w:r>
        <w:rPr>
          <w:rFonts w:hint="eastAsia" w:eastAsia="仿宋_GB2312"/>
          <w:color w:val="auto"/>
          <w:kern w:val="0"/>
          <w:sz w:val="30"/>
          <w:szCs w:val="32"/>
          <w:highlight w:val="none"/>
        </w:rPr>
        <w:t>。</w:t>
      </w:r>
    </w:p>
    <w:p w14:paraId="6D15FD1D">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1.7.2 发包人接收文件的地点：</w:t>
      </w:r>
      <w:r>
        <w:rPr>
          <w:rFonts w:eastAsia="仿宋_GB2312"/>
          <w:color w:val="auto"/>
          <w:sz w:val="30"/>
          <w:szCs w:val="30"/>
          <w:highlight w:val="none"/>
          <w:u w:val="single"/>
        </w:rPr>
        <w:t xml:space="preserve">                              </w:t>
      </w:r>
      <w:r>
        <w:rPr>
          <w:rFonts w:eastAsia="仿宋_GB2312"/>
          <w:color w:val="auto"/>
          <w:kern w:val="0"/>
          <w:sz w:val="30"/>
          <w:szCs w:val="32"/>
          <w:highlight w:val="none"/>
        </w:rPr>
        <w:t>；</w:t>
      </w:r>
    </w:p>
    <w:p w14:paraId="1B3D0DAB">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发包人指定的接收人为：</w:t>
      </w:r>
      <w:r>
        <w:rPr>
          <w:rFonts w:eastAsia="仿宋_GB2312"/>
          <w:color w:val="auto"/>
          <w:sz w:val="30"/>
          <w:szCs w:val="30"/>
          <w:highlight w:val="none"/>
          <w:u w:val="single"/>
        </w:rPr>
        <w:t xml:space="preserve">                                   </w:t>
      </w:r>
      <w:r>
        <w:rPr>
          <w:rFonts w:eastAsia="仿宋_GB2312"/>
          <w:color w:val="auto"/>
          <w:kern w:val="0"/>
          <w:sz w:val="30"/>
          <w:szCs w:val="32"/>
          <w:highlight w:val="none"/>
        </w:rPr>
        <w:t>。</w:t>
      </w:r>
    </w:p>
    <w:p w14:paraId="1FABB6C8">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承包人接收文件的地点：</w:t>
      </w:r>
      <w:r>
        <w:rPr>
          <w:rFonts w:eastAsia="仿宋_GB2312"/>
          <w:color w:val="auto"/>
          <w:sz w:val="30"/>
          <w:szCs w:val="30"/>
          <w:highlight w:val="none"/>
          <w:u w:val="single"/>
        </w:rPr>
        <w:t xml:space="preserve">                                   </w:t>
      </w:r>
      <w:r>
        <w:rPr>
          <w:rFonts w:eastAsia="仿宋_GB2312"/>
          <w:color w:val="auto"/>
          <w:kern w:val="0"/>
          <w:sz w:val="30"/>
          <w:szCs w:val="32"/>
          <w:highlight w:val="none"/>
        </w:rPr>
        <w:t>；</w:t>
      </w:r>
    </w:p>
    <w:p w14:paraId="53750BC1">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承包人指定的接收人为：</w:t>
      </w:r>
      <w:r>
        <w:rPr>
          <w:rFonts w:eastAsia="仿宋_GB2312"/>
          <w:color w:val="auto"/>
          <w:sz w:val="30"/>
          <w:szCs w:val="30"/>
          <w:highlight w:val="none"/>
          <w:u w:val="single"/>
        </w:rPr>
        <w:t xml:space="preserve">                                   </w:t>
      </w:r>
      <w:r>
        <w:rPr>
          <w:rFonts w:eastAsia="仿宋_GB2312"/>
          <w:color w:val="auto"/>
          <w:kern w:val="0"/>
          <w:sz w:val="30"/>
          <w:szCs w:val="32"/>
          <w:highlight w:val="none"/>
        </w:rPr>
        <w:t>。</w:t>
      </w:r>
    </w:p>
    <w:p w14:paraId="7A175604">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监理人接收文件的地点：</w:t>
      </w:r>
      <w:r>
        <w:rPr>
          <w:rFonts w:eastAsia="仿宋_GB2312"/>
          <w:color w:val="auto"/>
          <w:sz w:val="30"/>
          <w:szCs w:val="30"/>
          <w:highlight w:val="none"/>
          <w:u w:val="single"/>
        </w:rPr>
        <w:t xml:space="preserve">                                   </w:t>
      </w:r>
      <w:r>
        <w:rPr>
          <w:rFonts w:eastAsia="仿宋_GB2312"/>
          <w:color w:val="auto"/>
          <w:kern w:val="0"/>
          <w:sz w:val="30"/>
          <w:szCs w:val="32"/>
          <w:highlight w:val="none"/>
        </w:rPr>
        <w:t>；</w:t>
      </w:r>
    </w:p>
    <w:p w14:paraId="78B1A1A8">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监理人指定的接收人为：</w:t>
      </w:r>
      <w:r>
        <w:rPr>
          <w:rFonts w:eastAsia="仿宋_GB2312"/>
          <w:color w:val="auto"/>
          <w:sz w:val="30"/>
          <w:szCs w:val="30"/>
          <w:highlight w:val="none"/>
          <w:u w:val="single"/>
        </w:rPr>
        <w:t xml:space="preserve">                                   </w:t>
      </w:r>
      <w:r>
        <w:rPr>
          <w:rFonts w:eastAsia="仿宋_GB2312"/>
          <w:color w:val="auto"/>
          <w:kern w:val="0"/>
          <w:sz w:val="30"/>
          <w:szCs w:val="32"/>
          <w:highlight w:val="none"/>
        </w:rPr>
        <w:t>。</w:t>
      </w:r>
    </w:p>
    <w:p w14:paraId="486A6181">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1.10 交通运输</w:t>
      </w:r>
    </w:p>
    <w:p w14:paraId="6E4193AB">
      <w:pPr>
        <w:spacing w:line="360" w:lineRule="auto"/>
        <w:ind w:firstLine="600" w:firstLineChars="200"/>
        <w:jc w:val="left"/>
        <w:outlineLvl w:val="0"/>
        <w:rPr>
          <w:rFonts w:eastAsia="仿宋_GB2312"/>
          <w:color w:val="auto"/>
          <w:sz w:val="30"/>
          <w:szCs w:val="32"/>
          <w:highlight w:val="none"/>
        </w:rPr>
      </w:pPr>
      <w:r>
        <w:rPr>
          <w:rFonts w:eastAsia="仿宋_GB2312"/>
          <w:color w:val="auto"/>
          <w:sz w:val="30"/>
          <w:szCs w:val="32"/>
          <w:highlight w:val="none"/>
        </w:rPr>
        <w:t>1</w:t>
      </w:r>
      <w:bookmarkStart w:id="113" w:name="_Toc318581156"/>
      <w:bookmarkStart w:id="114" w:name="_Toc304295522"/>
      <w:bookmarkStart w:id="115" w:name="_Toc303539101"/>
      <w:bookmarkStart w:id="116" w:name="_Toc300934944"/>
      <w:bookmarkStart w:id="117" w:name="_Toc312677987"/>
      <w:r>
        <w:rPr>
          <w:rFonts w:eastAsia="仿宋_GB2312"/>
          <w:color w:val="auto"/>
          <w:sz w:val="30"/>
          <w:szCs w:val="32"/>
          <w:highlight w:val="none"/>
        </w:rPr>
        <w:t>.10.3 场内交通</w:t>
      </w:r>
    </w:p>
    <w:p w14:paraId="7036941A">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关于场外交通和场内交通的边界的约定：</w:t>
      </w:r>
      <w:r>
        <w:rPr>
          <w:rFonts w:hint="eastAsia" w:eastAsia="仿宋_GB2312"/>
          <w:color w:val="auto"/>
          <w:sz w:val="30"/>
          <w:szCs w:val="32"/>
          <w:highlight w:val="none"/>
          <w:u w:val="single"/>
        </w:rPr>
        <w:t xml:space="preserve">以发包人厂区外围围墙为边界 </w:t>
      </w:r>
      <w:r>
        <w:rPr>
          <w:rFonts w:eastAsia="仿宋_GB2312"/>
          <w:color w:val="auto"/>
          <w:sz w:val="30"/>
          <w:szCs w:val="32"/>
          <w:highlight w:val="none"/>
        </w:rPr>
        <w:t>。</w:t>
      </w:r>
    </w:p>
    <w:p w14:paraId="398D2712">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关于发包人向承包人免费提供满足工程施工需要的场内道路和交通设施的约定：</w:t>
      </w:r>
      <w:r>
        <w:rPr>
          <w:rFonts w:hint="eastAsia" w:eastAsia="仿宋_GB2312"/>
          <w:color w:val="auto"/>
          <w:sz w:val="30"/>
          <w:szCs w:val="32"/>
          <w:highlight w:val="none"/>
          <w:u w:val="single"/>
        </w:rPr>
        <w:t xml:space="preserve">施工场地与城市公共道路已开通，施工场地内的临时道路由承包人负责，费用由承包人自行承担  </w:t>
      </w:r>
      <w:r>
        <w:rPr>
          <w:rFonts w:eastAsia="仿宋_GB2312"/>
          <w:color w:val="auto"/>
          <w:sz w:val="30"/>
          <w:szCs w:val="32"/>
          <w:highlight w:val="none"/>
        </w:rPr>
        <w:t>。</w:t>
      </w:r>
      <w:bookmarkEnd w:id="113"/>
      <w:bookmarkEnd w:id="114"/>
      <w:bookmarkEnd w:id="115"/>
      <w:bookmarkEnd w:id="116"/>
      <w:bookmarkEnd w:id="117"/>
      <w:r>
        <w:rPr>
          <w:rFonts w:eastAsia="仿宋_GB2312"/>
          <w:color w:val="auto"/>
          <w:sz w:val="30"/>
          <w:szCs w:val="32"/>
          <w:highlight w:val="none"/>
        </w:rPr>
        <w:t xml:space="preserve">  </w:t>
      </w:r>
      <w:bookmarkStart w:id="118" w:name="_Toc318581157"/>
    </w:p>
    <w:bookmarkEnd w:id="118"/>
    <w:p w14:paraId="208013A0">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1.11 知识产权</w:t>
      </w:r>
    </w:p>
    <w:p w14:paraId="792AF0D5">
      <w:pPr>
        <w:spacing w:line="360" w:lineRule="auto"/>
        <w:ind w:firstLine="600" w:firstLineChars="200"/>
        <w:outlineLvl w:val="0"/>
        <w:rPr>
          <w:rFonts w:eastAsia="仿宋_GB2312"/>
          <w:color w:val="auto"/>
          <w:kern w:val="0"/>
          <w:sz w:val="30"/>
          <w:szCs w:val="32"/>
          <w:highlight w:val="none"/>
        </w:rPr>
      </w:pPr>
      <w:r>
        <w:rPr>
          <w:rFonts w:eastAsia="仿宋_GB2312"/>
          <w:color w:val="auto"/>
          <w:sz w:val="30"/>
          <w:szCs w:val="32"/>
          <w:highlight w:val="none"/>
        </w:rPr>
        <w:t>1.11.4 承包人在施工过程中所采用的专利、专有技术、技术秘密的使用费的承担方式：</w:t>
      </w:r>
      <w:r>
        <w:rPr>
          <w:rFonts w:hint="eastAsia" w:eastAsia="仿宋_GB2312"/>
          <w:color w:val="auto"/>
          <w:sz w:val="30"/>
          <w:szCs w:val="32"/>
          <w:highlight w:val="none"/>
          <w:u w:val="single"/>
        </w:rPr>
        <w:t xml:space="preserve">由承包人承担 </w:t>
      </w:r>
      <w:r>
        <w:rPr>
          <w:rFonts w:eastAsia="仿宋_GB2312"/>
          <w:color w:val="auto"/>
          <w:sz w:val="30"/>
          <w:szCs w:val="32"/>
          <w:highlight w:val="none"/>
          <w:u w:val="single"/>
        </w:rPr>
        <w:t xml:space="preserve">  </w:t>
      </w:r>
      <w:r>
        <w:rPr>
          <w:rFonts w:eastAsia="仿宋_GB2312"/>
          <w:color w:val="auto"/>
          <w:kern w:val="0"/>
          <w:sz w:val="30"/>
          <w:szCs w:val="32"/>
          <w:highlight w:val="none"/>
        </w:rPr>
        <w:t>。</w:t>
      </w:r>
    </w:p>
    <w:p w14:paraId="6059C343">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1.13工程量清单错误的修正</w:t>
      </w:r>
    </w:p>
    <w:p w14:paraId="64A0DEDB">
      <w:pPr>
        <w:spacing w:line="360" w:lineRule="auto"/>
        <w:ind w:firstLine="600" w:firstLineChars="200"/>
        <w:rPr>
          <w:rFonts w:eastAsia="仿宋_GB2312"/>
          <w:color w:val="auto"/>
          <w:sz w:val="30"/>
          <w:szCs w:val="32"/>
          <w:highlight w:val="none"/>
        </w:rPr>
      </w:pPr>
      <w:r>
        <w:rPr>
          <w:rFonts w:hint="eastAsia" w:eastAsia="仿宋_GB2312"/>
          <w:color w:val="auto"/>
          <w:sz w:val="30"/>
          <w:szCs w:val="32"/>
          <w:highlight w:val="none"/>
        </w:rPr>
        <w:t>出现工程量清单错误时，是否调整合同价格：</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是</w:t>
      </w:r>
      <w:r>
        <w:rPr>
          <w:rFonts w:eastAsia="仿宋_GB2312"/>
          <w:color w:val="auto"/>
          <w:sz w:val="30"/>
          <w:szCs w:val="32"/>
          <w:highlight w:val="none"/>
          <w:u w:val="single"/>
        </w:rPr>
        <w:t xml:space="preserve"> </w:t>
      </w:r>
      <w:r>
        <w:rPr>
          <w:rFonts w:eastAsia="仿宋_GB2312"/>
          <w:color w:val="auto"/>
          <w:kern w:val="0"/>
          <w:sz w:val="30"/>
          <w:szCs w:val="32"/>
          <w:highlight w:val="none"/>
        </w:rPr>
        <w:t>。</w:t>
      </w:r>
    </w:p>
    <w:p w14:paraId="0F698418">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允许调整合同价格的工程量偏差范围：</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工程量出现偏差不允许调整清单单价</w:t>
      </w:r>
      <w:r>
        <w:rPr>
          <w:rFonts w:eastAsia="仿宋_GB2312"/>
          <w:color w:val="auto"/>
          <w:sz w:val="30"/>
          <w:szCs w:val="32"/>
          <w:highlight w:val="none"/>
          <w:u w:val="single"/>
        </w:rPr>
        <w:t xml:space="preserve">  </w:t>
      </w:r>
      <w:r>
        <w:rPr>
          <w:rFonts w:eastAsia="仿宋_GB2312"/>
          <w:color w:val="auto"/>
          <w:kern w:val="0"/>
          <w:sz w:val="30"/>
          <w:szCs w:val="32"/>
          <w:highlight w:val="none"/>
        </w:rPr>
        <w:t>。</w:t>
      </w:r>
    </w:p>
    <w:p w14:paraId="254DD534">
      <w:pPr>
        <w:pStyle w:val="5"/>
        <w:spacing w:before="120" w:after="120" w:line="360" w:lineRule="auto"/>
        <w:rPr>
          <w:rFonts w:ascii="Times New Roman" w:hAnsi="Times New Roman" w:eastAsia="黑体"/>
          <w:b w:val="0"/>
          <w:color w:val="auto"/>
          <w:sz w:val="32"/>
          <w:szCs w:val="32"/>
          <w:highlight w:val="none"/>
        </w:rPr>
      </w:pPr>
      <w:bookmarkStart w:id="119" w:name="_Toc351203634"/>
      <w:r>
        <w:rPr>
          <w:rFonts w:ascii="Times New Roman" w:hAnsi="Times New Roman" w:eastAsia="黑体"/>
          <w:b w:val="0"/>
          <w:color w:val="auto"/>
          <w:sz w:val="32"/>
          <w:szCs w:val="32"/>
          <w:highlight w:val="none"/>
        </w:rPr>
        <w:t>2</w:t>
      </w:r>
      <w:bookmarkStart w:id="120" w:name="_Toc296891197"/>
      <w:bookmarkStart w:id="121" w:name="_Toc296890985"/>
      <w:bookmarkStart w:id="122" w:name="_Toc296944496"/>
      <w:bookmarkStart w:id="123" w:name="_Toc296346658"/>
      <w:bookmarkStart w:id="124" w:name="_Toc297048343"/>
      <w:bookmarkStart w:id="125" w:name="_Toc296503157"/>
      <w:bookmarkStart w:id="126" w:name="_Toc297120457"/>
      <w:bookmarkStart w:id="127" w:name="_Toc292559867"/>
      <w:bookmarkStart w:id="128" w:name="_Toc296347156"/>
      <w:bookmarkStart w:id="129" w:name="_Toc292559362"/>
      <w:r>
        <w:rPr>
          <w:rFonts w:ascii="Times New Roman" w:hAnsi="Times New Roman" w:eastAsia="黑体"/>
          <w:b w:val="0"/>
          <w:color w:val="auto"/>
          <w:sz w:val="32"/>
          <w:szCs w:val="32"/>
          <w:highlight w:val="none"/>
        </w:rPr>
        <w:t>. 发包人</w:t>
      </w:r>
      <w:bookmarkEnd w:id="119"/>
    </w:p>
    <w:bookmarkEnd w:id="120"/>
    <w:bookmarkEnd w:id="121"/>
    <w:bookmarkEnd w:id="122"/>
    <w:bookmarkEnd w:id="123"/>
    <w:bookmarkEnd w:id="124"/>
    <w:bookmarkEnd w:id="125"/>
    <w:bookmarkEnd w:id="126"/>
    <w:bookmarkEnd w:id="127"/>
    <w:bookmarkEnd w:id="128"/>
    <w:bookmarkEnd w:id="129"/>
    <w:p w14:paraId="69CAD89B">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2.2 发包人代表</w:t>
      </w:r>
    </w:p>
    <w:p w14:paraId="729BFDDA">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发包人代表：</w:t>
      </w:r>
    </w:p>
    <w:p w14:paraId="47DBC5FE">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姓    名：</w:t>
      </w:r>
      <w:r>
        <w:rPr>
          <w:rFonts w:eastAsia="仿宋_GB2312"/>
          <w:color w:val="auto"/>
          <w:sz w:val="30"/>
          <w:szCs w:val="30"/>
          <w:highlight w:val="none"/>
          <w:u w:val="single"/>
        </w:rPr>
        <w:t xml:space="preserve">                                   </w:t>
      </w:r>
      <w:r>
        <w:rPr>
          <w:rFonts w:eastAsia="仿宋_GB2312"/>
          <w:color w:val="auto"/>
          <w:sz w:val="30"/>
          <w:szCs w:val="32"/>
          <w:highlight w:val="none"/>
        </w:rPr>
        <w:t>；</w:t>
      </w:r>
    </w:p>
    <w:p w14:paraId="31E4887A">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身份证号：</w:t>
      </w:r>
      <w:r>
        <w:rPr>
          <w:rFonts w:eastAsia="仿宋_GB2312"/>
          <w:color w:val="auto"/>
          <w:sz w:val="30"/>
          <w:szCs w:val="30"/>
          <w:highlight w:val="none"/>
          <w:u w:val="single"/>
        </w:rPr>
        <w:t xml:space="preserve">                                   </w:t>
      </w:r>
      <w:r>
        <w:rPr>
          <w:rFonts w:eastAsia="仿宋_GB2312"/>
          <w:color w:val="auto"/>
          <w:sz w:val="30"/>
          <w:szCs w:val="32"/>
          <w:highlight w:val="none"/>
        </w:rPr>
        <w:t>；</w:t>
      </w:r>
    </w:p>
    <w:p w14:paraId="5E463520">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职    务：</w:t>
      </w:r>
      <w:r>
        <w:rPr>
          <w:rFonts w:eastAsia="仿宋_GB2312"/>
          <w:color w:val="auto"/>
          <w:sz w:val="30"/>
          <w:szCs w:val="30"/>
          <w:highlight w:val="none"/>
          <w:u w:val="single"/>
        </w:rPr>
        <w:t xml:space="preserve">                                   </w:t>
      </w:r>
      <w:r>
        <w:rPr>
          <w:rFonts w:eastAsia="仿宋_GB2312"/>
          <w:color w:val="auto"/>
          <w:sz w:val="30"/>
          <w:szCs w:val="32"/>
          <w:highlight w:val="none"/>
        </w:rPr>
        <w:t>；</w:t>
      </w:r>
    </w:p>
    <w:p w14:paraId="4A96E5B7">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联系电话：</w:t>
      </w:r>
      <w:r>
        <w:rPr>
          <w:rFonts w:eastAsia="仿宋_GB2312"/>
          <w:color w:val="auto"/>
          <w:sz w:val="30"/>
          <w:szCs w:val="30"/>
          <w:highlight w:val="none"/>
          <w:u w:val="single"/>
        </w:rPr>
        <w:t xml:space="preserve">                                   </w:t>
      </w:r>
      <w:r>
        <w:rPr>
          <w:rFonts w:eastAsia="仿宋_GB2312"/>
          <w:color w:val="auto"/>
          <w:sz w:val="30"/>
          <w:szCs w:val="32"/>
          <w:highlight w:val="none"/>
        </w:rPr>
        <w:t>；</w:t>
      </w:r>
    </w:p>
    <w:p w14:paraId="1A8A9094">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电子信箱：</w:t>
      </w:r>
      <w:r>
        <w:rPr>
          <w:rFonts w:eastAsia="仿宋_GB2312"/>
          <w:color w:val="auto"/>
          <w:sz w:val="30"/>
          <w:szCs w:val="30"/>
          <w:highlight w:val="none"/>
          <w:u w:val="single"/>
        </w:rPr>
        <w:t xml:space="preserve">                                   </w:t>
      </w:r>
      <w:r>
        <w:rPr>
          <w:rFonts w:eastAsia="仿宋_GB2312"/>
          <w:color w:val="auto"/>
          <w:sz w:val="30"/>
          <w:szCs w:val="32"/>
          <w:highlight w:val="none"/>
        </w:rPr>
        <w:t>；</w:t>
      </w:r>
    </w:p>
    <w:p w14:paraId="6F9B4EA9">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通信地址：</w:t>
      </w:r>
      <w:r>
        <w:rPr>
          <w:rFonts w:eastAsia="仿宋_GB2312"/>
          <w:color w:val="auto"/>
          <w:sz w:val="30"/>
          <w:szCs w:val="30"/>
          <w:highlight w:val="none"/>
          <w:u w:val="single"/>
        </w:rPr>
        <w:t xml:space="preserve">                                   </w:t>
      </w:r>
      <w:r>
        <w:rPr>
          <w:rFonts w:eastAsia="仿宋_GB2312"/>
          <w:color w:val="auto"/>
          <w:sz w:val="30"/>
          <w:szCs w:val="32"/>
          <w:highlight w:val="none"/>
        </w:rPr>
        <w:t>。</w:t>
      </w:r>
    </w:p>
    <w:p w14:paraId="322837B3">
      <w:pPr>
        <w:spacing w:line="360" w:lineRule="auto"/>
        <w:ind w:firstLine="600" w:firstLineChars="200"/>
        <w:rPr>
          <w:rFonts w:eastAsia="仿宋_GB2312"/>
          <w:b/>
          <w:color w:val="auto"/>
          <w:sz w:val="30"/>
          <w:szCs w:val="32"/>
          <w:highlight w:val="none"/>
        </w:rPr>
      </w:pPr>
      <w:r>
        <w:rPr>
          <w:rFonts w:eastAsia="仿宋_GB2312"/>
          <w:color w:val="auto"/>
          <w:sz w:val="30"/>
          <w:szCs w:val="32"/>
          <w:highlight w:val="none"/>
        </w:rPr>
        <w:t>发包人对发包人代表的授权范围如下：</w:t>
      </w:r>
      <w:r>
        <w:rPr>
          <w:rFonts w:hint="eastAsia" w:eastAsia="仿宋_GB2312"/>
          <w:color w:val="auto"/>
          <w:sz w:val="30"/>
          <w:szCs w:val="32"/>
          <w:highlight w:val="none"/>
          <w:u w:val="single"/>
        </w:rPr>
        <w:t>1、检查和监督承包人执行合同；2、参与工程质量、安全、投资、进度的管理及各有关协作单位的协调；3、参与审核工程进度款的支付；4、发包人代表的指令、通知由其本人及发包人项目办主管/分管领导签字并加盖发包人公章后，以书面形式交给项目经理后生效；5、对工程设计变更的审批权（工程设计变更还须完成发包人内部审批）；6、组织竣工验收</w:t>
      </w:r>
      <w:r>
        <w:rPr>
          <w:rFonts w:eastAsia="仿宋_GB2312"/>
          <w:color w:val="auto"/>
          <w:sz w:val="30"/>
          <w:szCs w:val="32"/>
          <w:highlight w:val="none"/>
        </w:rPr>
        <w:t>。</w:t>
      </w:r>
    </w:p>
    <w:p w14:paraId="1E3AFF82">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2.4 施工现场、施工条件和基础资料的提供</w:t>
      </w:r>
    </w:p>
    <w:p w14:paraId="7415BE34">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2.4.1 提供施工现场</w:t>
      </w:r>
    </w:p>
    <w:p w14:paraId="2F82CA49">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关于发包人移交施工现场的期限要求：</w:t>
      </w:r>
      <w:r>
        <w:rPr>
          <w:rFonts w:hint="eastAsia" w:eastAsia="仿宋_GB2312"/>
          <w:color w:val="auto"/>
          <w:sz w:val="30"/>
          <w:szCs w:val="32"/>
          <w:highlight w:val="none"/>
          <w:u w:val="single"/>
        </w:rPr>
        <w:t>合同签订后至开工报告发出前</w:t>
      </w:r>
      <w:r>
        <w:rPr>
          <w:rFonts w:eastAsia="仿宋_GB2312"/>
          <w:color w:val="auto"/>
          <w:sz w:val="30"/>
          <w:szCs w:val="32"/>
          <w:highlight w:val="none"/>
          <w:u w:val="single"/>
        </w:rPr>
        <w:t xml:space="preserve">   </w:t>
      </w:r>
      <w:r>
        <w:rPr>
          <w:rFonts w:eastAsia="仿宋_GB2312"/>
          <w:color w:val="auto"/>
          <w:sz w:val="30"/>
          <w:szCs w:val="32"/>
          <w:highlight w:val="none"/>
        </w:rPr>
        <w:t>。</w:t>
      </w:r>
    </w:p>
    <w:p w14:paraId="54A4D926">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2.4.2 提供施工条件</w:t>
      </w:r>
    </w:p>
    <w:p w14:paraId="36C65A7F">
      <w:pPr>
        <w:spacing w:line="360" w:lineRule="auto"/>
        <w:ind w:firstLine="600" w:firstLineChars="200"/>
        <w:rPr>
          <w:rFonts w:eastAsia="仿宋_GB2312"/>
          <w:color w:val="auto"/>
          <w:sz w:val="30"/>
          <w:szCs w:val="32"/>
          <w:highlight w:val="none"/>
          <w:u w:val="single"/>
        </w:rPr>
      </w:pPr>
      <w:r>
        <w:rPr>
          <w:rFonts w:eastAsia="仿宋_GB2312"/>
          <w:color w:val="auto"/>
          <w:sz w:val="30"/>
          <w:szCs w:val="32"/>
          <w:highlight w:val="none"/>
        </w:rPr>
        <w:t>关于发包人应负责提供施工</w:t>
      </w:r>
      <w:r>
        <w:rPr>
          <w:rFonts w:hint="eastAsia" w:eastAsia="仿宋_GB2312"/>
          <w:color w:val="auto"/>
          <w:sz w:val="30"/>
          <w:szCs w:val="32"/>
          <w:highlight w:val="none"/>
        </w:rPr>
        <w:t>所需要的条件，</w:t>
      </w:r>
      <w:r>
        <w:rPr>
          <w:rFonts w:eastAsia="仿宋_GB2312"/>
          <w:color w:val="auto"/>
          <w:sz w:val="30"/>
          <w:szCs w:val="32"/>
          <w:highlight w:val="none"/>
        </w:rPr>
        <w:t>包括：</w:t>
      </w:r>
      <w:r>
        <w:rPr>
          <w:rFonts w:hint="eastAsia" w:eastAsia="仿宋_GB2312"/>
          <w:color w:val="auto"/>
          <w:sz w:val="30"/>
          <w:szCs w:val="32"/>
          <w:highlight w:val="none"/>
          <w:u w:val="single"/>
        </w:rPr>
        <w:t xml:space="preserve">于开工前将施工所需的水、电、电讯线路接至施工场地      </w:t>
      </w:r>
      <w:r>
        <w:rPr>
          <w:rFonts w:eastAsia="仿宋_GB2312"/>
          <w:color w:val="auto"/>
          <w:sz w:val="30"/>
          <w:szCs w:val="32"/>
          <w:highlight w:val="none"/>
          <w:u w:val="single"/>
        </w:rPr>
        <w:t xml:space="preserve">   </w:t>
      </w:r>
      <w:r>
        <w:rPr>
          <w:rFonts w:eastAsia="仿宋_GB2312"/>
          <w:color w:val="auto"/>
          <w:sz w:val="30"/>
          <w:szCs w:val="32"/>
          <w:highlight w:val="none"/>
        </w:rPr>
        <w:t>。</w:t>
      </w:r>
    </w:p>
    <w:p w14:paraId="7FA902F7">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2.5 资金来源证明及支付担保</w:t>
      </w:r>
    </w:p>
    <w:p w14:paraId="0DA43DFE">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发包人提供资金来源证明的期限要求：</w:t>
      </w:r>
      <w:r>
        <w:rPr>
          <w:rFonts w:hint="eastAsia" w:eastAsia="仿宋_GB2312"/>
          <w:color w:val="auto"/>
          <w:sz w:val="30"/>
          <w:szCs w:val="32"/>
          <w:highlight w:val="none"/>
          <w:u w:val="single"/>
        </w:rPr>
        <w:t xml:space="preserve">不提供 </w:t>
      </w:r>
      <w:r>
        <w:rPr>
          <w:rFonts w:eastAsia="仿宋_GB2312"/>
          <w:color w:val="auto"/>
          <w:sz w:val="30"/>
          <w:szCs w:val="32"/>
          <w:highlight w:val="none"/>
          <w:u w:val="single"/>
        </w:rPr>
        <w:t xml:space="preserve">  </w:t>
      </w:r>
      <w:r>
        <w:rPr>
          <w:rFonts w:eastAsia="仿宋_GB2312"/>
          <w:color w:val="auto"/>
          <w:sz w:val="30"/>
          <w:szCs w:val="32"/>
          <w:highlight w:val="none"/>
        </w:rPr>
        <w:t>。</w:t>
      </w:r>
    </w:p>
    <w:p w14:paraId="3439690A">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发包人是否提供支付担保：</w:t>
      </w:r>
      <w:r>
        <w:rPr>
          <w:rFonts w:hint="eastAsia" w:eastAsia="仿宋_GB2312"/>
          <w:color w:val="auto"/>
          <w:sz w:val="30"/>
          <w:szCs w:val="32"/>
          <w:highlight w:val="none"/>
          <w:u w:val="single"/>
        </w:rPr>
        <w:t>不提供</w:t>
      </w:r>
      <w:r>
        <w:rPr>
          <w:rFonts w:eastAsia="仿宋_GB2312"/>
          <w:color w:val="auto"/>
          <w:sz w:val="30"/>
          <w:szCs w:val="32"/>
          <w:highlight w:val="none"/>
          <w:u w:val="single"/>
        </w:rPr>
        <w:t xml:space="preserve">   </w:t>
      </w:r>
      <w:r>
        <w:rPr>
          <w:rFonts w:eastAsia="仿宋_GB2312"/>
          <w:color w:val="auto"/>
          <w:sz w:val="30"/>
          <w:szCs w:val="32"/>
          <w:highlight w:val="none"/>
        </w:rPr>
        <w:t>。</w:t>
      </w:r>
    </w:p>
    <w:p w14:paraId="72B01751">
      <w:pPr>
        <w:pStyle w:val="5"/>
        <w:spacing w:before="120" w:after="120" w:line="360" w:lineRule="auto"/>
        <w:rPr>
          <w:rFonts w:ascii="Times New Roman" w:hAnsi="Times New Roman" w:eastAsia="黑体"/>
          <w:b w:val="0"/>
          <w:color w:val="auto"/>
          <w:sz w:val="32"/>
          <w:szCs w:val="32"/>
          <w:highlight w:val="none"/>
        </w:rPr>
      </w:pPr>
      <w:bookmarkStart w:id="130" w:name="_Toc351203635"/>
      <w:r>
        <w:rPr>
          <w:rFonts w:ascii="Times New Roman" w:hAnsi="Times New Roman" w:eastAsia="黑体"/>
          <w:b w:val="0"/>
          <w:color w:val="auto"/>
          <w:sz w:val="32"/>
          <w:szCs w:val="32"/>
          <w:highlight w:val="none"/>
        </w:rPr>
        <w:t>3</w:t>
      </w:r>
      <w:bookmarkStart w:id="131" w:name="_Toc296891198"/>
      <w:bookmarkStart w:id="132" w:name="_Toc297048344"/>
      <w:bookmarkStart w:id="133" w:name="_Toc296503158"/>
      <w:bookmarkStart w:id="134" w:name="_Toc297120458"/>
      <w:bookmarkStart w:id="135" w:name="_Toc296890986"/>
      <w:bookmarkStart w:id="136" w:name="_Toc292559363"/>
      <w:bookmarkStart w:id="137" w:name="_Toc292559868"/>
      <w:bookmarkStart w:id="138" w:name="_Toc296944497"/>
      <w:bookmarkStart w:id="139" w:name="_Toc296347157"/>
      <w:bookmarkStart w:id="140" w:name="_Toc296346659"/>
      <w:r>
        <w:rPr>
          <w:rFonts w:ascii="Times New Roman" w:hAnsi="Times New Roman" w:eastAsia="黑体"/>
          <w:b w:val="0"/>
          <w:color w:val="auto"/>
          <w:sz w:val="32"/>
          <w:szCs w:val="32"/>
          <w:highlight w:val="none"/>
        </w:rPr>
        <w:t>. 承包人</w:t>
      </w:r>
      <w:bookmarkEnd w:id="130"/>
    </w:p>
    <w:bookmarkEnd w:id="131"/>
    <w:bookmarkEnd w:id="132"/>
    <w:bookmarkEnd w:id="133"/>
    <w:bookmarkEnd w:id="134"/>
    <w:bookmarkEnd w:id="135"/>
    <w:bookmarkEnd w:id="136"/>
    <w:bookmarkEnd w:id="137"/>
    <w:bookmarkEnd w:id="138"/>
    <w:bookmarkEnd w:id="139"/>
    <w:bookmarkEnd w:id="140"/>
    <w:p w14:paraId="7073EE77">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3.1 承包人的一般义务</w:t>
      </w:r>
    </w:p>
    <w:p w14:paraId="4AC423D6">
      <w:pPr>
        <w:spacing w:line="360" w:lineRule="auto"/>
        <w:ind w:firstLine="600" w:firstLineChars="200"/>
        <w:jc w:val="left"/>
        <w:rPr>
          <w:rFonts w:eastAsia="仿宋_GB2312"/>
          <w:color w:val="auto"/>
          <w:sz w:val="30"/>
          <w:szCs w:val="32"/>
          <w:highlight w:val="none"/>
        </w:rPr>
      </w:pPr>
      <w:r>
        <w:rPr>
          <w:rFonts w:eastAsia="仿宋_GB2312"/>
          <w:color w:val="auto"/>
          <w:kern w:val="0"/>
          <w:sz w:val="30"/>
          <w:szCs w:val="32"/>
          <w:highlight w:val="none"/>
        </w:rPr>
        <w:t>（</w:t>
      </w:r>
      <w:r>
        <w:rPr>
          <w:rFonts w:hint="eastAsia" w:eastAsia="仿宋_GB2312"/>
          <w:color w:val="auto"/>
          <w:kern w:val="0"/>
          <w:sz w:val="30"/>
          <w:szCs w:val="32"/>
          <w:highlight w:val="none"/>
        </w:rPr>
        <w:t>9</w:t>
      </w:r>
      <w:r>
        <w:rPr>
          <w:rFonts w:eastAsia="仿宋_GB2312"/>
          <w:color w:val="auto"/>
          <w:kern w:val="0"/>
          <w:sz w:val="30"/>
          <w:szCs w:val="32"/>
          <w:highlight w:val="none"/>
        </w:rPr>
        <w:t>）</w:t>
      </w:r>
      <w:r>
        <w:rPr>
          <w:rFonts w:eastAsia="仿宋_GB2312"/>
          <w:color w:val="auto"/>
          <w:sz w:val="30"/>
          <w:szCs w:val="32"/>
          <w:highlight w:val="none"/>
        </w:rPr>
        <w:t>承包人提交的竣工资料的内容：</w:t>
      </w:r>
      <w:r>
        <w:rPr>
          <w:rFonts w:hint="eastAsia" w:eastAsia="仿宋_GB2312"/>
          <w:color w:val="auto"/>
          <w:sz w:val="30"/>
          <w:szCs w:val="32"/>
          <w:highlight w:val="none"/>
          <w:u w:val="single"/>
        </w:rPr>
        <w:t>经验收合格的完整的竣工图和工程竣工技术档案资料并满足建设工程档案验收所需的所有资料的要求（包括但不限于开工报告、技术交底、施工试验记录、测量记录、隐蔽工程验收记录、材料设备进场报验、施工验收记录、质量检查记录、工程联系单、设计变更单、竣工报告、影像资料等）</w:t>
      </w:r>
      <w:r>
        <w:rPr>
          <w:rFonts w:eastAsia="仿宋_GB2312"/>
          <w:color w:val="auto"/>
          <w:sz w:val="30"/>
          <w:szCs w:val="32"/>
          <w:highlight w:val="none"/>
          <w:u w:val="single"/>
        </w:rPr>
        <w:t xml:space="preserve">    </w:t>
      </w:r>
      <w:r>
        <w:rPr>
          <w:rFonts w:eastAsia="仿宋_GB2312"/>
          <w:color w:val="auto"/>
          <w:sz w:val="30"/>
          <w:szCs w:val="32"/>
          <w:highlight w:val="none"/>
        </w:rPr>
        <w:t>。</w:t>
      </w:r>
    </w:p>
    <w:p w14:paraId="61759D4C">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承包人需要提交的竣工资料套数：</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叁套   </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w:t>
      </w:r>
      <w:r>
        <w:rPr>
          <w:rFonts w:eastAsia="仿宋_GB2312"/>
          <w:color w:val="auto"/>
          <w:sz w:val="30"/>
          <w:szCs w:val="32"/>
          <w:highlight w:val="none"/>
          <w:u w:val="single"/>
        </w:rPr>
        <w:t xml:space="preserve">     </w:t>
      </w:r>
      <w:r>
        <w:rPr>
          <w:rFonts w:eastAsia="仿宋_GB2312"/>
          <w:color w:val="auto"/>
          <w:sz w:val="30"/>
          <w:szCs w:val="32"/>
          <w:highlight w:val="none"/>
        </w:rPr>
        <w:t>。</w:t>
      </w:r>
    </w:p>
    <w:p w14:paraId="45179C9D">
      <w:pPr>
        <w:spacing w:line="360" w:lineRule="auto"/>
        <w:ind w:left="638" w:leftChars="304"/>
        <w:jc w:val="left"/>
        <w:rPr>
          <w:rFonts w:eastAsia="仿宋_GB2312"/>
          <w:color w:val="auto"/>
          <w:sz w:val="30"/>
          <w:szCs w:val="32"/>
          <w:highlight w:val="none"/>
        </w:rPr>
      </w:pPr>
      <w:r>
        <w:rPr>
          <w:rFonts w:eastAsia="仿宋_GB2312"/>
          <w:color w:val="auto"/>
          <w:sz w:val="30"/>
          <w:szCs w:val="32"/>
          <w:highlight w:val="none"/>
        </w:rPr>
        <w:t>承包人提交的竣工资料的费用承担：</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由承包人承担</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w:t>
      </w:r>
      <w:r>
        <w:rPr>
          <w:rFonts w:eastAsia="仿宋_GB2312"/>
          <w:color w:val="auto"/>
          <w:sz w:val="30"/>
          <w:szCs w:val="32"/>
          <w:highlight w:val="none"/>
          <w:u w:val="single"/>
        </w:rPr>
        <w:t xml:space="preserve">    </w:t>
      </w:r>
      <w:r>
        <w:rPr>
          <w:rFonts w:eastAsia="仿宋_GB2312"/>
          <w:color w:val="auto"/>
          <w:sz w:val="30"/>
          <w:szCs w:val="32"/>
          <w:highlight w:val="none"/>
        </w:rPr>
        <w:t>。</w:t>
      </w:r>
    </w:p>
    <w:p w14:paraId="0F874D7A">
      <w:pPr>
        <w:spacing w:line="360" w:lineRule="auto"/>
        <w:ind w:left="638" w:leftChars="304"/>
        <w:jc w:val="left"/>
        <w:rPr>
          <w:rFonts w:eastAsia="仿宋_GB2312"/>
          <w:color w:val="auto"/>
          <w:sz w:val="30"/>
          <w:szCs w:val="32"/>
          <w:highlight w:val="none"/>
        </w:rPr>
      </w:pPr>
      <w:r>
        <w:rPr>
          <w:rFonts w:eastAsia="仿宋_GB2312"/>
          <w:color w:val="auto"/>
          <w:sz w:val="30"/>
          <w:szCs w:val="32"/>
          <w:highlight w:val="none"/>
        </w:rPr>
        <w:t>承包人提交的竣工资料移交时间：</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工程竣工验收合格后1个月内移交给发包人  </w:t>
      </w:r>
      <w:r>
        <w:rPr>
          <w:rFonts w:eastAsia="仿宋_GB2312"/>
          <w:color w:val="auto"/>
          <w:sz w:val="30"/>
          <w:szCs w:val="32"/>
          <w:highlight w:val="none"/>
          <w:u w:val="single"/>
        </w:rPr>
        <w:t xml:space="preserve"> </w:t>
      </w:r>
      <w:r>
        <w:rPr>
          <w:rFonts w:eastAsia="仿宋_GB2312"/>
          <w:color w:val="auto"/>
          <w:sz w:val="30"/>
          <w:szCs w:val="32"/>
          <w:highlight w:val="none"/>
        </w:rPr>
        <w:t>。</w:t>
      </w:r>
    </w:p>
    <w:p w14:paraId="301238E7">
      <w:pPr>
        <w:spacing w:line="360" w:lineRule="auto"/>
        <w:ind w:firstLine="600" w:firstLineChars="200"/>
        <w:rPr>
          <w:rFonts w:eastAsia="仿宋_GB2312"/>
          <w:color w:val="auto"/>
          <w:sz w:val="30"/>
          <w:szCs w:val="32"/>
          <w:highlight w:val="none"/>
        </w:rPr>
      </w:pPr>
      <w:r>
        <w:rPr>
          <w:rFonts w:eastAsia="仿宋_GB2312"/>
          <w:color w:val="auto"/>
          <w:kern w:val="0"/>
          <w:sz w:val="30"/>
          <w:szCs w:val="32"/>
          <w:highlight w:val="none"/>
        </w:rPr>
        <w:t>（</w:t>
      </w:r>
      <w:r>
        <w:rPr>
          <w:rFonts w:hint="eastAsia" w:eastAsia="仿宋_GB2312"/>
          <w:color w:val="auto"/>
          <w:kern w:val="0"/>
          <w:sz w:val="30"/>
          <w:szCs w:val="32"/>
          <w:highlight w:val="none"/>
        </w:rPr>
        <w:t>10</w:t>
      </w:r>
      <w:r>
        <w:rPr>
          <w:rFonts w:eastAsia="仿宋_GB2312"/>
          <w:color w:val="auto"/>
          <w:kern w:val="0"/>
          <w:sz w:val="30"/>
          <w:szCs w:val="32"/>
          <w:highlight w:val="none"/>
        </w:rPr>
        <w:t>）承包人应履行的其他义务</w:t>
      </w:r>
      <w:r>
        <w:rPr>
          <w:rFonts w:hint="eastAsia" w:eastAsia="仿宋_GB2312"/>
          <w:color w:val="auto"/>
          <w:kern w:val="0"/>
          <w:sz w:val="30"/>
          <w:szCs w:val="32"/>
          <w:highlight w:val="none"/>
        </w:rPr>
        <w:t>包含但不限于</w:t>
      </w:r>
      <w:r>
        <w:rPr>
          <w:rFonts w:eastAsia="仿宋_GB2312"/>
          <w:color w:val="auto"/>
          <w:sz w:val="30"/>
          <w:szCs w:val="32"/>
          <w:highlight w:val="none"/>
        </w:rPr>
        <w:t>：</w:t>
      </w:r>
    </w:p>
    <w:p w14:paraId="393928E9">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 xml:space="preserve">1、承包人只能在发包人提供的施工场地范围内布置、安排和组织施工。承包人如需占用发包人提供的场地范围以外的场地，须自行办理有关手续及支付相关费用。便道措施费由承包人自行承担  </w:t>
      </w:r>
    </w:p>
    <w:p w14:paraId="0141F837">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2、承包人的报价已充分考虑地下管线、交通条件、水电条件、施工场地障碍条件和现场各种不利条件发生可能带来的风险及增加费用，发包人不再对因以上原因引起费用增加支付任何费用；</w:t>
      </w:r>
    </w:p>
    <w:p w14:paraId="0EFA9AC5">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3、承包人应采取安全防护措施，避免施工活动对周边的建筑物和构筑物造成损害。施工期间，负责对施工范围内及附近的居民、商业用房、厂房等建筑物和构筑物应采取措施进行保护和受损后的修复；应保证施工现场及周边居民生活、工厂生产作业等出入交通不受影响。发生的费用由承包人承担。同时，由此导致的工期延误及相关责任由承包人承担；</w:t>
      </w:r>
    </w:p>
    <w:p w14:paraId="149C1A8D">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4、在工程竣工验收前，承包人应对已完工的工程进行保护，其费用由承包人承担；</w:t>
      </w:r>
    </w:p>
    <w:p w14:paraId="77DBA6AB">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5、承包人应清楚地预计到施工期间对外界可能产生的不可避免的干扰，并为此保证主动努力减少这些干扰对外界的影响，且应当积极主动和外界进行协调，因此产生的费用和对发包人造成的损失由承包人承担；</w:t>
      </w:r>
    </w:p>
    <w:p w14:paraId="3AD3A300">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6、承包人应负责现场全部作业的安全，在工程施工、完工及修补缺陷的整个工程期限内，全面负责所有留在现场的人员的安全，保护其管辖范围的现场(包括尚未完工和发包人尚未接管得工程)处于有条不紊和良好的状态。</w:t>
      </w:r>
    </w:p>
    <w:p w14:paraId="5D42AFF6">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7、承包人在工程施工过程中，必须严格按照发包人审定的施工组织设计组织施工，严禁野蛮施工。承包人应承担的责任包括但不限于：因承包人施工造成的塌方、四周地面塌陷、房屋开裂、垮塌等质量、安全事故由承包人承担责任，负责赔偿，并承担由此给发包人和第三方造成的相应损失；</w:t>
      </w:r>
    </w:p>
    <w:p w14:paraId="50785171">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8、半成品、成品材料的进场和堆放应按进度计划进行，并须事先取得发包人的同意；</w:t>
      </w:r>
    </w:p>
    <w:p w14:paraId="67501E4F">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9、承包人应负责协调施工期间外界的各种干扰，协调不果，方可书面要求发包人出面协调；</w:t>
      </w:r>
    </w:p>
    <w:p w14:paraId="1A188DE3">
      <w:pPr>
        <w:spacing w:line="360" w:lineRule="auto"/>
        <w:ind w:firstLine="600" w:firstLineChars="200"/>
        <w:rPr>
          <w:rFonts w:eastAsia="仿宋_GB2312"/>
          <w:color w:val="auto"/>
          <w:sz w:val="30"/>
          <w:szCs w:val="32"/>
          <w:highlight w:val="none"/>
        </w:rPr>
      </w:pPr>
      <w:r>
        <w:rPr>
          <w:rFonts w:hint="eastAsia" w:eastAsia="仿宋_GB2312"/>
          <w:color w:val="auto"/>
          <w:sz w:val="30"/>
          <w:szCs w:val="32"/>
          <w:highlight w:val="none"/>
          <w:u w:val="single"/>
        </w:rPr>
        <w:t>10、承包人在进场施工前，须将投标文件中的相关项目管理人员的从业资质证书交发包人保管至工程竣工。项目管理人员未经发包人书面同意不得擅自更换；</w:t>
      </w:r>
    </w:p>
    <w:p w14:paraId="528A9A74">
      <w:pPr>
        <w:spacing w:line="360" w:lineRule="auto"/>
        <w:ind w:firstLine="600" w:firstLineChars="200"/>
        <w:rPr>
          <w:rFonts w:eastAsia="仿宋_GB2312"/>
          <w:color w:val="auto"/>
          <w:sz w:val="30"/>
          <w:szCs w:val="32"/>
          <w:highlight w:val="none"/>
          <w:u w:val="single"/>
        </w:rPr>
      </w:pPr>
      <w:r>
        <w:rPr>
          <w:rFonts w:eastAsia="仿宋_GB2312"/>
          <w:color w:val="auto"/>
          <w:sz w:val="30"/>
          <w:szCs w:val="32"/>
          <w:highlight w:val="none"/>
          <w:u w:val="single"/>
        </w:rPr>
        <w:t>11、</w:t>
      </w:r>
      <w:r>
        <w:rPr>
          <w:rFonts w:hint="eastAsia" w:eastAsia="仿宋_GB2312"/>
          <w:color w:val="auto"/>
          <w:sz w:val="30"/>
          <w:szCs w:val="32"/>
          <w:highlight w:val="none"/>
          <w:u w:val="single"/>
        </w:rPr>
        <w:t>在测绘仪器使用上为发包人、监理人员提供方便。</w:t>
      </w:r>
    </w:p>
    <w:p w14:paraId="3DA78983">
      <w:pPr>
        <w:spacing w:line="360" w:lineRule="auto"/>
        <w:ind w:firstLine="600" w:firstLineChars="200"/>
        <w:rPr>
          <w:rFonts w:eastAsia="仿宋_GB2312"/>
          <w:color w:val="auto"/>
          <w:sz w:val="30"/>
          <w:szCs w:val="32"/>
          <w:highlight w:val="none"/>
          <w:u w:val="single"/>
        </w:rPr>
      </w:pPr>
      <w:r>
        <w:rPr>
          <w:rFonts w:eastAsia="仿宋_GB2312"/>
          <w:color w:val="auto"/>
          <w:sz w:val="30"/>
          <w:szCs w:val="32"/>
          <w:highlight w:val="none"/>
          <w:u w:val="single"/>
        </w:rPr>
        <w:t>12、</w:t>
      </w:r>
      <w:r>
        <w:rPr>
          <w:rFonts w:hint="eastAsia" w:eastAsia="仿宋_GB2312"/>
          <w:color w:val="auto"/>
          <w:sz w:val="30"/>
          <w:szCs w:val="32"/>
          <w:highlight w:val="none"/>
          <w:u w:val="single"/>
        </w:rPr>
        <w:t>承包人不得以任何理由和借口拖工窝工停工、拖欠农民工工资、发生农民工聚众闹事。如有上述情况发生，发包人有权立即终止合同，承包人履约保证金将不予退还，对此给发包人造成的损失由承包人全额赔偿。</w:t>
      </w:r>
    </w:p>
    <w:p w14:paraId="4E7F19FD">
      <w:pPr>
        <w:spacing w:line="360" w:lineRule="auto"/>
        <w:ind w:firstLine="600" w:firstLineChars="200"/>
        <w:rPr>
          <w:rFonts w:eastAsia="仿宋_GB2312"/>
          <w:color w:val="auto"/>
          <w:sz w:val="30"/>
          <w:szCs w:val="32"/>
          <w:highlight w:val="none"/>
          <w:u w:val="single"/>
        </w:rPr>
      </w:pPr>
      <w:r>
        <w:rPr>
          <w:rFonts w:eastAsia="仿宋_GB2312"/>
          <w:color w:val="auto"/>
          <w:sz w:val="30"/>
          <w:szCs w:val="32"/>
          <w:highlight w:val="none"/>
          <w:u w:val="single"/>
        </w:rPr>
        <w:t>13、</w:t>
      </w:r>
      <w:r>
        <w:rPr>
          <w:rFonts w:hint="eastAsia" w:eastAsia="仿宋_GB2312"/>
          <w:color w:val="auto"/>
          <w:sz w:val="30"/>
          <w:szCs w:val="32"/>
          <w:highlight w:val="none"/>
          <w:u w:val="single"/>
        </w:rPr>
        <w:t>承包人应在合同签订后7日内将办理施工许可证所需施工单位提交的全套完善资料移交发包人，逾期移交则向发包人支付违约金三万元/日历天。</w:t>
      </w:r>
    </w:p>
    <w:p w14:paraId="1394D6DA">
      <w:pPr>
        <w:pStyle w:val="8"/>
        <w:ind w:left="63" w:right="63" w:firstLine="600" w:firstLineChars="200"/>
        <w:jc w:val="both"/>
        <w:rPr>
          <w:color w:val="auto"/>
          <w:highlight w:val="none"/>
        </w:rPr>
      </w:pPr>
      <w:r>
        <w:rPr>
          <w:rFonts w:eastAsia="仿宋_GB2312"/>
          <w:color w:val="auto"/>
          <w:sz w:val="30"/>
          <w:szCs w:val="32"/>
          <w:highlight w:val="none"/>
          <w:u w:val="single"/>
        </w:rPr>
        <w:t>14、</w:t>
      </w:r>
      <w:r>
        <w:rPr>
          <w:rFonts w:hint="eastAsia" w:eastAsia="仿宋_GB2312"/>
          <w:color w:val="auto"/>
          <w:sz w:val="30"/>
          <w:szCs w:val="32"/>
          <w:highlight w:val="none"/>
          <w:u w:val="single"/>
        </w:rPr>
        <w:t>承包人按月考核农民工完成工作量编制“农民工工资支付表”，经由农民工本人签字确认后在建筑工地醒目位置予以公示，公示期不得少于5日；银行代发工资结束后，承包人应在建筑工地醒目位置张贴农民工工资已发放公告，公告期不得少于5日。</w:t>
      </w:r>
    </w:p>
    <w:p w14:paraId="2551AF1C">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3.2 项目经理</w:t>
      </w:r>
    </w:p>
    <w:p w14:paraId="24F7F01E">
      <w:pPr>
        <w:spacing w:line="360" w:lineRule="auto"/>
        <w:ind w:firstLine="600" w:firstLineChars="200"/>
        <w:rPr>
          <w:rFonts w:eastAsia="仿宋_GB2312"/>
          <w:color w:val="auto"/>
          <w:sz w:val="30"/>
          <w:szCs w:val="32"/>
          <w:highlight w:val="none"/>
        </w:rPr>
      </w:pPr>
      <w:r>
        <w:rPr>
          <w:rFonts w:eastAsia="仿宋_GB2312"/>
          <w:color w:val="auto"/>
          <w:kern w:val="0"/>
          <w:sz w:val="30"/>
          <w:szCs w:val="32"/>
          <w:highlight w:val="none"/>
        </w:rPr>
        <w:t xml:space="preserve">3.2.1 </w:t>
      </w:r>
      <w:r>
        <w:rPr>
          <w:rFonts w:eastAsia="仿宋_GB2312"/>
          <w:color w:val="auto"/>
          <w:sz w:val="30"/>
          <w:szCs w:val="32"/>
          <w:highlight w:val="none"/>
        </w:rPr>
        <w:t>项目经理：</w:t>
      </w:r>
    </w:p>
    <w:p w14:paraId="4F51641E">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姓    名：</w:t>
      </w:r>
      <w:r>
        <w:rPr>
          <w:rFonts w:eastAsia="仿宋_GB2312"/>
          <w:color w:val="auto"/>
          <w:sz w:val="30"/>
          <w:szCs w:val="30"/>
          <w:highlight w:val="none"/>
          <w:u w:val="single"/>
        </w:rPr>
        <w:t xml:space="preserve">                                   </w:t>
      </w:r>
      <w:r>
        <w:rPr>
          <w:rFonts w:eastAsia="仿宋_GB2312"/>
          <w:color w:val="auto"/>
          <w:sz w:val="30"/>
          <w:szCs w:val="32"/>
          <w:highlight w:val="none"/>
        </w:rPr>
        <w:t>；</w:t>
      </w:r>
    </w:p>
    <w:p w14:paraId="508CBD33">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身份证号：</w:t>
      </w:r>
      <w:r>
        <w:rPr>
          <w:rFonts w:eastAsia="仿宋_GB2312"/>
          <w:color w:val="auto"/>
          <w:sz w:val="30"/>
          <w:szCs w:val="30"/>
          <w:highlight w:val="none"/>
          <w:u w:val="single"/>
        </w:rPr>
        <w:t xml:space="preserve">                                   </w:t>
      </w:r>
      <w:r>
        <w:rPr>
          <w:rFonts w:eastAsia="仿宋_GB2312"/>
          <w:color w:val="auto"/>
          <w:sz w:val="30"/>
          <w:szCs w:val="32"/>
          <w:highlight w:val="none"/>
        </w:rPr>
        <w:t>；</w:t>
      </w:r>
    </w:p>
    <w:p w14:paraId="49E23A59">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建造师执业资格等级：</w:t>
      </w:r>
      <w:r>
        <w:rPr>
          <w:rFonts w:eastAsia="仿宋_GB2312"/>
          <w:color w:val="auto"/>
          <w:sz w:val="30"/>
          <w:szCs w:val="30"/>
          <w:highlight w:val="none"/>
          <w:u w:val="single"/>
        </w:rPr>
        <w:t xml:space="preserve">                         </w:t>
      </w:r>
      <w:r>
        <w:rPr>
          <w:rFonts w:eastAsia="仿宋_GB2312"/>
          <w:color w:val="auto"/>
          <w:sz w:val="30"/>
          <w:szCs w:val="32"/>
          <w:highlight w:val="none"/>
        </w:rPr>
        <w:t>；</w:t>
      </w:r>
    </w:p>
    <w:p w14:paraId="01A0A5F3">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建造师注册证书号：</w:t>
      </w:r>
      <w:r>
        <w:rPr>
          <w:rFonts w:eastAsia="仿宋_GB2312"/>
          <w:color w:val="auto"/>
          <w:sz w:val="30"/>
          <w:szCs w:val="30"/>
          <w:highlight w:val="none"/>
          <w:u w:val="single"/>
        </w:rPr>
        <w:t xml:space="preserve">                                   </w:t>
      </w:r>
      <w:r>
        <w:rPr>
          <w:rFonts w:eastAsia="仿宋_GB2312"/>
          <w:color w:val="auto"/>
          <w:sz w:val="30"/>
          <w:szCs w:val="32"/>
          <w:highlight w:val="none"/>
        </w:rPr>
        <w:t>；</w:t>
      </w:r>
    </w:p>
    <w:p w14:paraId="205BA037">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建造师执业印章号：</w:t>
      </w:r>
      <w:r>
        <w:rPr>
          <w:rFonts w:eastAsia="仿宋_GB2312"/>
          <w:color w:val="auto"/>
          <w:sz w:val="30"/>
          <w:szCs w:val="30"/>
          <w:highlight w:val="none"/>
          <w:u w:val="single"/>
        </w:rPr>
        <w:t xml:space="preserve">                                   </w:t>
      </w:r>
      <w:r>
        <w:rPr>
          <w:rFonts w:eastAsia="仿宋_GB2312"/>
          <w:color w:val="auto"/>
          <w:sz w:val="30"/>
          <w:szCs w:val="32"/>
          <w:highlight w:val="none"/>
        </w:rPr>
        <w:t>；</w:t>
      </w:r>
    </w:p>
    <w:p w14:paraId="51C446A2">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安全生产考核合格证书号：</w:t>
      </w:r>
      <w:r>
        <w:rPr>
          <w:rFonts w:eastAsia="仿宋_GB2312"/>
          <w:color w:val="auto"/>
          <w:sz w:val="30"/>
          <w:szCs w:val="30"/>
          <w:highlight w:val="none"/>
          <w:u w:val="single"/>
        </w:rPr>
        <w:t xml:space="preserve">                             </w:t>
      </w:r>
      <w:r>
        <w:rPr>
          <w:rFonts w:eastAsia="仿宋_GB2312"/>
          <w:color w:val="auto"/>
          <w:sz w:val="30"/>
          <w:szCs w:val="32"/>
          <w:highlight w:val="none"/>
        </w:rPr>
        <w:t>；</w:t>
      </w:r>
    </w:p>
    <w:p w14:paraId="591ACBEF">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联系电话：</w:t>
      </w:r>
      <w:r>
        <w:rPr>
          <w:rFonts w:eastAsia="仿宋_GB2312"/>
          <w:color w:val="auto"/>
          <w:sz w:val="30"/>
          <w:szCs w:val="30"/>
          <w:highlight w:val="none"/>
          <w:u w:val="single"/>
        </w:rPr>
        <w:t xml:space="preserve">                                   </w:t>
      </w:r>
      <w:r>
        <w:rPr>
          <w:rFonts w:eastAsia="仿宋_GB2312"/>
          <w:color w:val="auto"/>
          <w:sz w:val="30"/>
          <w:szCs w:val="32"/>
          <w:highlight w:val="none"/>
        </w:rPr>
        <w:t>；</w:t>
      </w:r>
    </w:p>
    <w:p w14:paraId="5E7529A8">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电子信箱：</w:t>
      </w:r>
      <w:r>
        <w:rPr>
          <w:rFonts w:eastAsia="仿宋_GB2312"/>
          <w:color w:val="auto"/>
          <w:sz w:val="30"/>
          <w:szCs w:val="30"/>
          <w:highlight w:val="none"/>
          <w:u w:val="single"/>
        </w:rPr>
        <w:t xml:space="preserve">                                   </w:t>
      </w:r>
      <w:r>
        <w:rPr>
          <w:rFonts w:eastAsia="仿宋_GB2312"/>
          <w:color w:val="auto"/>
          <w:sz w:val="30"/>
          <w:szCs w:val="32"/>
          <w:highlight w:val="none"/>
        </w:rPr>
        <w:t>；</w:t>
      </w:r>
    </w:p>
    <w:p w14:paraId="4E9597D6">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通信地址：</w:t>
      </w:r>
      <w:r>
        <w:rPr>
          <w:rFonts w:eastAsia="仿宋_GB2312"/>
          <w:color w:val="auto"/>
          <w:sz w:val="30"/>
          <w:szCs w:val="30"/>
          <w:highlight w:val="none"/>
          <w:u w:val="single"/>
        </w:rPr>
        <w:t xml:space="preserve">                                   </w:t>
      </w:r>
      <w:r>
        <w:rPr>
          <w:rFonts w:eastAsia="仿宋_GB2312"/>
          <w:color w:val="auto"/>
          <w:sz w:val="30"/>
          <w:szCs w:val="32"/>
          <w:highlight w:val="none"/>
        </w:rPr>
        <w:t>；</w:t>
      </w:r>
    </w:p>
    <w:p w14:paraId="72DA8233">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承包人对项目经理的授权范围如下：</w:t>
      </w:r>
      <w:r>
        <w:rPr>
          <w:rFonts w:hint="eastAsia" w:eastAsia="仿宋_GB2312"/>
          <w:color w:val="auto"/>
          <w:sz w:val="30"/>
          <w:szCs w:val="32"/>
          <w:highlight w:val="none"/>
          <w:u w:val="single"/>
        </w:rPr>
        <w:t xml:space="preserve">授权项目经理处理与项目有关的业务，全权代表承包人行使合同约定的权利，履行合同约定的职责。项目经理签署的任何文件均视为承包人确认并生效的文件。承包人的相关请求、通知、计划、报表等和其它需报送发包人的资料，均以书面形式由项目经理签字并加盖承包人公章或项目章（承包人项目经理、项目章须经承包人授权并送发包人备案）后递交发包人    </w:t>
      </w:r>
      <w:r>
        <w:rPr>
          <w:rFonts w:eastAsia="仿宋_GB2312"/>
          <w:color w:val="auto"/>
          <w:sz w:val="30"/>
          <w:szCs w:val="32"/>
          <w:highlight w:val="none"/>
        </w:rPr>
        <w:t>。</w:t>
      </w:r>
    </w:p>
    <w:p w14:paraId="5DD2BA53">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关于项目经理每</w:t>
      </w:r>
      <w:r>
        <w:rPr>
          <w:rFonts w:hint="eastAsia" w:eastAsia="仿宋_GB2312"/>
          <w:color w:val="auto"/>
          <w:kern w:val="0"/>
          <w:sz w:val="30"/>
          <w:szCs w:val="32"/>
          <w:highlight w:val="none"/>
        </w:rPr>
        <w:t>周</w:t>
      </w:r>
      <w:r>
        <w:rPr>
          <w:rFonts w:eastAsia="仿宋_GB2312"/>
          <w:color w:val="auto"/>
          <w:kern w:val="0"/>
          <w:sz w:val="30"/>
          <w:szCs w:val="32"/>
          <w:highlight w:val="none"/>
        </w:rPr>
        <w:t>在施工现场的时间要求：</w:t>
      </w:r>
      <w:r>
        <w:rPr>
          <w:rFonts w:hint="eastAsia" w:eastAsia="仿宋_GB2312"/>
          <w:color w:val="auto"/>
          <w:sz w:val="30"/>
          <w:szCs w:val="32"/>
          <w:highlight w:val="none"/>
          <w:u w:val="single"/>
        </w:rPr>
        <w:t xml:space="preserve">不得少于6天    </w:t>
      </w:r>
      <w:r>
        <w:rPr>
          <w:rFonts w:eastAsia="仿宋_GB2312"/>
          <w:color w:val="auto"/>
          <w:sz w:val="30"/>
          <w:szCs w:val="32"/>
          <w:highlight w:val="none"/>
        </w:rPr>
        <w:t>。</w:t>
      </w:r>
    </w:p>
    <w:p w14:paraId="1B617404">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承包人未提交劳动合同，以及没有为项目经理缴纳社会保险证明的违约责任：</w:t>
      </w:r>
      <w:r>
        <w:rPr>
          <w:rFonts w:hint="eastAsia" w:eastAsia="仿宋_GB2312"/>
          <w:color w:val="auto"/>
          <w:sz w:val="30"/>
          <w:szCs w:val="32"/>
          <w:highlight w:val="none"/>
          <w:u w:val="single"/>
        </w:rPr>
        <w:t xml:space="preserve">先处以每人次五万元的违约金，并限期予以纠正；逾期不纠正，发包人有权单方解除合同，不承担违约责任。承包人应于发包人解除合同之日起5日内向发包人支付违约金二十万元。逾期支付，承包人应额外向发包人支付未付金额0.5‰/天的逾期违约金直至完全支付时     </w:t>
      </w:r>
      <w:r>
        <w:rPr>
          <w:rFonts w:eastAsia="仿宋_GB2312"/>
          <w:color w:val="auto"/>
          <w:sz w:val="30"/>
          <w:szCs w:val="32"/>
          <w:highlight w:val="none"/>
        </w:rPr>
        <w:t>。</w:t>
      </w:r>
    </w:p>
    <w:p w14:paraId="33C0C0A4">
      <w:pPr>
        <w:spacing w:line="360" w:lineRule="auto"/>
        <w:outlineLvl w:val="0"/>
        <w:rPr>
          <w:rFonts w:eastAsia="仿宋_GB2312"/>
          <w:color w:val="auto"/>
          <w:sz w:val="30"/>
          <w:szCs w:val="32"/>
          <w:highlight w:val="none"/>
        </w:rPr>
      </w:pPr>
      <w:r>
        <w:rPr>
          <w:rFonts w:eastAsia="仿宋_GB2312"/>
          <w:color w:val="auto"/>
          <w:sz w:val="30"/>
          <w:szCs w:val="32"/>
          <w:highlight w:val="none"/>
        </w:rPr>
        <w:t xml:space="preserve">    3.2.4 承包人无正当理由拒绝更换项目经理的违约责任：</w:t>
      </w:r>
      <w:r>
        <w:rPr>
          <w:rFonts w:hint="eastAsia" w:eastAsia="仿宋_GB2312"/>
          <w:color w:val="auto"/>
          <w:sz w:val="30"/>
          <w:szCs w:val="32"/>
          <w:highlight w:val="none"/>
          <w:u w:val="single"/>
        </w:rPr>
        <w:t xml:space="preserve">先处以每人次五万元的违约金，并限期予以纠正；逾期不纠正，发包人有权单方解除合同，不承担违约责任。承包人应于发包人解除合同之日起5日内向发包人支付违约金二十万元。逾期支付，承包人应额外向发包人支付未付金额0.5‰/天的逾期违约金直至完全支付时  </w:t>
      </w:r>
      <w:r>
        <w:rPr>
          <w:rFonts w:eastAsia="仿宋_GB2312"/>
          <w:color w:val="auto"/>
          <w:sz w:val="30"/>
          <w:szCs w:val="32"/>
          <w:highlight w:val="none"/>
        </w:rPr>
        <w:t>。</w:t>
      </w:r>
    </w:p>
    <w:p w14:paraId="14B3A1E9">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3.3 承包人人员</w:t>
      </w:r>
    </w:p>
    <w:p w14:paraId="10D40657">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3.3.1 承包人提交项目管理机构及施工现场管理人员安排报告的期限：</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合同签订后3日内</w:t>
      </w:r>
      <w:r>
        <w:rPr>
          <w:rFonts w:eastAsia="仿宋_GB2312"/>
          <w:color w:val="auto"/>
          <w:sz w:val="30"/>
          <w:szCs w:val="32"/>
          <w:highlight w:val="none"/>
          <w:u w:val="single"/>
        </w:rPr>
        <w:t xml:space="preserve">   </w:t>
      </w:r>
      <w:r>
        <w:rPr>
          <w:rFonts w:eastAsia="仿宋_GB2312"/>
          <w:color w:val="auto"/>
          <w:sz w:val="30"/>
          <w:szCs w:val="32"/>
          <w:highlight w:val="none"/>
        </w:rPr>
        <w:t>。</w:t>
      </w:r>
    </w:p>
    <w:p w14:paraId="6D6F5EB7">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3.3.3 承包人无正当理由拒绝撤换主要施工管理人员的违约责任：</w:t>
      </w:r>
      <w:r>
        <w:rPr>
          <w:rFonts w:hint="eastAsia" w:eastAsia="仿宋_GB2312"/>
          <w:color w:val="auto"/>
          <w:sz w:val="30"/>
          <w:szCs w:val="32"/>
          <w:highlight w:val="none"/>
          <w:u w:val="single"/>
        </w:rPr>
        <w:t xml:space="preserve">先处以每人次一万元的违约金，并限期予以纠正；逾期不纠正，发包人有权单方解除合同，不承担违约责任。承包人应于发包人解除合同之日起5日内向发包人支付违约金五万元。逾期支付，承包人应额外向发包人支付未付金额0.5‰/天的逾期违约金直至完全支付时  </w:t>
      </w:r>
      <w:r>
        <w:rPr>
          <w:rFonts w:eastAsia="仿宋_GB2312"/>
          <w:color w:val="auto"/>
          <w:sz w:val="30"/>
          <w:szCs w:val="32"/>
          <w:highlight w:val="none"/>
        </w:rPr>
        <w:t>。</w:t>
      </w:r>
    </w:p>
    <w:p w14:paraId="40611FF7">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3.3.4 承包人主要施工管理人员离开施工现场的批准要求：</w:t>
      </w:r>
      <w:r>
        <w:rPr>
          <w:rFonts w:hint="eastAsia" w:eastAsia="仿宋_GB2312"/>
          <w:color w:val="auto"/>
          <w:sz w:val="30"/>
          <w:szCs w:val="32"/>
          <w:highlight w:val="none"/>
          <w:u w:val="single"/>
        </w:rPr>
        <w:t xml:space="preserve">需发包人现场代表书面批准后  </w:t>
      </w:r>
      <w:r>
        <w:rPr>
          <w:rFonts w:eastAsia="仿宋_GB2312"/>
          <w:color w:val="auto"/>
          <w:sz w:val="30"/>
          <w:szCs w:val="32"/>
          <w:highlight w:val="none"/>
          <w:u w:val="single"/>
        </w:rPr>
        <w:t xml:space="preserve">   </w:t>
      </w:r>
      <w:r>
        <w:rPr>
          <w:rFonts w:eastAsia="仿宋_GB2312"/>
          <w:color w:val="auto"/>
          <w:sz w:val="30"/>
          <w:szCs w:val="32"/>
          <w:highlight w:val="none"/>
        </w:rPr>
        <w:t>。</w:t>
      </w:r>
    </w:p>
    <w:p w14:paraId="73AC4113">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3</w:t>
      </w:r>
      <w:bookmarkStart w:id="141" w:name="_Toc296891199"/>
      <w:bookmarkStart w:id="142" w:name="_Toc296346660"/>
      <w:bookmarkStart w:id="143" w:name="_Toc292559364"/>
      <w:bookmarkStart w:id="144" w:name="_Toc297123492"/>
      <w:bookmarkStart w:id="145" w:name="_Toc292559869"/>
      <w:bookmarkStart w:id="146" w:name="_Toc304295523"/>
      <w:bookmarkStart w:id="147" w:name="_Toc300934945"/>
      <w:bookmarkStart w:id="148" w:name="_Toc297120459"/>
      <w:bookmarkStart w:id="149" w:name="_Toc296890987"/>
      <w:bookmarkStart w:id="150" w:name="_Toc297048345"/>
      <w:bookmarkStart w:id="151" w:name="_Toc296347158"/>
      <w:bookmarkStart w:id="152" w:name="_Toc296944498"/>
      <w:bookmarkStart w:id="153" w:name="_Toc297216151"/>
      <w:bookmarkStart w:id="154" w:name="_Toc312677988"/>
      <w:bookmarkStart w:id="155" w:name="_Toc296503159"/>
      <w:bookmarkStart w:id="156" w:name="_Toc303539102"/>
      <w:r>
        <w:rPr>
          <w:rFonts w:eastAsia="黑体"/>
          <w:color w:val="auto"/>
          <w:sz w:val="30"/>
          <w:szCs w:val="32"/>
          <w:highlight w:val="none"/>
        </w:rPr>
        <w:t>.5 分包</w:t>
      </w:r>
    </w:p>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14:paraId="3366BB2D">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3</w:t>
      </w:r>
      <w:bookmarkStart w:id="157" w:name="_Toc318581158"/>
      <w:bookmarkStart w:id="158" w:name="_Toc296503160"/>
      <w:bookmarkStart w:id="159" w:name="_Toc296891200"/>
      <w:bookmarkStart w:id="160" w:name="_Toc304295524"/>
      <w:bookmarkStart w:id="161" w:name="_Toc296890988"/>
      <w:bookmarkStart w:id="162" w:name="_Toc296346661"/>
      <w:bookmarkStart w:id="163" w:name="_Toc297048346"/>
      <w:bookmarkStart w:id="164" w:name="_Toc296347159"/>
      <w:bookmarkStart w:id="165" w:name="_Toc296944499"/>
      <w:bookmarkStart w:id="166" w:name="_Toc297123493"/>
      <w:bookmarkStart w:id="167" w:name="_Toc300934946"/>
      <w:bookmarkStart w:id="168" w:name="_Toc292559365"/>
      <w:bookmarkStart w:id="169" w:name="_Toc297216152"/>
      <w:bookmarkStart w:id="170" w:name="_Toc297120460"/>
      <w:bookmarkStart w:id="171" w:name="_Toc292559870"/>
      <w:bookmarkStart w:id="172" w:name="_Toc303539103"/>
      <w:bookmarkStart w:id="173" w:name="_Toc312677989"/>
      <w:r>
        <w:rPr>
          <w:rFonts w:eastAsia="仿宋_GB2312"/>
          <w:color w:val="auto"/>
          <w:sz w:val="30"/>
          <w:szCs w:val="32"/>
          <w:highlight w:val="none"/>
        </w:rPr>
        <w:t>.5.1 分包的一般约定</w:t>
      </w:r>
    </w:p>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14:paraId="290BDEFD">
      <w:pPr>
        <w:spacing w:line="360" w:lineRule="auto"/>
        <w:ind w:firstLine="600" w:firstLineChars="200"/>
        <w:rPr>
          <w:rFonts w:eastAsia="仿宋_GB2312"/>
          <w:color w:val="auto"/>
          <w:sz w:val="30"/>
          <w:szCs w:val="32"/>
          <w:highlight w:val="none"/>
        </w:rPr>
      </w:pPr>
      <w:bookmarkStart w:id="174" w:name="_Toc312677990"/>
      <w:bookmarkStart w:id="175" w:name="_Toc318581159"/>
      <w:r>
        <w:rPr>
          <w:rFonts w:hint="eastAsia" w:eastAsia="仿宋_GB2312"/>
          <w:color w:val="auto"/>
          <w:sz w:val="30"/>
          <w:szCs w:val="32"/>
          <w:highlight w:val="none"/>
          <w:u w:val="single"/>
        </w:rPr>
        <w:t>符合《中华人民共和国建筑法》和《中华人民共和国招标投标法》的相关规定</w:t>
      </w:r>
      <w:r>
        <w:rPr>
          <w:rFonts w:eastAsia="仿宋_GB2312"/>
          <w:color w:val="auto"/>
          <w:sz w:val="30"/>
          <w:szCs w:val="32"/>
          <w:highlight w:val="none"/>
          <w:u w:val="single"/>
        </w:rPr>
        <w:t xml:space="preserve"> </w:t>
      </w:r>
      <w:r>
        <w:rPr>
          <w:rFonts w:eastAsia="仿宋_GB2312"/>
          <w:color w:val="auto"/>
          <w:sz w:val="30"/>
          <w:szCs w:val="32"/>
          <w:highlight w:val="none"/>
        </w:rPr>
        <w:t>。</w:t>
      </w:r>
    </w:p>
    <w:bookmarkEnd w:id="174"/>
    <w:bookmarkEnd w:id="175"/>
    <w:p w14:paraId="3D3C1D27">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3.6 工程照管与成品、半成品保护</w:t>
      </w:r>
    </w:p>
    <w:p w14:paraId="0AFC2D06">
      <w:pPr>
        <w:spacing w:before="120" w:after="120" w:line="360" w:lineRule="auto"/>
        <w:ind w:firstLine="600" w:firstLineChars="200"/>
        <w:rPr>
          <w:rFonts w:eastAsia="仿宋_GB2312"/>
          <w:color w:val="auto"/>
          <w:kern w:val="0"/>
          <w:sz w:val="30"/>
          <w:szCs w:val="32"/>
          <w:highlight w:val="none"/>
          <w:u w:val="single"/>
        </w:rPr>
      </w:pPr>
      <w:r>
        <w:rPr>
          <w:rFonts w:eastAsia="仿宋_GB2312"/>
          <w:color w:val="auto"/>
          <w:kern w:val="0"/>
          <w:sz w:val="30"/>
          <w:szCs w:val="32"/>
          <w:highlight w:val="none"/>
        </w:rPr>
        <w:t>承包人负责照管工程及工程相关的材料、工程设备的起始时间：</w:t>
      </w:r>
      <w:r>
        <w:rPr>
          <w:rFonts w:eastAsia="仿宋_GB2312"/>
          <w:color w:val="auto"/>
          <w:kern w:val="0"/>
          <w:sz w:val="30"/>
          <w:szCs w:val="32"/>
          <w:highlight w:val="none"/>
          <w:u w:val="single"/>
        </w:rPr>
        <w:t xml:space="preserve">  </w:t>
      </w:r>
      <w:r>
        <w:rPr>
          <w:rFonts w:hint="eastAsia" w:eastAsia="仿宋_GB2312"/>
          <w:color w:val="auto"/>
          <w:sz w:val="30"/>
          <w:szCs w:val="32"/>
          <w:highlight w:val="none"/>
          <w:u w:val="single"/>
        </w:rPr>
        <w:t>按通用合同条款执行</w:t>
      </w:r>
      <w:r>
        <w:rPr>
          <w:rFonts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1BF49BC0">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3.7 履约担保</w:t>
      </w:r>
    </w:p>
    <w:p w14:paraId="7E522777">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承包人是否提供履约担保：</w:t>
      </w:r>
      <w:r>
        <w:rPr>
          <w:rFonts w:eastAsia="仿宋_GB2312"/>
          <w:color w:val="auto"/>
          <w:sz w:val="30"/>
          <w:szCs w:val="30"/>
          <w:highlight w:val="none"/>
          <w:u w:val="single"/>
        </w:rPr>
        <w:t xml:space="preserve">                      </w:t>
      </w:r>
      <w:r>
        <w:rPr>
          <w:rFonts w:eastAsia="仿宋_GB2312"/>
          <w:color w:val="auto"/>
          <w:sz w:val="30"/>
          <w:szCs w:val="32"/>
          <w:highlight w:val="none"/>
        </w:rPr>
        <w:t>。</w:t>
      </w:r>
    </w:p>
    <w:p w14:paraId="6D642B7D">
      <w:pPr>
        <w:adjustRightInd w:val="0"/>
        <w:snapToGri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承包人提供履约担保的形式</w:t>
      </w:r>
      <w:r>
        <w:rPr>
          <w:rFonts w:hint="eastAsia" w:eastAsia="仿宋_GB2312"/>
          <w:color w:val="auto"/>
          <w:sz w:val="30"/>
          <w:szCs w:val="32"/>
          <w:highlight w:val="none"/>
        </w:rPr>
        <w:t>、金额及期限的</w:t>
      </w:r>
      <w:r>
        <w:rPr>
          <w:rFonts w:eastAsia="仿宋_GB2312"/>
          <w:color w:val="auto"/>
          <w:sz w:val="30"/>
          <w:szCs w:val="32"/>
          <w:highlight w:val="none"/>
        </w:rPr>
        <w:t>：</w:t>
      </w:r>
    </w:p>
    <w:p w14:paraId="78ECAFD5">
      <w:pPr>
        <w:adjustRightInd w:val="0"/>
        <w:snapToGrid w:val="0"/>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rPr>
        <w:t>担保形式：</w:t>
      </w:r>
      <w:r>
        <w:rPr>
          <w:rFonts w:eastAsia="仿宋_GB2312"/>
          <w:color w:val="auto"/>
          <w:sz w:val="30"/>
          <w:szCs w:val="30"/>
          <w:highlight w:val="none"/>
          <w:u w:val="single"/>
        </w:rPr>
        <w:t xml:space="preserve">                                   </w:t>
      </w:r>
      <w:r>
        <w:rPr>
          <w:rFonts w:hint="eastAsia" w:eastAsia="仿宋_GB2312"/>
          <w:color w:val="auto"/>
          <w:sz w:val="30"/>
          <w:szCs w:val="32"/>
          <w:highlight w:val="none"/>
        </w:rPr>
        <w:t>；</w:t>
      </w:r>
    </w:p>
    <w:p w14:paraId="63BC3EEB">
      <w:pPr>
        <w:adjustRightInd w:val="0"/>
        <w:snapToGrid w:val="0"/>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rPr>
        <w:t>担保金额</w:t>
      </w:r>
      <w:r>
        <w:rPr>
          <w:rFonts w:hint="eastAsia" w:ascii="宋体" w:hAnsi="宋体"/>
          <w:snapToGrid w:val="0"/>
          <w:color w:val="auto"/>
          <w:szCs w:val="21"/>
          <w:highlight w:val="none"/>
        </w:rPr>
        <w:t>：</w:t>
      </w:r>
      <w:r>
        <w:rPr>
          <w:rFonts w:eastAsia="仿宋_GB2312"/>
          <w:color w:val="auto"/>
          <w:sz w:val="30"/>
          <w:szCs w:val="30"/>
          <w:highlight w:val="none"/>
          <w:u w:val="single"/>
        </w:rPr>
        <w:t xml:space="preserve">                                   </w:t>
      </w:r>
      <w:r>
        <w:rPr>
          <w:rFonts w:hint="eastAsia" w:eastAsia="仿宋_GB2312"/>
          <w:color w:val="auto"/>
          <w:sz w:val="30"/>
          <w:szCs w:val="32"/>
          <w:highlight w:val="none"/>
        </w:rPr>
        <w:t>；</w:t>
      </w:r>
    </w:p>
    <w:p w14:paraId="56E243D0">
      <w:pPr>
        <w:adjustRightInd w:val="0"/>
        <w:snapToGrid w:val="0"/>
        <w:spacing w:line="360" w:lineRule="auto"/>
        <w:ind w:firstLine="600" w:firstLineChars="200"/>
        <w:rPr>
          <w:rFonts w:eastAsia="仿宋_GB2312"/>
          <w:color w:val="auto"/>
          <w:sz w:val="30"/>
          <w:szCs w:val="32"/>
          <w:highlight w:val="none"/>
        </w:rPr>
      </w:pPr>
      <w:r>
        <w:rPr>
          <w:rFonts w:hint="eastAsia" w:eastAsia="仿宋_GB2312"/>
          <w:color w:val="auto"/>
          <w:sz w:val="30"/>
          <w:szCs w:val="32"/>
          <w:highlight w:val="none"/>
        </w:rPr>
        <w:t>履约担保期限</w:t>
      </w:r>
      <w:r>
        <w:rPr>
          <w:rFonts w:hint="eastAsia" w:ascii="宋体" w:hAnsi="宋体"/>
          <w:snapToGrid w:val="0"/>
          <w:color w:val="auto"/>
          <w:szCs w:val="21"/>
          <w:highlight w:val="none"/>
        </w:rPr>
        <w:t>：</w:t>
      </w:r>
      <w:r>
        <w:rPr>
          <w:rFonts w:hint="eastAsia" w:eastAsia="仿宋_GB2312"/>
          <w:color w:val="auto"/>
          <w:sz w:val="30"/>
          <w:szCs w:val="32"/>
          <w:highlight w:val="none"/>
          <w:u w:val="single"/>
        </w:rPr>
        <w:t>自提交履约担保至竣工验收合格之日止</w:t>
      </w:r>
      <w:r>
        <w:rPr>
          <w:rFonts w:hint="eastAsia" w:eastAsia="仿宋_GB2312"/>
          <w:color w:val="auto"/>
          <w:sz w:val="30"/>
          <w:szCs w:val="32"/>
          <w:highlight w:val="none"/>
        </w:rPr>
        <w:t>；</w:t>
      </w:r>
    </w:p>
    <w:p w14:paraId="78DAB7E1">
      <w:pPr>
        <w:pStyle w:val="8"/>
        <w:ind w:left="63" w:right="63" w:firstLine="600" w:firstLineChars="200"/>
        <w:jc w:val="both"/>
        <w:rPr>
          <w:rFonts w:eastAsia="仿宋_GB2312"/>
          <w:color w:val="auto"/>
          <w:kern w:val="2"/>
          <w:sz w:val="30"/>
          <w:szCs w:val="32"/>
          <w:highlight w:val="none"/>
        </w:rPr>
      </w:pPr>
      <w:r>
        <w:rPr>
          <w:rFonts w:hint="eastAsia" w:eastAsia="仿宋_GB2312"/>
          <w:color w:val="auto"/>
          <w:kern w:val="2"/>
          <w:sz w:val="30"/>
          <w:szCs w:val="32"/>
          <w:highlight w:val="none"/>
        </w:rPr>
        <w:t>履约担保提交时间：</w:t>
      </w:r>
      <w:r>
        <w:rPr>
          <w:rFonts w:eastAsia="仿宋_GB2312"/>
          <w:color w:val="auto"/>
          <w:sz w:val="30"/>
          <w:szCs w:val="30"/>
          <w:highlight w:val="none"/>
          <w:u w:val="single"/>
        </w:rPr>
        <w:t xml:space="preserve">                          </w:t>
      </w:r>
      <w:r>
        <w:rPr>
          <w:rFonts w:hint="eastAsia" w:eastAsia="仿宋_GB2312"/>
          <w:color w:val="auto"/>
          <w:kern w:val="2"/>
          <w:sz w:val="30"/>
          <w:szCs w:val="32"/>
          <w:highlight w:val="none"/>
        </w:rPr>
        <w:t>逾期提交履约担保发包人有权单方解除合同，不承担违约责任。承包人应于发包人解除合同之日起5日内向发包人支付逾期提交履约担保违约金，违约金金额为：</w:t>
      </w:r>
      <w:r>
        <w:rPr>
          <w:rFonts w:hint="eastAsia" w:eastAsia="仿宋_GB2312"/>
          <w:color w:val="auto"/>
          <w:kern w:val="2"/>
          <w:sz w:val="30"/>
          <w:szCs w:val="32"/>
          <w:highlight w:val="none"/>
          <w:u w:val="single"/>
        </w:rPr>
        <w:t>合同金额的2</w:t>
      </w:r>
      <w:r>
        <w:rPr>
          <w:rFonts w:eastAsia="仿宋_GB2312"/>
          <w:color w:val="auto"/>
          <w:kern w:val="2"/>
          <w:sz w:val="30"/>
          <w:szCs w:val="32"/>
          <w:highlight w:val="none"/>
          <w:u w:val="single"/>
        </w:rPr>
        <w:t>%</w:t>
      </w:r>
      <w:r>
        <w:rPr>
          <w:rFonts w:hint="eastAsia" w:eastAsia="仿宋_GB2312"/>
          <w:color w:val="auto"/>
          <w:kern w:val="2"/>
          <w:sz w:val="30"/>
          <w:szCs w:val="32"/>
          <w:highlight w:val="none"/>
        </w:rPr>
        <w:t>。逾期支付，承包人应额外向发包人支付未付违约金金额0.5‰/天的逾期违约金直至完全支付时。</w:t>
      </w:r>
    </w:p>
    <w:p w14:paraId="01032876">
      <w:pPr>
        <w:pStyle w:val="8"/>
        <w:ind w:left="63" w:right="63" w:firstLine="600" w:firstLineChars="200"/>
        <w:jc w:val="both"/>
        <w:rPr>
          <w:rFonts w:eastAsia="仿宋_GB2312"/>
          <w:color w:val="auto"/>
          <w:sz w:val="30"/>
          <w:szCs w:val="32"/>
          <w:highlight w:val="none"/>
        </w:rPr>
      </w:pPr>
      <w:r>
        <w:rPr>
          <w:rFonts w:hint="eastAsia" w:eastAsia="仿宋_GB2312"/>
          <w:color w:val="auto"/>
          <w:sz w:val="30"/>
          <w:szCs w:val="32"/>
          <w:highlight w:val="none"/>
        </w:rPr>
        <w:t>履约担保退还时间</w:t>
      </w:r>
      <w:r>
        <w:rPr>
          <w:rFonts w:hint="eastAsia" w:ascii="宋体" w:hAnsi="宋体"/>
          <w:snapToGrid w:val="0"/>
          <w:color w:val="auto"/>
          <w:szCs w:val="21"/>
          <w:highlight w:val="none"/>
        </w:rPr>
        <w:t>：</w:t>
      </w:r>
      <w:r>
        <w:rPr>
          <w:rFonts w:hint="eastAsia" w:eastAsia="仿宋_GB2312"/>
          <w:color w:val="auto"/>
          <w:sz w:val="30"/>
          <w:szCs w:val="32"/>
          <w:highlight w:val="none"/>
          <w:u w:val="single"/>
        </w:rPr>
        <w:t xml:space="preserve">竣工验收合格15个工作日内，发包人向承包人无息退还   </w:t>
      </w:r>
      <w:r>
        <w:rPr>
          <w:rFonts w:hint="eastAsia" w:eastAsia="仿宋_GB2312"/>
          <w:color w:val="auto"/>
          <w:sz w:val="30"/>
          <w:szCs w:val="32"/>
          <w:highlight w:val="none"/>
        </w:rPr>
        <w:t>。</w:t>
      </w:r>
    </w:p>
    <w:p w14:paraId="46B933FA">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承包人同意发包人直接从承包人缴纳的履约保证金中扣除承包人违约金、承包人支付或承担的费用。发包人扣除后承包人应立即补足履约保证金至合同约定的担保金额。承包人逾期10天未补足，发包人有权单方解除合同，发包人不承担违约责任，且承包人应向发包人支付违约金十万元。</w:t>
      </w:r>
    </w:p>
    <w:p w14:paraId="3F7A2D5A">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3.8</w:t>
      </w:r>
      <w:r>
        <w:rPr>
          <w:rFonts w:hint="eastAsia" w:eastAsia="仿宋_GB2312"/>
          <w:color w:val="auto"/>
          <w:sz w:val="30"/>
          <w:szCs w:val="32"/>
          <w:highlight w:val="none"/>
        </w:rPr>
        <w:t>农民工工资专用账户管理及银行代发制度</w:t>
      </w:r>
    </w:p>
    <w:p w14:paraId="5EDA764C">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承包人必须设立农民工工资专用账户并为农民工办理实名制工资支付银行卡，发包人将应付工程款中的人工费（工资款）每月拨付至工资专用账户，承包人委托农民工工资专用账户开户银行直接将农民工工资发放至农民工工资卡。</w:t>
      </w:r>
    </w:p>
    <w:p w14:paraId="57BC178A">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3.8.1</w:t>
      </w:r>
      <w:r>
        <w:rPr>
          <w:rFonts w:hint="eastAsia" w:eastAsia="仿宋_GB2312"/>
          <w:color w:val="auto"/>
          <w:sz w:val="30"/>
          <w:szCs w:val="32"/>
          <w:highlight w:val="none"/>
        </w:rPr>
        <w:t>设立工资专用账户</w:t>
      </w:r>
    </w:p>
    <w:p w14:paraId="024B3C35">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1）承包人须设立农民工工资专用账户，工资专用账户由承包人自主选择银行，账户资金按项目管理，仅用于支付对应项目的农民工工资，不得挪作他用。工资专用账户的开设、使用和管理应按照人民银行相关规定执行。</w:t>
      </w:r>
    </w:p>
    <w:p w14:paraId="1B87D398">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（2）承包人在本合同签订后五日内向发包人提供一个本工程的农民工工资专用账户（开户银行和账号），在本合同有效期的期间不得变动。</w:t>
      </w:r>
    </w:p>
    <w:p w14:paraId="34B103AA">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（3）承包人在办理项目施工手续时，应将工资专用账户相关信息报送</w:t>
      </w:r>
      <w:r>
        <w:rPr>
          <w:rFonts w:eastAsia="仿宋_GB2312"/>
          <w:color w:val="auto"/>
          <w:sz w:val="30"/>
          <w:szCs w:val="30"/>
          <w:highlight w:val="none"/>
          <w:u w:val="single"/>
        </w:rPr>
        <w:t xml:space="preserve">                                   </w:t>
      </w:r>
      <w:r>
        <w:rPr>
          <w:rFonts w:eastAsia="仿宋_GB2312"/>
          <w:color w:val="auto"/>
          <w:sz w:val="30"/>
          <w:szCs w:val="32"/>
          <w:highlight w:val="none"/>
          <w:u w:val="single"/>
        </w:rPr>
        <w:t xml:space="preserve">    </w:t>
      </w:r>
      <w:r>
        <w:rPr>
          <w:rFonts w:hint="eastAsia" w:eastAsia="仿宋_GB2312"/>
          <w:color w:val="auto"/>
          <w:sz w:val="30"/>
          <w:szCs w:val="32"/>
          <w:highlight w:val="none"/>
        </w:rPr>
        <w:t>城乡建委，并填报“施工合同履约管理网络系统”。</w:t>
      </w:r>
    </w:p>
    <w:p w14:paraId="4DD3A37D">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3.8.2</w:t>
      </w:r>
      <w:r>
        <w:rPr>
          <w:rFonts w:hint="eastAsia" w:eastAsia="仿宋_GB2312"/>
          <w:color w:val="auto"/>
          <w:sz w:val="30"/>
          <w:szCs w:val="32"/>
          <w:highlight w:val="none"/>
        </w:rPr>
        <w:t>办理农民工工资卡</w:t>
      </w:r>
    </w:p>
    <w:p w14:paraId="7C809D71">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（1）工资卡实行一人一卡，一张平安卡对应一张工资卡。</w:t>
      </w:r>
    </w:p>
    <w:p w14:paraId="008F2294">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2）承包人负责为本工程所用农民工（含分包企业农民工，下同）免费办理工资卡，开通短信通知业务，交由农民工本人保管和使用；分包企业（包括承接承包人发包工程的专业企业、劳务企业）应及时将所用农民工花名册报承包人。在办理工资卡前，承包人应通过“施工合同履约管理网络系统”查询本工程所用农民工的工资卡信息，经确认无工资卡信息的农民工需要为其办理工资卡，已有工资卡信息的农民工则不再办理。</w:t>
      </w:r>
    </w:p>
    <w:p w14:paraId="15DD6523">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（3）承包人应将本工程所用农民工的工资卡信息，及时填报“施工合同履约管理网络系统”，并负责工资卡的补办、变更等事宜。</w:t>
      </w:r>
    </w:p>
    <w:p w14:paraId="4A7DD83B">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3.8.3农民工工资支付</w:t>
      </w:r>
    </w:p>
    <w:p w14:paraId="794BC41B">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（1）发包人按照合同约定及时确认承包人已完工产值，以不低于当月已完产值的 25%作为当月人工费（工资款），单独拨付至承包人的工资专用账户对应项目中（若农民工工资金额大于当月已完工产值的 25%时，按实际人工费数额拨付；若农民工工资金额小于当月已完工产值的 25%时，按当月已完工产值的 25%拨付）</w:t>
      </w:r>
    </w:p>
    <w:p w14:paraId="2F813E42">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2）承包人对农民工工资发放负总责，应将应付的当月人工费（工资款）汇入工资专用账户对应项目中。承包人应按照合同约定及时上报工程进度款、结算资料、完善请款相关手续并按月足额支付农民工工资，如因承包人原因造成农民工工资不能按时发放，发包人不承担未按期拨付人工费（工资款）而导致的工期延误、停工损失等责任。</w:t>
      </w:r>
    </w:p>
    <w:p w14:paraId="6B4D3FE4">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（3）承包人收到当月工资款后应委托银行及时支付对农民工工资，如承包人未严格执行，城乡建设主管部门应责令其整改。对未按渝建发〔2017〕13 号文执行且发生拖欠的承包企业、分包企业及从业人员等责任主体，列入拖欠工资企业“黑名单”。对于承包企业在“黑名单”发布期内所有新开工项目加倍缴纳农民工工资保证金，并在诚信综合评价中予以扣分，从业人员在“平安卡管理系统”予以记录。</w:t>
      </w:r>
    </w:p>
    <w:p w14:paraId="5C12CFC9">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4）发包人应将承包人上月农民工工资银行支付凭证，作为拨付当月应付人工费或其他工资款的前置要件。承包人每月应按发包人提供《民工工资支付确认表》模板进行编制，作为本月资金申请表的附件。监理人和发包人现场代表结合发包人门禁系统所登记的承包人工人名单进行核对，未按合同要求提供以上相关资料或资料不齐全，无法证明不存在拖欠农民工工资的情况，则该月进度款不予支付。</w:t>
      </w:r>
    </w:p>
    <w:p w14:paraId="521AD15F">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3.8.4其余农民工工资专用账户管理及银行代发制度未尽事宜，按渝建发〔2017〕13 号执行。</w:t>
      </w:r>
    </w:p>
    <w:p w14:paraId="303ED518">
      <w:pPr>
        <w:pStyle w:val="8"/>
        <w:ind w:left="63" w:right="63" w:firstLine="600" w:firstLineChars="200"/>
        <w:jc w:val="both"/>
        <w:rPr>
          <w:rFonts w:eastAsia="仿宋_GB2312"/>
          <w:color w:val="auto"/>
          <w:sz w:val="30"/>
          <w:szCs w:val="32"/>
          <w:highlight w:val="none"/>
        </w:rPr>
      </w:pPr>
      <w:r>
        <w:rPr>
          <w:rFonts w:hint="eastAsia" w:eastAsia="仿宋_GB2312"/>
          <w:color w:val="auto"/>
          <w:sz w:val="30"/>
          <w:szCs w:val="32"/>
          <w:highlight w:val="none"/>
        </w:rPr>
        <w:t>3.9低价风险保证金</w:t>
      </w:r>
      <w:r>
        <w:rPr>
          <w:rFonts w:eastAsia="仿宋_GB2312"/>
          <w:color w:val="auto"/>
          <w:sz w:val="30"/>
          <w:szCs w:val="32"/>
          <w:highlight w:val="none"/>
        </w:rPr>
        <w:tab/>
      </w:r>
    </w:p>
    <w:p w14:paraId="0C6A517B">
      <w:pPr>
        <w:rPr>
          <w:rFonts w:eastAsia="仿宋_GB2312"/>
          <w:color w:val="auto"/>
          <w:sz w:val="30"/>
          <w:szCs w:val="32"/>
          <w:highlight w:val="none"/>
        </w:rPr>
      </w:pPr>
      <w:r>
        <w:rPr>
          <w:rFonts w:hint="eastAsia"/>
          <w:color w:val="auto"/>
          <w:highlight w:val="none"/>
        </w:rPr>
        <w:t xml:space="preserve"> </w:t>
      </w:r>
      <w:r>
        <w:rPr>
          <w:color w:val="auto"/>
          <w:highlight w:val="none"/>
        </w:rPr>
        <w:t xml:space="preserve">     </w:t>
      </w:r>
      <w:r>
        <w:rPr>
          <w:rFonts w:hint="eastAsia" w:eastAsia="仿宋_GB2312"/>
          <w:color w:val="auto"/>
          <w:sz w:val="30"/>
          <w:szCs w:val="32"/>
          <w:highlight w:val="none"/>
        </w:rPr>
        <w:t>本工程低价风险保证金为：</w:t>
      </w:r>
      <w:r>
        <w:rPr>
          <w:rFonts w:eastAsia="仿宋_GB2312"/>
          <w:color w:val="auto"/>
          <w:sz w:val="30"/>
          <w:szCs w:val="32"/>
          <w:highlight w:val="none"/>
          <w:u w:val="single"/>
        </w:rPr>
        <w:t xml:space="preserve">    /       </w:t>
      </w:r>
      <w:r>
        <w:rPr>
          <w:rFonts w:hint="eastAsia" w:eastAsia="仿宋_GB2312"/>
          <w:color w:val="auto"/>
          <w:sz w:val="30"/>
          <w:szCs w:val="32"/>
          <w:highlight w:val="none"/>
        </w:rPr>
        <w:t>元，担保形式为</w:t>
      </w:r>
      <w:r>
        <w:rPr>
          <w:rFonts w:eastAsia="仿宋_GB2312"/>
          <w:color w:val="auto"/>
          <w:sz w:val="30"/>
          <w:szCs w:val="32"/>
          <w:highlight w:val="none"/>
          <w:u w:val="single"/>
        </w:rPr>
        <w:t xml:space="preserve">    /       </w:t>
      </w:r>
      <w:r>
        <w:rPr>
          <w:rFonts w:hint="eastAsia" w:eastAsia="仿宋_GB2312"/>
          <w:color w:val="auto"/>
          <w:sz w:val="30"/>
          <w:szCs w:val="32"/>
          <w:highlight w:val="none"/>
        </w:rPr>
        <w:t>。竣工验收合格后15个工作日内无息退还。如在合同履行过程中因承包人或其分包施工单位违约导致合同解除，则发包人不再退还低价风险保证金，对发包人造成的损失如超过低价风险保证金部分由承包人赔偿。</w:t>
      </w:r>
    </w:p>
    <w:p w14:paraId="0A23B2BB">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3.10</w:t>
      </w:r>
      <w:r>
        <w:rPr>
          <w:rFonts w:hint="eastAsia" w:eastAsia="仿宋_GB2312"/>
          <w:color w:val="auto"/>
          <w:sz w:val="30"/>
          <w:szCs w:val="32"/>
          <w:highlight w:val="none"/>
        </w:rPr>
        <w:t>民工工资保证金</w:t>
      </w:r>
    </w:p>
    <w:p w14:paraId="0BBE1EF2">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按渝人社规〔2025〕16号通知执行</w:t>
      </w:r>
    </w:p>
    <w:p w14:paraId="3BCD5C89">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3.11</w:t>
      </w:r>
      <w:r>
        <w:rPr>
          <w:rFonts w:hint="eastAsia" w:eastAsia="仿宋_GB2312"/>
          <w:color w:val="auto"/>
          <w:sz w:val="30"/>
          <w:szCs w:val="32"/>
          <w:highlight w:val="none"/>
        </w:rPr>
        <w:t>安全生产履约保证金</w:t>
      </w:r>
    </w:p>
    <w:p w14:paraId="03DF363C">
      <w:pPr>
        <w:adjustRightInd w:val="0"/>
        <w:snapToGrid w:val="0"/>
        <w:spacing w:line="360" w:lineRule="auto"/>
        <w:ind w:firstLine="600" w:firstLineChars="200"/>
        <w:rPr>
          <w:rFonts w:eastAsia="仿宋_GB2312"/>
          <w:color w:val="auto"/>
          <w:sz w:val="30"/>
          <w:szCs w:val="32"/>
          <w:highlight w:val="none"/>
        </w:rPr>
      </w:pPr>
      <w:bookmarkStart w:id="176" w:name="_Toc351203636"/>
      <w:r>
        <w:rPr>
          <w:rFonts w:eastAsia="仿宋_GB2312"/>
          <w:color w:val="auto"/>
          <w:sz w:val="30"/>
          <w:szCs w:val="32"/>
          <w:highlight w:val="none"/>
        </w:rPr>
        <w:t>承包人提供履约担保的形式</w:t>
      </w:r>
      <w:r>
        <w:rPr>
          <w:rFonts w:hint="eastAsia" w:eastAsia="仿宋_GB2312"/>
          <w:color w:val="auto"/>
          <w:sz w:val="30"/>
          <w:szCs w:val="32"/>
          <w:highlight w:val="none"/>
        </w:rPr>
        <w:t>、金额及期限的</w:t>
      </w:r>
      <w:r>
        <w:rPr>
          <w:rFonts w:eastAsia="仿宋_GB2312"/>
          <w:color w:val="auto"/>
          <w:sz w:val="30"/>
          <w:szCs w:val="32"/>
          <w:highlight w:val="none"/>
        </w:rPr>
        <w:t>：</w:t>
      </w:r>
    </w:p>
    <w:p w14:paraId="02725F72">
      <w:pPr>
        <w:adjustRightInd w:val="0"/>
        <w:snapToGrid w:val="0"/>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rPr>
        <w:t>缴纳时间：</w:t>
      </w:r>
      <w:r>
        <w:rPr>
          <w:rFonts w:hint="eastAsia" w:eastAsia="仿宋_GB2312"/>
          <w:color w:val="auto"/>
          <w:sz w:val="30"/>
          <w:szCs w:val="32"/>
          <w:highlight w:val="none"/>
          <w:u w:val="single"/>
        </w:rPr>
        <w:t xml:space="preserve">承包商在签订合同后，入厂施工作业前足额交纳安全生产履约保证金。  </w:t>
      </w:r>
      <w:r>
        <w:rPr>
          <w:rFonts w:hint="eastAsia" w:eastAsia="仿宋_GB2312"/>
          <w:color w:val="auto"/>
          <w:sz w:val="30"/>
          <w:szCs w:val="32"/>
          <w:highlight w:val="none"/>
        </w:rPr>
        <w:t>；</w:t>
      </w:r>
    </w:p>
    <w:p w14:paraId="4B0EDA5A">
      <w:pPr>
        <w:adjustRightInd w:val="0"/>
        <w:snapToGrid w:val="0"/>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rPr>
        <w:t>担保形式：</w:t>
      </w:r>
      <w:r>
        <w:rPr>
          <w:rFonts w:hint="eastAsia" w:eastAsia="仿宋_GB2312"/>
          <w:color w:val="auto"/>
          <w:sz w:val="30"/>
          <w:szCs w:val="32"/>
          <w:highlight w:val="none"/>
          <w:u w:val="single"/>
        </w:rPr>
        <w:t xml:space="preserve"> 现金或银行保函或现金+银行保函的组合；采用银行保函形式的，保函必须为不可撤销且见索即付   </w:t>
      </w:r>
      <w:r>
        <w:rPr>
          <w:rFonts w:hint="eastAsia" w:eastAsia="仿宋_GB2312"/>
          <w:color w:val="auto"/>
          <w:sz w:val="30"/>
          <w:szCs w:val="32"/>
          <w:highlight w:val="none"/>
        </w:rPr>
        <w:t>；</w:t>
      </w:r>
    </w:p>
    <w:p w14:paraId="36B4B02C">
      <w:pPr>
        <w:adjustRightInd w:val="0"/>
        <w:snapToGrid w:val="0"/>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rPr>
        <w:t>担保金额</w:t>
      </w:r>
      <w:r>
        <w:rPr>
          <w:rFonts w:hint="eastAsia" w:ascii="宋体" w:hAnsi="宋体"/>
          <w:snapToGrid w:val="0"/>
          <w:color w:val="auto"/>
          <w:szCs w:val="21"/>
          <w:highlight w:val="none"/>
        </w:rPr>
        <w:t>：</w:t>
      </w:r>
      <w:r>
        <w:rPr>
          <w:rFonts w:hint="eastAsia" w:eastAsia="仿宋_GB2312"/>
          <w:color w:val="auto"/>
          <w:sz w:val="30"/>
          <w:szCs w:val="32"/>
          <w:highlight w:val="none"/>
          <w:u w:val="single"/>
        </w:rPr>
        <w:t>承包商安全生产履约保证金缴纳数额根据承担工程量大小和安全绩效评价结果进行缴纳。</w:t>
      </w:r>
    </w:p>
    <w:tbl>
      <w:tblPr>
        <w:tblStyle w:val="20"/>
        <w:tblW w:w="0" w:type="auto"/>
        <w:tblInd w:w="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89"/>
        <w:gridCol w:w="2992"/>
        <w:gridCol w:w="2992"/>
      </w:tblGrid>
      <w:tr w14:paraId="41ECE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9" w:type="dxa"/>
          </w:tcPr>
          <w:p w14:paraId="65A50F04">
            <w:pPr>
              <w:pStyle w:val="8"/>
              <w:ind w:left="0" w:leftChars="0" w:right="63"/>
              <w:rPr>
                <w:rFonts w:eastAsia="等线"/>
                <w:color w:val="auto"/>
                <w:highlight w:val="none"/>
              </w:rPr>
            </w:pPr>
            <w:r>
              <w:rPr>
                <w:rFonts w:hint="eastAsia" w:eastAsia="等线"/>
                <w:color w:val="auto"/>
                <w:highlight w:val="none"/>
              </w:rPr>
              <w:t>序号</w:t>
            </w:r>
          </w:p>
        </w:tc>
        <w:tc>
          <w:tcPr>
            <w:tcW w:w="2992" w:type="dxa"/>
          </w:tcPr>
          <w:p w14:paraId="672D8270">
            <w:pPr>
              <w:pStyle w:val="8"/>
              <w:ind w:left="0" w:leftChars="0" w:right="63"/>
              <w:rPr>
                <w:rFonts w:eastAsia="等线"/>
                <w:color w:val="auto"/>
                <w:highlight w:val="none"/>
              </w:rPr>
            </w:pPr>
            <w:r>
              <w:rPr>
                <w:rFonts w:hint="eastAsia" w:eastAsia="等线"/>
                <w:color w:val="auto"/>
                <w:highlight w:val="none"/>
              </w:rPr>
              <w:t>承包商业务类型</w:t>
            </w:r>
          </w:p>
        </w:tc>
        <w:tc>
          <w:tcPr>
            <w:tcW w:w="2992" w:type="dxa"/>
          </w:tcPr>
          <w:p w14:paraId="0325C472">
            <w:pPr>
              <w:pStyle w:val="8"/>
              <w:ind w:left="0" w:leftChars="0" w:right="63"/>
              <w:rPr>
                <w:rFonts w:eastAsia="等线"/>
                <w:color w:val="auto"/>
                <w:highlight w:val="none"/>
              </w:rPr>
            </w:pPr>
            <w:r>
              <w:rPr>
                <w:rFonts w:hint="eastAsia" w:eastAsia="等线"/>
                <w:color w:val="auto"/>
                <w:highlight w:val="none"/>
              </w:rPr>
              <w:t>安全生产履约保证金交纳金额</w:t>
            </w:r>
          </w:p>
        </w:tc>
      </w:tr>
      <w:tr w14:paraId="118F0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9" w:type="dxa"/>
          </w:tcPr>
          <w:p w14:paraId="3F4A633D">
            <w:pPr>
              <w:pStyle w:val="8"/>
              <w:ind w:left="0" w:leftChars="0" w:right="63"/>
              <w:rPr>
                <w:rFonts w:eastAsia="等线"/>
                <w:color w:val="auto"/>
                <w:highlight w:val="none"/>
              </w:rPr>
            </w:pPr>
            <w:r>
              <w:rPr>
                <w:rFonts w:hint="eastAsia" w:eastAsia="等线"/>
                <w:color w:val="auto"/>
                <w:highlight w:val="none"/>
              </w:rPr>
              <w:t>1</w:t>
            </w:r>
          </w:p>
        </w:tc>
        <w:tc>
          <w:tcPr>
            <w:tcW w:w="2992" w:type="dxa"/>
          </w:tcPr>
          <w:p w14:paraId="3F4FCC8F">
            <w:pPr>
              <w:pStyle w:val="8"/>
              <w:ind w:left="0" w:leftChars="0" w:right="63"/>
              <w:rPr>
                <w:rFonts w:eastAsia="等线"/>
                <w:color w:val="auto"/>
                <w:highlight w:val="none"/>
              </w:rPr>
            </w:pPr>
            <w:r>
              <w:rPr>
                <w:rFonts w:hint="eastAsia" w:eastAsia="等线"/>
                <w:color w:val="auto"/>
                <w:highlight w:val="none"/>
              </w:rPr>
              <w:t>土建工程项目、安装工程项目、设备维修维保项目</w:t>
            </w:r>
          </w:p>
        </w:tc>
        <w:tc>
          <w:tcPr>
            <w:tcW w:w="2992" w:type="dxa"/>
          </w:tcPr>
          <w:p w14:paraId="6B4584D8">
            <w:pPr>
              <w:pStyle w:val="8"/>
              <w:ind w:left="0" w:leftChars="0" w:right="63"/>
              <w:rPr>
                <w:rFonts w:eastAsia="等线"/>
                <w:color w:val="auto"/>
                <w:highlight w:val="none"/>
              </w:rPr>
            </w:pPr>
            <w:r>
              <w:rPr>
                <w:rFonts w:hint="eastAsia" w:eastAsia="等线"/>
                <w:color w:val="auto"/>
                <w:highlight w:val="none"/>
              </w:rPr>
              <w:t>按照合同标的物总额的5%进行缴纳,最低缴纳1万元，最高交纳200万元。</w:t>
            </w:r>
          </w:p>
        </w:tc>
      </w:tr>
      <w:tr w14:paraId="20EDA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9" w:type="dxa"/>
          </w:tcPr>
          <w:p w14:paraId="2ADACA64">
            <w:pPr>
              <w:pStyle w:val="8"/>
              <w:ind w:left="0" w:leftChars="0" w:right="63"/>
              <w:rPr>
                <w:rFonts w:eastAsia="等线"/>
                <w:color w:val="auto"/>
                <w:highlight w:val="none"/>
              </w:rPr>
            </w:pPr>
            <w:r>
              <w:rPr>
                <w:rFonts w:hint="eastAsia" w:eastAsia="等线"/>
                <w:color w:val="auto"/>
                <w:highlight w:val="none"/>
              </w:rPr>
              <w:t>2</w:t>
            </w:r>
          </w:p>
        </w:tc>
        <w:tc>
          <w:tcPr>
            <w:tcW w:w="2992" w:type="dxa"/>
          </w:tcPr>
          <w:p w14:paraId="2F73D393">
            <w:pPr>
              <w:pStyle w:val="8"/>
              <w:ind w:left="0" w:leftChars="0" w:right="63"/>
              <w:rPr>
                <w:rFonts w:eastAsia="等线"/>
                <w:color w:val="auto"/>
                <w:highlight w:val="none"/>
              </w:rPr>
            </w:pPr>
            <w:r>
              <w:rPr>
                <w:rFonts w:hint="eastAsia" w:eastAsia="等线"/>
                <w:color w:val="auto"/>
                <w:highlight w:val="none"/>
              </w:rPr>
              <w:t>公司原辅料、产品运输</w:t>
            </w:r>
          </w:p>
        </w:tc>
        <w:tc>
          <w:tcPr>
            <w:tcW w:w="2992" w:type="dxa"/>
            <w:vMerge w:val="restart"/>
          </w:tcPr>
          <w:p w14:paraId="7941DB73">
            <w:pPr>
              <w:pStyle w:val="8"/>
              <w:ind w:left="0" w:leftChars="0" w:right="63"/>
              <w:rPr>
                <w:rFonts w:eastAsia="等线"/>
                <w:color w:val="auto"/>
                <w:highlight w:val="none"/>
              </w:rPr>
            </w:pPr>
            <w:r>
              <w:rPr>
                <w:rFonts w:hint="eastAsia" w:eastAsia="等线"/>
                <w:color w:val="auto"/>
                <w:highlight w:val="none"/>
              </w:rPr>
              <w:t>按照合同标的物总额的1%进行缴纳,最低缴纳10万元,最高交纳100万元。</w:t>
            </w:r>
          </w:p>
        </w:tc>
      </w:tr>
      <w:tr w14:paraId="24462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9" w:type="dxa"/>
          </w:tcPr>
          <w:p w14:paraId="405A5195">
            <w:pPr>
              <w:pStyle w:val="8"/>
              <w:ind w:left="0" w:leftChars="0" w:right="63"/>
              <w:rPr>
                <w:rFonts w:eastAsia="等线"/>
                <w:color w:val="auto"/>
                <w:highlight w:val="none"/>
              </w:rPr>
            </w:pPr>
            <w:r>
              <w:rPr>
                <w:rFonts w:hint="eastAsia" w:eastAsia="等线"/>
                <w:color w:val="auto"/>
                <w:highlight w:val="none"/>
              </w:rPr>
              <w:t>3</w:t>
            </w:r>
          </w:p>
        </w:tc>
        <w:tc>
          <w:tcPr>
            <w:tcW w:w="2992" w:type="dxa"/>
          </w:tcPr>
          <w:p w14:paraId="633A9534">
            <w:pPr>
              <w:pStyle w:val="8"/>
              <w:ind w:left="0" w:leftChars="0" w:right="63"/>
              <w:rPr>
                <w:rFonts w:eastAsia="等线"/>
                <w:color w:val="auto"/>
                <w:highlight w:val="none"/>
              </w:rPr>
            </w:pPr>
            <w:r>
              <w:rPr>
                <w:rFonts w:hint="eastAsia" w:eastAsia="等线"/>
                <w:color w:val="auto"/>
                <w:highlight w:val="none"/>
              </w:rPr>
              <w:t>承租公司设备、厂房</w:t>
            </w:r>
          </w:p>
        </w:tc>
        <w:tc>
          <w:tcPr>
            <w:tcW w:w="2992" w:type="dxa"/>
            <w:vMerge w:val="continue"/>
          </w:tcPr>
          <w:p w14:paraId="78990EDB">
            <w:pPr>
              <w:pStyle w:val="8"/>
              <w:ind w:left="0" w:leftChars="0" w:right="63"/>
              <w:rPr>
                <w:rFonts w:eastAsia="等线"/>
                <w:color w:val="auto"/>
                <w:highlight w:val="none"/>
              </w:rPr>
            </w:pPr>
          </w:p>
        </w:tc>
      </w:tr>
      <w:tr w14:paraId="54E15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9" w:type="dxa"/>
          </w:tcPr>
          <w:p w14:paraId="21E84FA3">
            <w:pPr>
              <w:pStyle w:val="8"/>
              <w:ind w:left="0" w:leftChars="0" w:right="63"/>
              <w:rPr>
                <w:rFonts w:eastAsia="等线"/>
                <w:color w:val="auto"/>
                <w:highlight w:val="none"/>
              </w:rPr>
            </w:pPr>
            <w:r>
              <w:rPr>
                <w:rFonts w:hint="eastAsia" w:eastAsia="等线"/>
                <w:color w:val="auto"/>
                <w:highlight w:val="none"/>
              </w:rPr>
              <w:t>4</w:t>
            </w:r>
          </w:p>
        </w:tc>
        <w:tc>
          <w:tcPr>
            <w:tcW w:w="2992" w:type="dxa"/>
          </w:tcPr>
          <w:p w14:paraId="677A088A">
            <w:pPr>
              <w:pStyle w:val="8"/>
              <w:ind w:left="0" w:leftChars="0" w:right="63"/>
              <w:rPr>
                <w:rFonts w:eastAsia="等线"/>
                <w:color w:val="auto"/>
                <w:highlight w:val="none"/>
              </w:rPr>
            </w:pPr>
            <w:r>
              <w:rPr>
                <w:rFonts w:hint="eastAsia" w:eastAsia="等线"/>
                <w:color w:val="auto"/>
                <w:highlight w:val="none"/>
              </w:rPr>
              <w:t>在公司内投资建厂（装置)</w:t>
            </w:r>
          </w:p>
        </w:tc>
        <w:tc>
          <w:tcPr>
            <w:tcW w:w="2992" w:type="dxa"/>
            <w:vMerge w:val="continue"/>
          </w:tcPr>
          <w:p w14:paraId="1449548E">
            <w:pPr>
              <w:pStyle w:val="8"/>
              <w:ind w:left="0" w:leftChars="0" w:right="63"/>
              <w:rPr>
                <w:rFonts w:eastAsia="等线"/>
                <w:color w:val="auto"/>
                <w:highlight w:val="none"/>
              </w:rPr>
            </w:pPr>
          </w:p>
        </w:tc>
      </w:tr>
      <w:tr w14:paraId="07D0B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9" w:type="dxa"/>
          </w:tcPr>
          <w:p w14:paraId="3479BD5C">
            <w:pPr>
              <w:pStyle w:val="8"/>
              <w:ind w:left="0" w:leftChars="0" w:right="63"/>
              <w:rPr>
                <w:rFonts w:eastAsia="等线"/>
                <w:color w:val="auto"/>
                <w:highlight w:val="none"/>
              </w:rPr>
            </w:pPr>
            <w:r>
              <w:rPr>
                <w:rFonts w:hint="eastAsia" w:eastAsia="等线"/>
                <w:color w:val="auto"/>
                <w:highlight w:val="none"/>
              </w:rPr>
              <w:t>5</w:t>
            </w:r>
          </w:p>
        </w:tc>
        <w:tc>
          <w:tcPr>
            <w:tcW w:w="2992" w:type="dxa"/>
          </w:tcPr>
          <w:p w14:paraId="62DF7DCA">
            <w:pPr>
              <w:pStyle w:val="8"/>
              <w:ind w:left="0" w:leftChars="0" w:right="63"/>
              <w:rPr>
                <w:rFonts w:eastAsia="等线"/>
                <w:color w:val="auto"/>
                <w:highlight w:val="none"/>
              </w:rPr>
            </w:pPr>
            <w:r>
              <w:rPr>
                <w:rFonts w:hint="eastAsia" w:eastAsia="等线"/>
                <w:color w:val="auto"/>
                <w:highlight w:val="none"/>
              </w:rPr>
              <w:t>食堂、回收废弃物处置</w:t>
            </w:r>
          </w:p>
        </w:tc>
        <w:tc>
          <w:tcPr>
            <w:tcW w:w="2992" w:type="dxa"/>
          </w:tcPr>
          <w:p w14:paraId="0BB485B4">
            <w:pPr>
              <w:pStyle w:val="8"/>
              <w:ind w:left="0" w:leftChars="0" w:right="63"/>
              <w:rPr>
                <w:rFonts w:eastAsia="等线"/>
                <w:color w:val="auto"/>
                <w:highlight w:val="none"/>
              </w:rPr>
            </w:pPr>
            <w:r>
              <w:rPr>
                <w:rFonts w:hint="eastAsia" w:eastAsia="等线"/>
                <w:color w:val="auto"/>
                <w:highlight w:val="none"/>
              </w:rPr>
              <w:t>按照预计年度结算金额的1%进行缴纳，最低缴纳5万元，最高20万元。</w:t>
            </w:r>
          </w:p>
        </w:tc>
      </w:tr>
      <w:tr w14:paraId="29467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73" w:type="dxa"/>
            <w:gridSpan w:val="3"/>
          </w:tcPr>
          <w:p w14:paraId="6F154D94">
            <w:pPr>
              <w:pStyle w:val="8"/>
              <w:ind w:left="0" w:leftChars="0" w:right="63"/>
              <w:rPr>
                <w:rFonts w:eastAsia="等线"/>
                <w:color w:val="auto"/>
                <w:highlight w:val="none"/>
              </w:rPr>
            </w:pPr>
            <w:r>
              <w:rPr>
                <w:rFonts w:hint="eastAsia" w:eastAsia="等线"/>
                <w:color w:val="auto"/>
                <w:highlight w:val="none"/>
              </w:rPr>
              <w:t xml:space="preserve"> </w:t>
            </w:r>
            <w:r>
              <w:rPr>
                <w:rFonts w:eastAsia="等线"/>
                <w:color w:val="auto"/>
                <w:highlight w:val="none"/>
              </w:rPr>
              <w:t xml:space="preserve">   </w:t>
            </w:r>
            <w:r>
              <w:rPr>
                <w:rFonts w:hint="eastAsia" w:eastAsia="等线"/>
                <w:color w:val="auto"/>
                <w:highlight w:val="none"/>
              </w:rPr>
              <w:t>从事除上述情况以外在公司厂区内作业活动的承包商，年度结算费用在50万元(或累计）以上，安全生产履约保证金按结算费用的1%进行缴纳，安全生产履约保证金最低5万元，最高不超过100万元。年度结算费用在50万元以下的由各单位根据实际情况确定，安全生产履约保证金为1-5万元。</w:t>
            </w:r>
          </w:p>
        </w:tc>
      </w:tr>
    </w:tbl>
    <w:p w14:paraId="581BDEF2">
      <w:pPr>
        <w:adjustRightInd w:val="0"/>
        <w:snapToGrid w:val="0"/>
        <w:spacing w:line="360" w:lineRule="auto"/>
        <w:ind w:firstLine="600" w:firstLineChars="200"/>
        <w:rPr>
          <w:rFonts w:eastAsia="仿宋_GB2312"/>
          <w:color w:val="auto"/>
          <w:sz w:val="30"/>
          <w:szCs w:val="32"/>
          <w:highlight w:val="none"/>
        </w:rPr>
      </w:pPr>
    </w:p>
    <w:p w14:paraId="0FAC173D">
      <w:pPr>
        <w:adjustRightInd w:val="0"/>
        <w:snapToGrid w:val="0"/>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rPr>
        <w:t>履约担保期限</w:t>
      </w:r>
      <w:r>
        <w:rPr>
          <w:rFonts w:hint="eastAsia" w:ascii="宋体" w:hAnsi="宋体"/>
          <w:snapToGrid w:val="0"/>
          <w:color w:val="auto"/>
          <w:szCs w:val="21"/>
          <w:highlight w:val="none"/>
        </w:rPr>
        <w:t>：</w:t>
      </w:r>
      <w:r>
        <w:rPr>
          <w:rFonts w:hint="eastAsia" w:eastAsia="仿宋_GB2312"/>
          <w:color w:val="auto"/>
          <w:sz w:val="30"/>
          <w:szCs w:val="32"/>
          <w:highlight w:val="none"/>
          <w:u w:val="single"/>
        </w:rPr>
        <w:t>自提交履约担保至竣工验收合格之日止</w:t>
      </w:r>
      <w:r>
        <w:rPr>
          <w:rFonts w:hint="eastAsia" w:eastAsia="仿宋_GB2312"/>
          <w:color w:val="auto"/>
          <w:sz w:val="30"/>
          <w:szCs w:val="32"/>
          <w:highlight w:val="none"/>
        </w:rPr>
        <w:t>；</w:t>
      </w:r>
    </w:p>
    <w:p w14:paraId="235B862C">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履约担保退还时间</w:t>
      </w:r>
      <w:r>
        <w:rPr>
          <w:rFonts w:hint="eastAsia" w:ascii="宋体" w:hAnsi="宋体"/>
          <w:snapToGrid w:val="0"/>
          <w:color w:val="auto"/>
          <w:szCs w:val="21"/>
          <w:highlight w:val="none"/>
        </w:rPr>
        <w:t>：</w:t>
      </w:r>
      <w:r>
        <w:rPr>
          <w:rFonts w:hint="eastAsia" w:eastAsia="仿宋_GB2312"/>
          <w:color w:val="auto"/>
          <w:sz w:val="30"/>
          <w:szCs w:val="32"/>
          <w:highlight w:val="none"/>
          <w:u w:val="single"/>
        </w:rPr>
        <w:t xml:space="preserve">竣工验收合格15个工作日内经安全违约结算扣除违约金后，发包人向承包人无息退还   </w:t>
      </w:r>
      <w:r>
        <w:rPr>
          <w:rFonts w:hint="eastAsia" w:eastAsia="仿宋_GB2312"/>
          <w:color w:val="auto"/>
          <w:sz w:val="30"/>
          <w:szCs w:val="32"/>
          <w:highlight w:val="none"/>
        </w:rPr>
        <w:t>。</w:t>
      </w:r>
    </w:p>
    <w:p w14:paraId="51DEBCD7">
      <w:pPr>
        <w:pStyle w:val="8"/>
        <w:ind w:left="63" w:right="63"/>
        <w:jc w:val="both"/>
        <w:rPr>
          <w:rFonts w:eastAsia="仿宋_GB2312"/>
          <w:color w:val="auto"/>
          <w:kern w:val="2"/>
          <w:sz w:val="30"/>
          <w:szCs w:val="32"/>
          <w:highlight w:val="none"/>
        </w:rPr>
      </w:pPr>
      <w:r>
        <w:rPr>
          <w:rFonts w:hint="eastAsia"/>
          <w:color w:val="auto"/>
          <w:highlight w:val="none"/>
        </w:rPr>
        <w:t xml:space="preserve"> </w:t>
      </w:r>
      <w:r>
        <w:rPr>
          <w:color w:val="auto"/>
          <w:highlight w:val="none"/>
        </w:rPr>
        <w:t xml:space="preserve">     </w:t>
      </w:r>
      <w:r>
        <w:rPr>
          <w:rFonts w:hint="eastAsia" w:eastAsia="仿宋_GB2312"/>
          <w:color w:val="auto"/>
          <w:kern w:val="2"/>
          <w:sz w:val="30"/>
          <w:szCs w:val="32"/>
          <w:highlight w:val="none"/>
        </w:rPr>
        <w:t>承包商年度考核评价为优秀等级的，安全生产履约保证金可以按标准比例的80%缴纳。</w:t>
      </w:r>
    </w:p>
    <w:p w14:paraId="7967D720">
      <w:pPr>
        <w:rPr>
          <w:rFonts w:eastAsia="仿宋_GB2312"/>
          <w:color w:val="auto"/>
          <w:sz w:val="30"/>
          <w:szCs w:val="32"/>
          <w:highlight w:val="none"/>
        </w:rPr>
      </w:pPr>
      <w:r>
        <w:rPr>
          <w:rFonts w:hint="eastAsia" w:eastAsia="仿宋_GB2312"/>
          <w:color w:val="auto"/>
          <w:sz w:val="30"/>
          <w:szCs w:val="32"/>
          <w:highlight w:val="none"/>
        </w:rPr>
        <w:t xml:space="preserve"> </w:t>
      </w:r>
      <w:r>
        <w:rPr>
          <w:rFonts w:eastAsia="仿宋_GB2312"/>
          <w:color w:val="auto"/>
          <w:sz w:val="30"/>
          <w:szCs w:val="32"/>
          <w:highlight w:val="none"/>
        </w:rPr>
        <w:t xml:space="preserve">   </w:t>
      </w:r>
      <w:r>
        <w:rPr>
          <w:rFonts w:hint="eastAsia" w:eastAsia="仿宋_GB2312"/>
          <w:color w:val="auto"/>
          <w:sz w:val="30"/>
          <w:szCs w:val="32"/>
          <w:highlight w:val="none"/>
        </w:rPr>
        <w:t>同一个承包商同公司内多家单位有合同约定的，以所需缴纳的安全生产履约保证金最高为缴纳金额，不重复缴纳，但需要提交由公司财务部出具的缴纳凭证复印件。</w:t>
      </w:r>
    </w:p>
    <w:p w14:paraId="6A597145">
      <w:pPr>
        <w:pStyle w:val="8"/>
        <w:ind w:left="63" w:right="63"/>
        <w:jc w:val="left"/>
        <w:rPr>
          <w:rFonts w:eastAsia="仿宋_GB2312"/>
          <w:color w:val="auto"/>
          <w:kern w:val="2"/>
          <w:sz w:val="30"/>
          <w:szCs w:val="32"/>
          <w:highlight w:val="none"/>
        </w:rPr>
      </w:pPr>
      <w:r>
        <w:rPr>
          <w:rFonts w:eastAsia="仿宋_GB2312"/>
          <w:color w:val="auto"/>
          <w:kern w:val="2"/>
          <w:sz w:val="30"/>
          <w:szCs w:val="32"/>
          <w:highlight w:val="none"/>
        </w:rPr>
        <w:t xml:space="preserve">   </w:t>
      </w:r>
      <w:r>
        <w:rPr>
          <w:rFonts w:hint="eastAsia" w:eastAsia="仿宋_GB2312"/>
          <w:color w:val="auto"/>
          <w:kern w:val="2"/>
          <w:sz w:val="30"/>
          <w:szCs w:val="32"/>
          <w:highlight w:val="none"/>
        </w:rPr>
        <w:t>承包商属于公司内部单位的，可以不缴纳安全生产履约保证金。</w:t>
      </w:r>
    </w:p>
    <w:p w14:paraId="22CB0430">
      <w:pPr>
        <w:ind w:firstLine="600" w:firstLineChars="200"/>
        <w:rPr>
          <w:rFonts w:eastAsia="仿宋_GB2312"/>
          <w:color w:val="auto"/>
          <w:sz w:val="30"/>
          <w:szCs w:val="32"/>
          <w:highlight w:val="none"/>
        </w:rPr>
      </w:pPr>
      <w:r>
        <w:rPr>
          <w:rFonts w:hint="eastAsia" w:eastAsia="仿宋_GB2312"/>
          <w:color w:val="auto"/>
          <w:sz w:val="30"/>
          <w:szCs w:val="32"/>
          <w:highlight w:val="none"/>
        </w:rPr>
        <w:t>公司新进承包商、现有承包商且合同年限超过1年的，需按照本制度规定缴纳安全生产履约保证金。</w:t>
      </w:r>
    </w:p>
    <w:p w14:paraId="51360393">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承包商在公司范围内发生生产安全环保事故的，按照以下标准扣除安全生产履约保证金：</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3"/>
        <w:gridCol w:w="3503"/>
      </w:tblGrid>
      <w:tr w14:paraId="2BCD3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623" w:type="dxa"/>
            <w:vAlign w:val="center"/>
          </w:tcPr>
          <w:p w14:paraId="466BBF2B">
            <w:pPr>
              <w:jc w:val="center"/>
              <w:rPr>
                <w:rFonts w:ascii="宋体" w:hAnsi="宋体"/>
                <w:color w:val="auto"/>
                <w:szCs w:val="21"/>
                <w:highlight w:val="none"/>
              </w:rPr>
            </w:pPr>
            <w:r>
              <w:rPr>
                <w:rFonts w:ascii="宋体" w:hAnsi="宋体"/>
                <w:color w:val="auto"/>
                <w:szCs w:val="21"/>
                <w:highlight w:val="none"/>
              </w:rPr>
              <w:t>事故等级</w:t>
            </w:r>
          </w:p>
        </w:tc>
        <w:tc>
          <w:tcPr>
            <w:tcW w:w="3503" w:type="dxa"/>
            <w:vAlign w:val="center"/>
          </w:tcPr>
          <w:p w14:paraId="1D4EB270">
            <w:pPr>
              <w:jc w:val="center"/>
              <w:rPr>
                <w:rFonts w:ascii="宋体" w:hAnsi="宋体"/>
                <w:color w:val="auto"/>
                <w:szCs w:val="21"/>
                <w:highlight w:val="none"/>
              </w:rPr>
            </w:pPr>
            <w:r>
              <w:rPr>
                <w:rFonts w:ascii="宋体" w:hAnsi="宋体"/>
                <w:color w:val="auto"/>
                <w:szCs w:val="21"/>
                <w:highlight w:val="none"/>
              </w:rPr>
              <w:t>安全生产履约保证金扣除金额</w:t>
            </w:r>
          </w:p>
        </w:tc>
      </w:tr>
      <w:tr w14:paraId="1CDCC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6623" w:type="dxa"/>
            <w:vAlign w:val="center"/>
          </w:tcPr>
          <w:p w14:paraId="4F2A2951">
            <w:pPr>
              <w:jc w:val="left"/>
              <w:rPr>
                <w:rFonts w:ascii="宋体" w:hAnsi="宋体"/>
                <w:color w:val="auto"/>
                <w:szCs w:val="21"/>
                <w:highlight w:val="none"/>
              </w:rPr>
            </w:pPr>
            <w:r>
              <w:rPr>
                <w:rFonts w:hint="eastAsia" w:ascii="宋体" w:hAnsi="宋体"/>
                <w:color w:val="auto"/>
                <w:szCs w:val="21"/>
                <w:highlight w:val="none"/>
              </w:rPr>
              <w:t>发生重伤或直接经济损失30-</w:t>
            </w:r>
            <w:r>
              <w:rPr>
                <w:rFonts w:ascii="宋体" w:hAnsi="宋体"/>
                <w:color w:val="auto"/>
                <w:szCs w:val="21"/>
                <w:highlight w:val="none"/>
              </w:rPr>
              <w:t>100</w:t>
            </w:r>
            <w:r>
              <w:rPr>
                <w:rFonts w:hint="eastAsia" w:ascii="宋体" w:hAnsi="宋体"/>
                <w:color w:val="auto"/>
                <w:szCs w:val="21"/>
                <w:highlight w:val="none"/>
              </w:rPr>
              <w:t>万元的生产安全责任事故；消防出警，社会影响较大，出水或启动灭火设施参与抢险，被立案调查但未受到处罚的事故；发生公司级重大环境污染事故；环保部门抢险，社会影响较大，被立案调查但未受到处罚的环保事故。</w:t>
            </w:r>
          </w:p>
        </w:tc>
        <w:tc>
          <w:tcPr>
            <w:tcW w:w="3503" w:type="dxa"/>
            <w:vAlign w:val="center"/>
          </w:tcPr>
          <w:p w14:paraId="094A6A72">
            <w:pPr>
              <w:jc w:val="center"/>
              <w:rPr>
                <w:rFonts w:ascii="宋体" w:hAnsi="宋体"/>
                <w:color w:val="auto"/>
                <w:szCs w:val="21"/>
                <w:highlight w:val="none"/>
              </w:rPr>
            </w:pPr>
            <w:r>
              <w:rPr>
                <w:rFonts w:ascii="宋体" w:hAnsi="宋体"/>
                <w:color w:val="auto"/>
                <w:szCs w:val="21"/>
                <w:highlight w:val="none"/>
              </w:rPr>
              <w:t>5万元</w:t>
            </w:r>
          </w:p>
        </w:tc>
      </w:tr>
      <w:tr w14:paraId="3C594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6623" w:type="dxa"/>
            <w:vAlign w:val="center"/>
          </w:tcPr>
          <w:p w14:paraId="2D3A919F">
            <w:pPr>
              <w:jc w:val="left"/>
              <w:rPr>
                <w:rFonts w:ascii="宋体" w:hAnsi="宋体"/>
                <w:color w:val="auto"/>
                <w:szCs w:val="21"/>
                <w:highlight w:val="none"/>
              </w:rPr>
            </w:pPr>
            <w:r>
              <w:rPr>
                <w:rFonts w:hint="eastAsia" w:ascii="宋体" w:hAnsi="宋体"/>
                <w:color w:val="auto"/>
                <w:szCs w:val="21"/>
                <w:highlight w:val="none"/>
              </w:rPr>
              <w:t>发生重伤3人、死亡事故或直接经济损失1</w:t>
            </w:r>
            <w:r>
              <w:rPr>
                <w:rFonts w:ascii="宋体" w:hAnsi="宋体"/>
                <w:color w:val="auto"/>
                <w:szCs w:val="21"/>
                <w:highlight w:val="none"/>
              </w:rPr>
              <w:t>00万元及以上安全责任事故的</w:t>
            </w:r>
            <w:r>
              <w:rPr>
                <w:rFonts w:hint="eastAsia" w:ascii="宋体" w:hAnsi="宋体"/>
                <w:color w:val="auto"/>
                <w:szCs w:val="21"/>
                <w:highlight w:val="none"/>
              </w:rPr>
              <w:t>。消防出警，社会影响大，消防出水或启动灭火设施参与抢险，被立案调查且受到处罚的事故；发生公司级特大环境污染事故，环保部门抢险，社会影响大，被立案调查且受到处罚的环保事故。</w:t>
            </w:r>
          </w:p>
        </w:tc>
        <w:tc>
          <w:tcPr>
            <w:tcW w:w="3503" w:type="dxa"/>
            <w:vAlign w:val="center"/>
          </w:tcPr>
          <w:p w14:paraId="12305CA4">
            <w:pPr>
              <w:jc w:val="center"/>
              <w:rPr>
                <w:rFonts w:ascii="宋体" w:hAnsi="宋体"/>
                <w:color w:val="auto"/>
                <w:szCs w:val="21"/>
                <w:highlight w:val="none"/>
              </w:rPr>
            </w:pPr>
            <w:r>
              <w:rPr>
                <w:rFonts w:hint="eastAsia" w:ascii="宋体" w:hAnsi="宋体"/>
                <w:color w:val="auto"/>
                <w:szCs w:val="21"/>
                <w:highlight w:val="none"/>
              </w:rPr>
              <w:t>2</w:t>
            </w:r>
            <w:r>
              <w:rPr>
                <w:rFonts w:ascii="宋体" w:hAnsi="宋体"/>
                <w:color w:val="auto"/>
                <w:szCs w:val="21"/>
                <w:highlight w:val="none"/>
              </w:rPr>
              <w:t>0</w:t>
            </w:r>
            <w:r>
              <w:rPr>
                <w:rFonts w:hint="eastAsia" w:ascii="宋体" w:hAnsi="宋体"/>
                <w:color w:val="auto"/>
                <w:szCs w:val="21"/>
                <w:highlight w:val="none"/>
              </w:rPr>
              <w:t>-</w:t>
            </w:r>
            <w:r>
              <w:rPr>
                <w:rFonts w:ascii="宋体" w:hAnsi="宋体"/>
                <w:color w:val="auto"/>
                <w:szCs w:val="21"/>
                <w:highlight w:val="none"/>
              </w:rPr>
              <w:t>50万元</w:t>
            </w:r>
          </w:p>
        </w:tc>
      </w:tr>
      <w:tr w14:paraId="0A347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0126" w:type="dxa"/>
            <w:gridSpan w:val="2"/>
            <w:vAlign w:val="center"/>
          </w:tcPr>
          <w:p w14:paraId="218EB1ED">
            <w:pPr>
              <w:jc w:val="left"/>
              <w:rPr>
                <w:rFonts w:ascii="宋体" w:hAnsi="宋体"/>
                <w:color w:val="auto"/>
                <w:szCs w:val="21"/>
                <w:highlight w:val="none"/>
              </w:rPr>
            </w:pPr>
            <w:r>
              <w:rPr>
                <w:rFonts w:hint="eastAsia" w:ascii="宋体" w:hAnsi="宋体"/>
                <w:color w:val="auto"/>
                <w:szCs w:val="21"/>
                <w:highlight w:val="none"/>
              </w:rPr>
              <w:t>说明：</w:t>
            </w:r>
          </w:p>
          <w:p w14:paraId="7745E377">
            <w:pPr>
              <w:jc w:val="left"/>
              <w:rPr>
                <w:rFonts w:ascii="宋体" w:hAnsi="宋体"/>
                <w:color w:val="auto"/>
                <w:szCs w:val="21"/>
                <w:highlight w:val="none"/>
              </w:rPr>
            </w:pPr>
            <w:r>
              <w:rPr>
                <w:rFonts w:ascii="宋体" w:hAnsi="宋体"/>
                <w:color w:val="auto"/>
                <w:szCs w:val="21"/>
                <w:highlight w:val="none"/>
              </w:rPr>
              <w:t>1</w:t>
            </w:r>
            <w:r>
              <w:rPr>
                <w:rFonts w:hint="eastAsia" w:ascii="宋体" w:hAnsi="宋体"/>
                <w:color w:val="auto"/>
                <w:szCs w:val="21"/>
                <w:highlight w:val="none"/>
              </w:rPr>
              <w:t>、发生在国家法定节假日、两会等重要特殊时期的事故从严扣款。</w:t>
            </w:r>
          </w:p>
          <w:p w14:paraId="736B4AAD">
            <w:pPr>
              <w:jc w:val="left"/>
              <w:rPr>
                <w:rFonts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rPr>
              <w:t>、谎报、瞒报事故的安全生产履约保证金全额扣除。</w:t>
            </w:r>
          </w:p>
          <w:p w14:paraId="4B7276EB">
            <w:pPr>
              <w:jc w:val="left"/>
              <w:rPr>
                <w:rFonts w:ascii="宋体" w:hAnsi="宋体"/>
                <w:color w:val="auto"/>
                <w:szCs w:val="21"/>
                <w:highlight w:val="none"/>
              </w:rPr>
            </w:pPr>
            <w:r>
              <w:rPr>
                <w:rFonts w:ascii="宋体"/>
                <w:color w:val="auto"/>
                <w:kern w:val="0"/>
                <w:szCs w:val="20"/>
                <w:highlight w:val="none"/>
              </w:rPr>
              <w:t>3</w:t>
            </w:r>
            <w:r>
              <w:rPr>
                <w:rFonts w:hint="eastAsia" w:ascii="宋体"/>
                <w:color w:val="auto"/>
                <w:kern w:val="0"/>
                <w:szCs w:val="20"/>
                <w:highlight w:val="none"/>
              </w:rPr>
              <w:t>、发生安全环保事故</w:t>
            </w:r>
            <w:r>
              <w:rPr>
                <w:rFonts w:ascii="宋体"/>
                <w:color w:val="auto"/>
                <w:kern w:val="0"/>
                <w:szCs w:val="20"/>
                <w:highlight w:val="none"/>
              </w:rPr>
              <w:t>0.5</w:t>
            </w:r>
            <w:r>
              <w:rPr>
                <w:rFonts w:hint="eastAsia" w:ascii="宋体"/>
                <w:color w:val="auto"/>
                <w:kern w:val="0"/>
                <w:szCs w:val="20"/>
                <w:highlight w:val="none"/>
              </w:rPr>
              <w:t>小时内报告到对口管理部门，对口管理部门接报后立即报告到安全环保部。超过报告时限的，</w:t>
            </w:r>
            <w:r>
              <w:rPr>
                <w:rFonts w:ascii="宋体" w:hAnsi="宋体"/>
                <w:color w:val="auto"/>
                <w:szCs w:val="21"/>
                <w:highlight w:val="none"/>
              </w:rPr>
              <w:t xml:space="preserve"> 每次扣安全生产履约保证金</w:t>
            </w:r>
            <w:r>
              <w:rPr>
                <w:rFonts w:hint="eastAsia" w:ascii="宋体" w:hAnsi="宋体"/>
                <w:color w:val="auto"/>
                <w:szCs w:val="21"/>
                <w:highlight w:val="none"/>
              </w:rPr>
              <w:t>5万元。</w:t>
            </w:r>
            <w:r>
              <w:rPr>
                <w:rFonts w:ascii="宋体" w:hAnsi="宋体"/>
                <w:color w:val="auto"/>
                <w:szCs w:val="21"/>
                <w:highlight w:val="none"/>
              </w:rPr>
              <w:t xml:space="preserve"> </w:t>
            </w:r>
          </w:p>
          <w:p w14:paraId="3CB3142A">
            <w:pPr>
              <w:jc w:val="left"/>
              <w:rPr>
                <w:rFonts w:ascii="宋体" w:hAnsi="宋体"/>
                <w:color w:val="auto"/>
                <w:szCs w:val="21"/>
                <w:highlight w:val="none"/>
              </w:rPr>
            </w:pPr>
            <w:r>
              <w:rPr>
                <w:rFonts w:hint="eastAsia" w:ascii="宋体" w:hAnsi="宋体"/>
                <w:color w:val="auto"/>
                <w:szCs w:val="21"/>
                <w:highlight w:val="none"/>
              </w:rPr>
              <w:t>4、交纳的安全生产风险金低于相应扣除标准的，全部扣除。</w:t>
            </w:r>
          </w:p>
        </w:tc>
      </w:tr>
    </w:tbl>
    <w:p w14:paraId="533F69E1">
      <w:pPr>
        <w:pStyle w:val="8"/>
        <w:ind w:left="63" w:right="63"/>
        <w:rPr>
          <w:color w:val="auto"/>
          <w:highlight w:val="none"/>
        </w:rPr>
      </w:pPr>
    </w:p>
    <w:p w14:paraId="237D16C8">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承包人安全施工条件不足，施工作业过程存在重大安全事故隐患，拒不整改或不按期整改的，发包人可以委托相应的单位进行事故隐患整改，所需费用从其安全生产履约保证金中扣除。</w:t>
      </w:r>
    </w:p>
    <w:p w14:paraId="4C77FDAD">
      <w:pPr>
        <w:pStyle w:val="5"/>
        <w:spacing w:before="120" w:after="120" w:line="360" w:lineRule="auto"/>
        <w:rPr>
          <w:rFonts w:ascii="Times New Roman" w:hAnsi="Times New Roman" w:eastAsia="黑体"/>
          <w:b w:val="0"/>
          <w:color w:val="auto"/>
          <w:sz w:val="32"/>
          <w:szCs w:val="32"/>
          <w:highlight w:val="none"/>
        </w:rPr>
      </w:pPr>
      <w:r>
        <w:rPr>
          <w:rFonts w:ascii="Times New Roman" w:hAnsi="Times New Roman" w:eastAsia="黑体"/>
          <w:b w:val="0"/>
          <w:color w:val="auto"/>
          <w:sz w:val="32"/>
          <w:szCs w:val="32"/>
          <w:highlight w:val="none"/>
        </w:rPr>
        <w:t>4</w:t>
      </w:r>
      <w:bookmarkStart w:id="177" w:name="_Toc296891202"/>
      <w:bookmarkStart w:id="178" w:name="_Toc296944501"/>
      <w:bookmarkStart w:id="179" w:name="_Toc292559366"/>
      <w:bookmarkStart w:id="180" w:name="_Toc296890990"/>
      <w:bookmarkStart w:id="181" w:name="_Toc296346663"/>
      <w:bookmarkStart w:id="182" w:name="_Toc267251413"/>
      <w:bookmarkStart w:id="183" w:name="_Toc296347161"/>
      <w:bookmarkStart w:id="184" w:name="_Toc296503162"/>
      <w:bookmarkStart w:id="185" w:name="_Toc297120462"/>
      <w:bookmarkStart w:id="186" w:name="_Toc297048348"/>
      <w:bookmarkStart w:id="187" w:name="_Toc292559871"/>
      <w:r>
        <w:rPr>
          <w:rFonts w:ascii="Times New Roman" w:hAnsi="Times New Roman" w:eastAsia="黑体"/>
          <w:b w:val="0"/>
          <w:color w:val="auto"/>
          <w:sz w:val="32"/>
          <w:szCs w:val="32"/>
          <w:highlight w:val="none"/>
        </w:rPr>
        <w:t>. 监</w:t>
      </w:r>
      <w:bookmarkEnd w:id="177"/>
      <w:bookmarkEnd w:id="178"/>
      <w:bookmarkEnd w:id="179"/>
      <w:bookmarkEnd w:id="180"/>
      <w:bookmarkEnd w:id="181"/>
      <w:bookmarkEnd w:id="182"/>
      <w:bookmarkEnd w:id="183"/>
      <w:bookmarkEnd w:id="184"/>
      <w:bookmarkEnd w:id="185"/>
      <w:bookmarkEnd w:id="186"/>
      <w:bookmarkEnd w:id="187"/>
      <w:r>
        <w:rPr>
          <w:rFonts w:ascii="Times New Roman" w:hAnsi="Times New Roman" w:eastAsia="黑体"/>
          <w:b w:val="0"/>
          <w:color w:val="auto"/>
          <w:sz w:val="32"/>
          <w:szCs w:val="32"/>
          <w:highlight w:val="none"/>
        </w:rPr>
        <w:t>理人</w:t>
      </w:r>
      <w:bookmarkEnd w:id="176"/>
    </w:p>
    <w:p w14:paraId="3FFF9896">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4.1监理人的一般规定</w:t>
      </w:r>
    </w:p>
    <w:p w14:paraId="24CD6B5D">
      <w:pPr>
        <w:spacing w:line="360" w:lineRule="auto"/>
        <w:ind w:firstLine="420"/>
        <w:rPr>
          <w:rFonts w:ascii="宋体" w:hAnsi="宋体"/>
          <w:color w:val="auto"/>
          <w:szCs w:val="21"/>
          <w:highlight w:val="none"/>
        </w:rPr>
      </w:pPr>
      <w:r>
        <w:rPr>
          <w:rFonts w:eastAsia="仿宋_GB2312"/>
          <w:color w:val="auto"/>
          <w:sz w:val="30"/>
          <w:szCs w:val="32"/>
          <w:highlight w:val="none"/>
        </w:rPr>
        <w:t>关于监理人的监理内容：</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包含但不限于督促承包人施工管理制度和质量保证体系的建立、健全与实施；审查承包人提交的施工组织设计、施工技术方案、安全文明施工措施和施工进度计划，并督促实施；组织设计交底，图纸会审，审查设计变更；审核承包人提出的分包工程项目及选择分包的单位；按施工合同付款要求复核已完工程量；设计变更审核，发布施工工程变更令；审查工程使用的原材料、半成品、成品、构配件和设备的质量，必要时进行测试和监控；监督承包人严格按技术和设计文件施工，控制工程质量，重要工程部位督促承包人实施预控措施；抽查工程施工质量，对隐蔽工程进行复验签证，参与工程质量事故的分析及处理；对工程承发包合同的履行实施管理，协助委托人（或者委托的项目管理单位）处理合同纠纷和索赔事宜；督促检查安全生产，文明施工；督促承包单位按合同规定及要求整理施工技术档案资料；认真审核竣工图纸和其他技术文件资料；参与工程竣工验收，对施工质量提出评价意见；审核竣工图纸和其他技术文件资料；负责缺陷责任期内对招标人提出的工程质量缺陷进行检查和记录，对承包人进行修复的工程质量进行验收</w:t>
      </w:r>
      <w:r>
        <w:rPr>
          <w:rFonts w:eastAsia="仿宋_GB2312"/>
          <w:color w:val="auto"/>
          <w:sz w:val="30"/>
          <w:szCs w:val="32"/>
          <w:highlight w:val="none"/>
        </w:rPr>
        <w:t>。</w:t>
      </w:r>
    </w:p>
    <w:p w14:paraId="77F6580C">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关于监理人的监理权限：</w:t>
      </w:r>
    </w:p>
    <w:p w14:paraId="12EE6D16">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1、监理人应履行监理合同规定的职责；</w:t>
      </w:r>
    </w:p>
    <w:p w14:paraId="53401025">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2、监理人可以行使合同规定或合同内含的权利，监理人行使发包人授予的职权，可代表发包人负责监督和检查工程的投资、质量、进度、安全等，及时向承包人提供供工作所需的指令。监理人无权免除合同任何一方在合同履行期间应尽的任何责任和义务；</w:t>
      </w:r>
    </w:p>
    <w:p w14:paraId="6A661748">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3、总监理工程师签发的任何付款凭证、签证单、核定单、工程设计变更、工程造价变更、工程延期等均需经发包人核定。</w:t>
      </w:r>
    </w:p>
    <w:p w14:paraId="2FBC1912">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u w:val="single"/>
        </w:rPr>
        <w:t>4、</w:t>
      </w:r>
      <w:r>
        <w:rPr>
          <w:rFonts w:hint="eastAsia" w:eastAsia="仿宋_GB2312"/>
          <w:color w:val="auto"/>
          <w:sz w:val="30"/>
          <w:szCs w:val="32"/>
          <w:highlight w:val="none"/>
          <w:u w:val="single"/>
        </w:rPr>
        <w:t>监理单位对承包人如下违约行为进行索赔：①、质量行为不规范，且经现场监理人员提出后屡教不改的；②、安全行为不规范，且经现场监理人员提出后屡教不改的；</w:t>
      </w:r>
    </w:p>
    <w:p w14:paraId="60D74AD6">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关于监理人在施工现场的办公场所、生活场所的提供和费用承担的约定：</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由发包人提供，费用由发包人承担</w:t>
      </w:r>
      <w:r>
        <w:rPr>
          <w:rFonts w:eastAsia="仿宋_GB2312"/>
          <w:color w:val="auto"/>
          <w:sz w:val="30"/>
          <w:szCs w:val="32"/>
          <w:highlight w:val="none"/>
          <w:u w:val="single"/>
        </w:rPr>
        <w:t xml:space="preserve">  </w:t>
      </w:r>
      <w:r>
        <w:rPr>
          <w:rFonts w:eastAsia="仿宋_GB2312"/>
          <w:color w:val="auto"/>
          <w:sz w:val="30"/>
          <w:szCs w:val="32"/>
          <w:highlight w:val="none"/>
        </w:rPr>
        <w:t>。</w:t>
      </w:r>
    </w:p>
    <w:p w14:paraId="0D89D0A7">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4.2 监理人员</w:t>
      </w:r>
    </w:p>
    <w:p w14:paraId="10D32A73">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总监理工程师：</w:t>
      </w:r>
    </w:p>
    <w:p w14:paraId="46855827">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姓    名：</w:t>
      </w:r>
      <w:r>
        <w:rPr>
          <w:rFonts w:eastAsia="仿宋_GB2312"/>
          <w:color w:val="auto"/>
          <w:sz w:val="30"/>
          <w:szCs w:val="30"/>
          <w:highlight w:val="none"/>
          <w:u w:val="single"/>
        </w:rPr>
        <w:t xml:space="preserve">                                   </w:t>
      </w:r>
      <w:r>
        <w:rPr>
          <w:rFonts w:eastAsia="仿宋_GB2312"/>
          <w:color w:val="auto"/>
          <w:sz w:val="30"/>
          <w:szCs w:val="32"/>
          <w:highlight w:val="none"/>
        </w:rPr>
        <w:t>；</w:t>
      </w:r>
    </w:p>
    <w:p w14:paraId="3F0D0EFE">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职    务：</w:t>
      </w:r>
      <w:r>
        <w:rPr>
          <w:rFonts w:eastAsia="仿宋_GB2312"/>
          <w:color w:val="auto"/>
          <w:sz w:val="30"/>
          <w:szCs w:val="30"/>
          <w:highlight w:val="none"/>
          <w:u w:val="single"/>
        </w:rPr>
        <w:t xml:space="preserve">                                   </w:t>
      </w:r>
      <w:r>
        <w:rPr>
          <w:rFonts w:eastAsia="仿宋_GB2312"/>
          <w:color w:val="auto"/>
          <w:sz w:val="30"/>
          <w:szCs w:val="32"/>
          <w:highlight w:val="none"/>
        </w:rPr>
        <w:t>；</w:t>
      </w:r>
    </w:p>
    <w:p w14:paraId="0EE1D163">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监理工程师执业资格证书号：</w:t>
      </w:r>
      <w:r>
        <w:rPr>
          <w:rFonts w:eastAsia="仿宋_GB2312"/>
          <w:color w:val="auto"/>
          <w:sz w:val="30"/>
          <w:szCs w:val="30"/>
          <w:highlight w:val="none"/>
          <w:u w:val="single"/>
        </w:rPr>
        <w:t xml:space="preserve">                   </w:t>
      </w:r>
      <w:r>
        <w:rPr>
          <w:rFonts w:eastAsia="仿宋_GB2312"/>
          <w:color w:val="auto"/>
          <w:sz w:val="30"/>
          <w:szCs w:val="32"/>
          <w:highlight w:val="none"/>
        </w:rPr>
        <w:t>；</w:t>
      </w:r>
    </w:p>
    <w:p w14:paraId="55081F43">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联系电话：</w:t>
      </w:r>
      <w:r>
        <w:rPr>
          <w:rFonts w:eastAsia="仿宋_GB2312"/>
          <w:color w:val="auto"/>
          <w:sz w:val="30"/>
          <w:szCs w:val="30"/>
          <w:highlight w:val="none"/>
          <w:u w:val="single"/>
        </w:rPr>
        <w:t xml:space="preserve">                                   </w:t>
      </w:r>
      <w:r>
        <w:rPr>
          <w:rFonts w:eastAsia="仿宋_GB2312"/>
          <w:color w:val="auto"/>
          <w:sz w:val="30"/>
          <w:szCs w:val="32"/>
          <w:highlight w:val="none"/>
        </w:rPr>
        <w:t>；</w:t>
      </w:r>
    </w:p>
    <w:p w14:paraId="67FC01FA">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电子信箱：</w:t>
      </w:r>
      <w:r>
        <w:rPr>
          <w:rFonts w:eastAsia="仿宋_GB2312"/>
          <w:color w:val="auto"/>
          <w:sz w:val="30"/>
          <w:szCs w:val="30"/>
          <w:highlight w:val="none"/>
          <w:u w:val="single"/>
        </w:rPr>
        <w:t xml:space="preserve">                                   </w:t>
      </w:r>
      <w:r>
        <w:rPr>
          <w:rFonts w:eastAsia="仿宋_GB2312"/>
          <w:color w:val="auto"/>
          <w:sz w:val="30"/>
          <w:szCs w:val="32"/>
          <w:highlight w:val="none"/>
        </w:rPr>
        <w:t>；</w:t>
      </w:r>
    </w:p>
    <w:p w14:paraId="6C3C5046">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通信地址：</w:t>
      </w:r>
      <w:r>
        <w:rPr>
          <w:rFonts w:eastAsia="仿宋_GB2312"/>
          <w:color w:val="auto"/>
          <w:sz w:val="30"/>
          <w:szCs w:val="30"/>
          <w:highlight w:val="none"/>
          <w:u w:val="single"/>
        </w:rPr>
        <w:t xml:space="preserve">                                   </w:t>
      </w:r>
      <w:r>
        <w:rPr>
          <w:rFonts w:eastAsia="仿宋_GB2312"/>
          <w:color w:val="auto"/>
          <w:sz w:val="30"/>
          <w:szCs w:val="32"/>
          <w:highlight w:val="none"/>
        </w:rPr>
        <w:t>；</w:t>
      </w:r>
    </w:p>
    <w:p w14:paraId="6DFAD0F9">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关于监理人的其他约定：</w:t>
      </w:r>
      <w:r>
        <w:rPr>
          <w:rFonts w:eastAsia="仿宋_GB2312"/>
          <w:color w:val="auto"/>
          <w:sz w:val="30"/>
          <w:szCs w:val="30"/>
          <w:highlight w:val="none"/>
          <w:u w:val="single"/>
        </w:rPr>
        <w:t xml:space="preserve">                       </w:t>
      </w:r>
      <w:r>
        <w:rPr>
          <w:rFonts w:eastAsia="仿宋_GB2312"/>
          <w:color w:val="auto"/>
          <w:sz w:val="30"/>
          <w:szCs w:val="32"/>
          <w:highlight w:val="none"/>
        </w:rPr>
        <w:t>。</w:t>
      </w:r>
    </w:p>
    <w:p w14:paraId="369E18BB">
      <w:pPr>
        <w:pStyle w:val="5"/>
        <w:spacing w:before="120" w:after="120" w:line="360" w:lineRule="auto"/>
        <w:rPr>
          <w:rFonts w:ascii="Times New Roman" w:hAnsi="Times New Roman" w:eastAsia="黑体"/>
          <w:b w:val="0"/>
          <w:color w:val="auto"/>
          <w:sz w:val="32"/>
          <w:szCs w:val="32"/>
          <w:highlight w:val="none"/>
        </w:rPr>
      </w:pPr>
      <w:bookmarkStart w:id="188" w:name="_Toc267251418"/>
      <w:bookmarkStart w:id="189" w:name="_Toc351203637"/>
      <w:r>
        <w:rPr>
          <w:rFonts w:ascii="Times New Roman" w:hAnsi="Times New Roman" w:eastAsia="黑体"/>
          <w:b w:val="0"/>
          <w:color w:val="auto"/>
          <w:sz w:val="32"/>
          <w:szCs w:val="32"/>
          <w:highlight w:val="none"/>
        </w:rPr>
        <w:t>5</w:t>
      </w:r>
      <w:bookmarkEnd w:id="188"/>
      <w:bookmarkStart w:id="190" w:name="_Toc296347162"/>
      <w:bookmarkStart w:id="191" w:name="_Toc296346664"/>
      <w:bookmarkStart w:id="192" w:name="_Toc297048349"/>
      <w:bookmarkStart w:id="193" w:name="_Toc296891203"/>
      <w:bookmarkStart w:id="194" w:name="_Toc296890991"/>
      <w:bookmarkStart w:id="195" w:name="_Toc296944502"/>
      <w:bookmarkStart w:id="196" w:name="_Toc296503163"/>
      <w:bookmarkStart w:id="197" w:name="_Toc292559367"/>
      <w:bookmarkStart w:id="198" w:name="_Toc292559872"/>
      <w:bookmarkStart w:id="199" w:name="_Toc297120463"/>
      <w:r>
        <w:rPr>
          <w:rFonts w:ascii="Times New Roman" w:hAnsi="Times New Roman" w:eastAsia="黑体"/>
          <w:b w:val="0"/>
          <w:color w:val="auto"/>
          <w:sz w:val="32"/>
          <w:szCs w:val="32"/>
          <w:highlight w:val="none"/>
        </w:rPr>
        <w:t>. 工程质量</w:t>
      </w:r>
      <w:bookmarkEnd w:id="189"/>
    </w:p>
    <w:p w14:paraId="597343BB">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5.1 质量要求</w:t>
      </w:r>
    </w:p>
    <w:p w14:paraId="36831E9B">
      <w:pPr>
        <w:spacing w:line="360" w:lineRule="auto"/>
        <w:jc w:val="left"/>
        <w:rPr>
          <w:rFonts w:eastAsia="仿宋_GB2312"/>
          <w:color w:val="auto"/>
          <w:sz w:val="30"/>
          <w:szCs w:val="32"/>
          <w:highlight w:val="none"/>
        </w:rPr>
      </w:pPr>
      <w:r>
        <w:rPr>
          <w:rFonts w:eastAsia="仿宋_GB2312"/>
          <w:color w:val="auto"/>
          <w:sz w:val="30"/>
          <w:szCs w:val="32"/>
          <w:highlight w:val="none"/>
        </w:rPr>
        <w:t>5</w:t>
      </w:r>
      <w:bookmarkStart w:id="200" w:name="_Toc312677997"/>
      <w:bookmarkStart w:id="201" w:name="_Toc304295527"/>
      <w:bookmarkStart w:id="202" w:name="_Toc297216155"/>
      <w:bookmarkStart w:id="203" w:name="_Toc318581164"/>
      <w:bookmarkStart w:id="204" w:name="_Toc297123496"/>
      <w:bookmarkStart w:id="205" w:name="_Toc300934949"/>
      <w:bookmarkStart w:id="206" w:name="_Toc303539106"/>
      <w:r>
        <w:rPr>
          <w:rFonts w:eastAsia="仿宋_GB2312"/>
          <w:color w:val="auto"/>
          <w:sz w:val="30"/>
          <w:szCs w:val="32"/>
          <w:highlight w:val="none"/>
        </w:rPr>
        <w:t>.1.1 特殊质量标准和要求：</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由承包人与发包人另行协商</w:t>
      </w:r>
      <w:r>
        <w:rPr>
          <w:rFonts w:eastAsia="仿宋_GB2312"/>
          <w:color w:val="auto"/>
          <w:sz w:val="30"/>
          <w:szCs w:val="32"/>
          <w:highlight w:val="none"/>
          <w:u w:val="single"/>
        </w:rPr>
        <w:t xml:space="preserve">  </w:t>
      </w:r>
      <w:r>
        <w:rPr>
          <w:rFonts w:eastAsia="仿宋_GB2312"/>
          <w:color w:val="auto"/>
          <w:sz w:val="30"/>
          <w:szCs w:val="32"/>
          <w:highlight w:val="none"/>
        </w:rPr>
        <w:t>。</w:t>
      </w:r>
    </w:p>
    <w:p w14:paraId="328F1F52">
      <w:pPr>
        <w:spacing w:line="360" w:lineRule="auto"/>
        <w:jc w:val="left"/>
        <w:rPr>
          <w:rFonts w:eastAsia="黑体"/>
          <w:color w:val="auto"/>
          <w:sz w:val="30"/>
          <w:szCs w:val="32"/>
          <w:highlight w:val="none"/>
        </w:rPr>
      </w:pPr>
      <w:r>
        <w:rPr>
          <w:rFonts w:eastAsia="仿宋_GB2312"/>
          <w:color w:val="auto"/>
          <w:sz w:val="30"/>
          <w:szCs w:val="32"/>
          <w:highlight w:val="none"/>
        </w:rPr>
        <w:t>关于工程奖项的约定：</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无</w:t>
      </w:r>
      <w:r>
        <w:rPr>
          <w:rFonts w:eastAsia="仿宋_GB2312"/>
          <w:color w:val="auto"/>
          <w:sz w:val="30"/>
          <w:szCs w:val="32"/>
          <w:highlight w:val="none"/>
          <w:u w:val="single"/>
        </w:rPr>
        <w:t xml:space="preserve">   </w:t>
      </w:r>
      <w:r>
        <w:rPr>
          <w:rFonts w:eastAsia="仿宋_GB2312"/>
          <w:color w:val="auto"/>
          <w:sz w:val="30"/>
          <w:szCs w:val="32"/>
          <w:highlight w:val="none"/>
        </w:rPr>
        <w:t>。</w:t>
      </w:r>
    </w:p>
    <w:p w14:paraId="227E4BCE">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5.3 隐蔽工程检查</w:t>
      </w:r>
    </w:p>
    <w:p w14:paraId="152E5174">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5.3.2承包人提前通知监理人、</w:t>
      </w:r>
      <w:r>
        <w:rPr>
          <w:rFonts w:hint="eastAsia" w:eastAsia="仿宋_GB2312"/>
          <w:color w:val="auto"/>
          <w:sz w:val="30"/>
          <w:szCs w:val="32"/>
          <w:highlight w:val="none"/>
        </w:rPr>
        <w:t>发包人</w:t>
      </w:r>
      <w:r>
        <w:rPr>
          <w:rFonts w:eastAsia="仿宋_GB2312"/>
          <w:color w:val="auto"/>
          <w:sz w:val="30"/>
          <w:szCs w:val="32"/>
          <w:highlight w:val="none"/>
        </w:rPr>
        <w:t>隐蔽工程检查的期限的约定：</w:t>
      </w:r>
      <w:r>
        <w:rPr>
          <w:rFonts w:eastAsia="仿宋_GB2312"/>
          <w:color w:val="auto"/>
          <w:sz w:val="30"/>
          <w:szCs w:val="32"/>
          <w:highlight w:val="none"/>
          <w:u w:val="single"/>
        </w:rPr>
        <w:t>承包人应在</w:t>
      </w:r>
      <w:r>
        <w:rPr>
          <w:rFonts w:hint="eastAsia" w:eastAsia="仿宋_GB2312"/>
          <w:color w:val="auto"/>
          <w:sz w:val="30"/>
          <w:szCs w:val="32"/>
          <w:highlight w:val="none"/>
          <w:u w:val="single"/>
        </w:rPr>
        <w:t>共同</w:t>
      </w:r>
      <w:r>
        <w:rPr>
          <w:rFonts w:eastAsia="仿宋_GB2312"/>
          <w:color w:val="auto"/>
          <w:sz w:val="30"/>
          <w:szCs w:val="32"/>
          <w:highlight w:val="none"/>
          <w:u w:val="single"/>
        </w:rPr>
        <w:t>检查前</w:t>
      </w:r>
      <w:r>
        <w:rPr>
          <w:rFonts w:hint="eastAsia" w:eastAsia="仿宋_GB2312"/>
          <w:color w:val="auto"/>
          <w:sz w:val="30"/>
          <w:szCs w:val="32"/>
          <w:highlight w:val="none"/>
          <w:u w:val="single"/>
        </w:rPr>
        <w:t>48</w:t>
      </w:r>
      <w:r>
        <w:rPr>
          <w:rFonts w:eastAsia="仿宋_GB2312"/>
          <w:color w:val="auto"/>
          <w:sz w:val="30"/>
          <w:szCs w:val="32"/>
          <w:highlight w:val="none"/>
          <w:u w:val="single"/>
        </w:rPr>
        <w:t>小时书面通知</w:t>
      </w:r>
      <w:r>
        <w:rPr>
          <w:rFonts w:hint="eastAsia" w:eastAsia="仿宋_GB2312"/>
          <w:color w:val="auto"/>
          <w:sz w:val="30"/>
          <w:szCs w:val="32"/>
          <w:highlight w:val="none"/>
          <w:u w:val="single"/>
        </w:rPr>
        <w:t>监理人、发包人</w:t>
      </w:r>
      <w:r>
        <w:rPr>
          <w:rFonts w:eastAsia="仿宋_GB2312"/>
          <w:color w:val="auto"/>
          <w:sz w:val="30"/>
          <w:szCs w:val="32"/>
          <w:highlight w:val="none"/>
          <w:u w:val="single"/>
        </w:rPr>
        <w:t>检查，通知中应载明隐蔽检查的内容、时间和地点，并应附有自检记录和必要的检查资料</w:t>
      </w:r>
      <w:r>
        <w:rPr>
          <w:rFonts w:hint="eastAsia" w:eastAsia="仿宋_GB2312"/>
          <w:color w:val="auto"/>
          <w:sz w:val="30"/>
          <w:szCs w:val="32"/>
          <w:highlight w:val="none"/>
          <w:u w:val="single"/>
        </w:rPr>
        <w:t xml:space="preserve">  </w:t>
      </w:r>
      <w:r>
        <w:rPr>
          <w:rFonts w:eastAsia="仿宋_GB2312"/>
          <w:color w:val="auto"/>
          <w:sz w:val="30"/>
          <w:szCs w:val="32"/>
          <w:highlight w:val="none"/>
          <w:u w:val="single"/>
        </w:rPr>
        <w:t xml:space="preserve">  </w:t>
      </w:r>
      <w:r>
        <w:rPr>
          <w:rFonts w:eastAsia="仿宋_GB2312"/>
          <w:color w:val="auto"/>
          <w:sz w:val="30"/>
          <w:szCs w:val="32"/>
          <w:highlight w:val="none"/>
        </w:rPr>
        <w:t>。</w:t>
      </w:r>
    </w:p>
    <w:p w14:paraId="1AC495AF">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监理人</w:t>
      </w:r>
      <w:r>
        <w:rPr>
          <w:rFonts w:hint="eastAsia" w:eastAsia="仿宋_GB2312"/>
          <w:color w:val="auto"/>
          <w:sz w:val="30"/>
          <w:szCs w:val="32"/>
          <w:highlight w:val="none"/>
        </w:rPr>
        <w:t>或发包人</w:t>
      </w:r>
      <w:r>
        <w:rPr>
          <w:rFonts w:eastAsia="仿宋_GB2312"/>
          <w:color w:val="auto"/>
          <w:sz w:val="30"/>
          <w:szCs w:val="32"/>
          <w:highlight w:val="none"/>
        </w:rPr>
        <w:t>不能按时进行检查时，应提前</w:t>
      </w:r>
      <w:r>
        <w:rPr>
          <w:rFonts w:eastAsia="仿宋_GB2312"/>
          <w:color w:val="auto"/>
          <w:sz w:val="30"/>
          <w:szCs w:val="32"/>
          <w:highlight w:val="none"/>
          <w:u w:val="single"/>
        </w:rPr>
        <w:t xml:space="preserve">  24  </w:t>
      </w:r>
      <w:r>
        <w:rPr>
          <w:rFonts w:eastAsia="仿宋_GB2312"/>
          <w:color w:val="auto"/>
          <w:sz w:val="30"/>
          <w:szCs w:val="32"/>
          <w:highlight w:val="none"/>
        </w:rPr>
        <w:t>小时提交书面延期要求。</w:t>
      </w:r>
    </w:p>
    <w:p w14:paraId="5BB36CBB">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关于延期最长不得超过：</w:t>
      </w:r>
      <w:r>
        <w:rPr>
          <w:rFonts w:eastAsia="仿宋_GB2312"/>
          <w:color w:val="auto"/>
          <w:sz w:val="30"/>
          <w:szCs w:val="32"/>
          <w:highlight w:val="none"/>
          <w:u w:val="single"/>
        </w:rPr>
        <w:t xml:space="preserve">   48  </w:t>
      </w:r>
      <w:r>
        <w:rPr>
          <w:rFonts w:eastAsia="仿宋_GB2312"/>
          <w:color w:val="auto"/>
          <w:sz w:val="30"/>
          <w:szCs w:val="32"/>
          <w:highlight w:val="none"/>
        </w:rPr>
        <w:t>小时。</w:t>
      </w:r>
    </w:p>
    <w:p w14:paraId="2B574323">
      <w:pPr>
        <w:pStyle w:val="5"/>
        <w:spacing w:before="120" w:after="120" w:line="360" w:lineRule="auto"/>
        <w:rPr>
          <w:rFonts w:ascii="Times New Roman" w:hAnsi="Times New Roman" w:eastAsia="黑体"/>
          <w:b w:val="0"/>
          <w:color w:val="auto"/>
          <w:sz w:val="32"/>
          <w:szCs w:val="32"/>
          <w:highlight w:val="none"/>
        </w:rPr>
      </w:pPr>
      <w:bookmarkStart w:id="207" w:name="_Toc351203638"/>
      <w:r>
        <w:rPr>
          <w:rFonts w:ascii="Times New Roman" w:hAnsi="Times New Roman" w:eastAsia="黑体"/>
          <w:b w:val="0"/>
          <w:color w:val="auto"/>
          <w:sz w:val="32"/>
          <w:szCs w:val="32"/>
          <w:highlight w:val="none"/>
        </w:rPr>
        <w:t>6. 安全文明施工与环境保护</w:t>
      </w:r>
      <w:bookmarkEnd w:id="207"/>
    </w:p>
    <w:p w14:paraId="6F66DEF4">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6.1安全文明施工</w:t>
      </w:r>
    </w:p>
    <w:p w14:paraId="26144F3C">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rPr>
        <w:t>6.1.1 项目安全生产的达标目标及相应事项的约定</w:t>
      </w:r>
      <w:r>
        <w:rPr>
          <w:rFonts w:hint="eastAsia" w:eastAsia="仿宋_GB2312"/>
          <w:color w:val="auto"/>
          <w:sz w:val="30"/>
          <w:szCs w:val="32"/>
          <w:highlight w:val="none"/>
        </w:rPr>
        <w:t>包括但不限于</w:t>
      </w:r>
      <w:r>
        <w:rPr>
          <w:rFonts w:eastAsia="仿宋_GB2312"/>
          <w:color w:val="auto"/>
          <w:sz w:val="30"/>
          <w:szCs w:val="32"/>
          <w:highlight w:val="none"/>
        </w:rPr>
        <w:t>：</w:t>
      </w:r>
      <w:r>
        <w:rPr>
          <w:rFonts w:hint="eastAsia" w:eastAsia="仿宋_GB2312"/>
          <w:color w:val="auto"/>
          <w:sz w:val="30"/>
          <w:szCs w:val="32"/>
          <w:highlight w:val="none"/>
          <w:u w:val="single"/>
        </w:rPr>
        <w:t>1、承包人应按照国家有关安全生产、文明施工、环境保护的法律、行政法规、部门规章，以及重庆市有关安全生产、文明施工、环境保护的地方法规、条例和规章，并遵照重庆市工程建设标准《建筑工程安全文明工地建设标准》（DBJ50/T-442-2023）的规定进行工程安全生产、文明施工和环境保护，遵守发包方安全生产方针、规章指令，杜绝发生重大安全事故；</w:t>
      </w:r>
    </w:p>
    <w:p w14:paraId="25FBB48E">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2、承包人应策划组织实施方案，建立施工项目的风险分级防控和隐患排查治理工作，杜绝发生亡人事故及重伤事故，轻伤事故率应控制在5‰以内，安全培训完成率100%，隐患整改完成率100%，无火灾事故，无疫情事故发生。承包人应以此建立安全目标责任体系，并组织责任体系的有效实施；</w:t>
      </w:r>
    </w:p>
    <w:p w14:paraId="721CD4BA">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3、对施工中的地上地下建筑物(构筑物)管线、电力设施、相关的生产等设施应按有关规定加强监控测量和保护，未经发包人许可不得动用生产相关的水、电、气、消防等设施，因保护不当造成的损失及法律责任由承包人承担赔偿由此造成的直接经济损失和违约责任；</w:t>
      </w:r>
    </w:p>
    <w:p w14:paraId="7D30BBE7">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4、承包人应确保安全投入，不得挪用安全文明施工费用，建立安全文明施工费用台账，专款专用，接受发包方检查；</w:t>
      </w:r>
    </w:p>
    <w:p w14:paraId="09AC9C66">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5、施工机械设备进场前，应做好清洁、保养和维护工作。进出车辆应有专人打扫、清洗。有密封要求的按规定必须达到；</w:t>
      </w:r>
    </w:p>
    <w:p w14:paraId="178C4304">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6、做到进入现场的施工和作业人员统一着装，佩证上岗，文明施工；</w:t>
      </w:r>
    </w:p>
    <w:p w14:paraId="2C0F8935">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7、承包人应配合发包方组织的安全、消防、职业健康、疫情防控等活动开展，发包人将不定期检查承包商HSE(健康、安全、环境)管理体系运行情况，承包人应安排专人配合进行，不得顶撞、殴打、谩骂检查人员，发现不符合规定的，除责令整改外，每次扣承包人违约金三千元；</w:t>
      </w:r>
    </w:p>
    <w:p w14:paraId="5994E9C3">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8、现场施工污水排放必须达标并定点排放，造成环境污染的责任由承包人承担；</w:t>
      </w:r>
    </w:p>
    <w:p w14:paraId="06602CE1">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9、</w:t>
      </w:r>
      <w:r>
        <w:rPr>
          <w:rFonts w:eastAsia="仿宋_GB2312"/>
          <w:color w:val="auto"/>
          <w:sz w:val="30"/>
          <w:szCs w:val="32"/>
          <w:highlight w:val="none"/>
          <w:u w:val="single"/>
        </w:rPr>
        <w:t>承包人知晓并承诺遵守发包人规章制度、安全注意事项。承包人在发包人处的人身、财产安全由承包人自行负责</w:t>
      </w:r>
      <w:r>
        <w:rPr>
          <w:rFonts w:hint="eastAsia" w:eastAsia="仿宋_GB2312"/>
          <w:color w:val="auto"/>
          <w:sz w:val="30"/>
          <w:szCs w:val="32"/>
          <w:highlight w:val="none"/>
          <w:u w:val="single"/>
          <w:lang w:eastAsia="zh-CN"/>
        </w:rPr>
        <w:t>；</w:t>
      </w:r>
      <w:r>
        <w:rPr>
          <w:rFonts w:hint="eastAsia" w:eastAsia="仿宋_GB2312"/>
          <w:color w:val="auto"/>
          <w:sz w:val="30"/>
          <w:szCs w:val="32"/>
          <w:highlight w:val="none"/>
          <w:u w:val="single"/>
        </w:rPr>
        <w:t xml:space="preserve">   </w:t>
      </w:r>
    </w:p>
    <w:p w14:paraId="2AA88E0C">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u w:val="single"/>
        </w:rPr>
        <w:t>10、</w:t>
      </w:r>
      <w:r>
        <w:rPr>
          <w:rFonts w:hint="eastAsia" w:eastAsia="仿宋_GB2312"/>
          <w:color w:val="auto"/>
          <w:sz w:val="30"/>
          <w:szCs w:val="32"/>
          <w:highlight w:val="none"/>
          <w:u w:val="single"/>
        </w:rPr>
        <w:t>承包人应参加发包人组织的入场安全培训，监督入场人员遵守培训规定，经考核合格后方可入场。承包人应建立项目安全培训制度，确保入场人员意识和技能符合岗位需要；</w:t>
      </w:r>
    </w:p>
    <w:p w14:paraId="44FF9700">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u w:val="single"/>
        </w:rPr>
        <w:t>11、</w:t>
      </w:r>
      <w:r>
        <w:rPr>
          <w:rFonts w:hint="eastAsia" w:eastAsia="仿宋_GB2312"/>
          <w:color w:val="auto"/>
          <w:sz w:val="30"/>
          <w:szCs w:val="32"/>
          <w:highlight w:val="none"/>
          <w:u w:val="single"/>
        </w:rPr>
        <w:t>承包人应建立对责任范围内的治安保卫制度，确保自身财产安全，施工期间，发包人对承包人的财产遗失、损毁不承担责任。应遵守发包人的治安管理制度，发现有违规行为的按照附件相关条款承担违约责任。 与其余承包商在同一区域内作业时应签订《交叉作业协议》；</w:t>
      </w:r>
    </w:p>
    <w:p w14:paraId="393185BA">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u w:val="single"/>
        </w:rPr>
        <w:t>12、</w:t>
      </w:r>
      <w:r>
        <w:rPr>
          <w:rFonts w:hint="eastAsia" w:eastAsia="仿宋_GB2312"/>
          <w:color w:val="auto"/>
          <w:sz w:val="30"/>
          <w:szCs w:val="32"/>
          <w:highlight w:val="none"/>
          <w:u w:val="single"/>
        </w:rPr>
        <w:t>承包人在场内发生的安全、消防、环保事故，应在知道情况后30分钟内如实报送到发包方代表处，并立即开展事故救援和处置</w:t>
      </w:r>
      <w:r>
        <w:rPr>
          <w:rFonts w:eastAsia="仿宋_GB2312"/>
          <w:color w:val="auto"/>
          <w:sz w:val="30"/>
          <w:szCs w:val="32"/>
          <w:highlight w:val="none"/>
          <w:u w:val="single"/>
        </w:rPr>
        <w:t>；</w:t>
      </w:r>
    </w:p>
    <w:p w14:paraId="4FE7DC9F">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13、本工程施工过程中产生的建筑垃圾，承包人必须运送至经行政主管部门核准的合法消纳场（渣场） 进行倾倒，严禁擅自倾倒、抛撒或者堆放，严禁将建筑垃圾交由无资质单位或个人处置。若发现承包人存在未合法倾倒建筑垃圾行为，发包人将按每次处以50000元的罚款，罚款将从当期工程进度款中直接扣除。累计发生2次违规行为或单次违规造成恶劣影响的，发包人有权暂停支付工程进度款，直至承包人完成整改并提供合法证明为止；情节严重的，可以解除合同；</w:t>
      </w:r>
    </w:p>
    <w:p w14:paraId="0F2F3D5F">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14、因承包人未合法倾倒建筑垃圾导致的一切损失及责任，由承包人承担，包括但不限于：</w:t>
      </w:r>
    </w:p>
    <w:p w14:paraId="48ACA079">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（1）.行政主管部门对发包人及承包人的罚款、滞纳金；</w:t>
      </w:r>
    </w:p>
    <w:p w14:paraId="2FC9647A">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（2）.因违规倾倒造成的环境污染、第三方财产损失或人身损害的赔偿款；</w:t>
      </w:r>
    </w:p>
    <w:p w14:paraId="69DBC657">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（3）.发包人因处理违规事宜支出的律师费、诉讼费、鉴定费等维权费用；</w:t>
      </w:r>
    </w:p>
    <w:p w14:paraId="757B6C26">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（4）.其他因承包人未合法倾倒建筑垃圾导致的一切费用。</w:t>
      </w:r>
    </w:p>
    <w:p w14:paraId="5DB85087">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u w:val="single"/>
        </w:rPr>
        <w:t>1</w:t>
      </w:r>
      <w:r>
        <w:rPr>
          <w:rFonts w:hint="eastAsia" w:eastAsia="仿宋_GB2312"/>
          <w:color w:val="auto"/>
          <w:sz w:val="30"/>
          <w:szCs w:val="32"/>
          <w:highlight w:val="none"/>
          <w:u w:val="single"/>
        </w:rPr>
        <w:t>5</w:t>
      </w:r>
      <w:r>
        <w:rPr>
          <w:rFonts w:eastAsia="仿宋_GB2312"/>
          <w:color w:val="auto"/>
          <w:sz w:val="30"/>
          <w:szCs w:val="32"/>
          <w:highlight w:val="none"/>
          <w:u w:val="single"/>
        </w:rPr>
        <w:t>、</w:t>
      </w:r>
      <w:r>
        <w:rPr>
          <w:rFonts w:hint="eastAsia" w:eastAsia="仿宋_GB2312"/>
          <w:color w:val="auto"/>
          <w:sz w:val="30"/>
          <w:szCs w:val="32"/>
          <w:highlight w:val="none"/>
          <w:u w:val="single"/>
        </w:rPr>
        <w:t>安全文明施工的相应条款及违约处理见本合同附件《安全环保协议》</w:t>
      </w:r>
      <w:r>
        <w:rPr>
          <w:rFonts w:eastAsia="仿宋_GB2312"/>
          <w:color w:val="auto"/>
          <w:sz w:val="30"/>
          <w:szCs w:val="32"/>
          <w:highlight w:val="none"/>
          <w:u w:val="single"/>
        </w:rPr>
        <w:t>。</w:t>
      </w:r>
    </w:p>
    <w:p w14:paraId="0F282114">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rPr>
        <w:t>6.1.4 关于治安保卫的特别约定：</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现场治安管理机构或联防组织的组建由承包人负责</w:t>
      </w:r>
      <w:r>
        <w:rPr>
          <w:rFonts w:eastAsia="仿宋_GB2312"/>
          <w:color w:val="auto"/>
          <w:sz w:val="30"/>
          <w:szCs w:val="32"/>
          <w:highlight w:val="none"/>
          <w:u w:val="single"/>
        </w:rPr>
        <w:t xml:space="preserve">  </w:t>
      </w:r>
      <w:r>
        <w:rPr>
          <w:rFonts w:eastAsia="仿宋_GB2312"/>
          <w:color w:val="auto"/>
          <w:sz w:val="30"/>
          <w:szCs w:val="32"/>
          <w:highlight w:val="none"/>
        </w:rPr>
        <w:t>。</w:t>
      </w:r>
    </w:p>
    <w:p w14:paraId="683B9D91">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关于编制施工场地治安管理计划的约定：</w:t>
      </w:r>
      <w:r>
        <w:rPr>
          <w:rFonts w:hint="eastAsia" w:eastAsia="仿宋_GB2312"/>
          <w:color w:val="auto"/>
          <w:sz w:val="30"/>
          <w:szCs w:val="32"/>
          <w:highlight w:val="none"/>
          <w:u w:val="single"/>
        </w:rPr>
        <w:t>由承包人编制，并由承包人承担施工安全保卫工作及非夜间施工照明安全保卫工作</w:t>
      </w:r>
      <w:r>
        <w:rPr>
          <w:rFonts w:eastAsia="仿宋_GB2312"/>
          <w:color w:val="auto"/>
          <w:sz w:val="30"/>
          <w:szCs w:val="32"/>
          <w:highlight w:val="none"/>
          <w:u w:val="single"/>
        </w:rPr>
        <w:t xml:space="preserve">   </w:t>
      </w:r>
      <w:r>
        <w:rPr>
          <w:rFonts w:eastAsia="仿宋_GB2312"/>
          <w:color w:val="auto"/>
          <w:sz w:val="30"/>
          <w:szCs w:val="32"/>
          <w:highlight w:val="none"/>
        </w:rPr>
        <w:t>。</w:t>
      </w:r>
    </w:p>
    <w:p w14:paraId="29EAAEE2">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6.1.5 文明施工</w:t>
      </w:r>
    </w:p>
    <w:p w14:paraId="1C267E66">
      <w:pPr>
        <w:ind w:firstLine="576" w:firstLineChars="192"/>
        <w:rPr>
          <w:rFonts w:eastAsia="仿宋_GB2312"/>
          <w:color w:val="auto"/>
          <w:sz w:val="30"/>
          <w:szCs w:val="32"/>
          <w:highlight w:val="none"/>
          <w:u w:val="single"/>
        </w:rPr>
      </w:pPr>
      <w:r>
        <w:rPr>
          <w:rFonts w:hint="eastAsia" w:eastAsia="仿宋_GB2312"/>
          <w:color w:val="auto"/>
          <w:sz w:val="30"/>
          <w:szCs w:val="32"/>
          <w:highlight w:val="none"/>
        </w:rPr>
        <w:t>合同当事人对文明施工的要求：</w:t>
      </w:r>
    </w:p>
    <w:p w14:paraId="422F2D7A">
      <w:pPr>
        <w:numPr>
          <w:ilvl w:val="0"/>
          <w:numId w:val="7"/>
        </w:numPr>
        <w:ind w:firstLine="576" w:firstLineChars="192"/>
        <w:rPr>
          <w:rFonts w:eastAsia="仿宋_GB2312"/>
          <w:color w:val="auto"/>
          <w:sz w:val="30"/>
          <w:szCs w:val="32"/>
          <w:highlight w:val="none"/>
          <w:u w:val="single"/>
        </w:rPr>
      </w:pPr>
      <w:r>
        <w:rPr>
          <w:rFonts w:hint="eastAsia" w:eastAsia="仿宋_GB2312"/>
          <w:color w:val="auto"/>
          <w:sz w:val="30"/>
          <w:szCs w:val="32"/>
          <w:highlight w:val="none"/>
          <w:u w:val="single"/>
        </w:rPr>
        <w:t>工程施工现场必须设置施工围挡,承包人应在施工现场周边设置不低于2米的封闭围挡，施工围挡应当采用彩钢硬质材料制作，并且统一、牢固、整洁、美观，不得无施工围挡作业。在转弯及十字路口的施工围挡应满足交通的通视要求。</w:t>
      </w:r>
    </w:p>
    <w:p w14:paraId="6A2E6A72">
      <w:pPr>
        <w:numPr>
          <w:ilvl w:val="0"/>
          <w:numId w:val="7"/>
        </w:numPr>
        <w:ind w:firstLine="576" w:firstLineChars="192"/>
        <w:rPr>
          <w:rFonts w:eastAsia="仿宋_GB2312"/>
          <w:color w:val="auto"/>
          <w:sz w:val="30"/>
          <w:szCs w:val="32"/>
          <w:highlight w:val="none"/>
          <w:u w:val="single"/>
        </w:rPr>
      </w:pPr>
      <w:r>
        <w:rPr>
          <w:rFonts w:hint="eastAsia" w:eastAsia="仿宋_GB2312"/>
          <w:color w:val="auto"/>
          <w:sz w:val="30"/>
          <w:szCs w:val="32"/>
          <w:highlight w:val="none"/>
          <w:u w:val="single"/>
        </w:rPr>
        <w:t>承包人应在施工现场主要出入口或起止点、主要施工活动点设置门头标志。出入口宽度一般不超过5米，地面实行硬覆盖，硬覆盖宽度与出入口一致。</w:t>
      </w:r>
    </w:p>
    <w:p w14:paraId="0517CD77">
      <w:pPr>
        <w:numPr>
          <w:ilvl w:val="0"/>
          <w:numId w:val="7"/>
        </w:numPr>
        <w:ind w:firstLine="576" w:firstLineChars="192"/>
        <w:rPr>
          <w:rFonts w:eastAsia="仿宋_GB2312"/>
          <w:color w:val="auto"/>
          <w:sz w:val="30"/>
          <w:szCs w:val="32"/>
          <w:highlight w:val="none"/>
          <w:u w:val="single"/>
        </w:rPr>
      </w:pPr>
      <w:r>
        <w:rPr>
          <w:rFonts w:hint="eastAsia" w:eastAsia="仿宋_GB2312"/>
          <w:color w:val="auto"/>
          <w:sz w:val="30"/>
          <w:szCs w:val="32"/>
          <w:highlight w:val="none"/>
          <w:u w:val="single"/>
        </w:rPr>
        <w:t>施工单位必须在施工现场主要施工活动点设置“六牌一图”。具体包括工程概况牌、管理人员名单及监督电话牌、消防保卫牌、安全生产牌、文明施工牌、安全生产重点防护内容牌及施工现场总平面图。</w:t>
      </w:r>
    </w:p>
    <w:p w14:paraId="2E4B2B9A">
      <w:pPr>
        <w:numPr>
          <w:ilvl w:val="0"/>
          <w:numId w:val="7"/>
        </w:numPr>
        <w:ind w:firstLine="576" w:firstLineChars="192"/>
        <w:rPr>
          <w:rFonts w:eastAsia="仿宋_GB2312"/>
          <w:color w:val="auto"/>
          <w:sz w:val="30"/>
          <w:szCs w:val="32"/>
          <w:highlight w:val="none"/>
          <w:u w:val="single"/>
        </w:rPr>
      </w:pPr>
      <w:r>
        <w:rPr>
          <w:rFonts w:hint="eastAsia" w:eastAsia="仿宋_GB2312"/>
          <w:color w:val="auto"/>
          <w:sz w:val="30"/>
          <w:szCs w:val="32"/>
          <w:highlight w:val="none"/>
          <w:u w:val="single"/>
        </w:rPr>
        <w:t>施工现场办公室、食堂、厕所、浴室以及其它临时建筑应符合安全、消防、卫生的有关规定；禁止用钢管、三合板、毛竹等搭设简易工棚。生活垃圾应集中存放，按时清理，不得混入渣土或建筑垃圾。</w:t>
      </w:r>
    </w:p>
    <w:p w14:paraId="16ACAB73">
      <w:pPr>
        <w:numPr>
          <w:ilvl w:val="0"/>
          <w:numId w:val="7"/>
        </w:numPr>
        <w:ind w:firstLine="576" w:firstLineChars="192"/>
        <w:rPr>
          <w:rFonts w:eastAsia="仿宋_GB2312"/>
          <w:color w:val="auto"/>
          <w:sz w:val="30"/>
          <w:szCs w:val="32"/>
          <w:highlight w:val="none"/>
          <w:u w:val="single"/>
        </w:rPr>
      </w:pPr>
      <w:r>
        <w:rPr>
          <w:rFonts w:hint="eastAsia" w:eastAsia="仿宋_GB2312"/>
          <w:color w:val="auto"/>
          <w:sz w:val="30"/>
          <w:szCs w:val="32"/>
          <w:highlight w:val="none"/>
          <w:u w:val="single"/>
        </w:rPr>
        <w:t xml:space="preserve">工程施工应尽量减少对周边环境的影响。施工现场应做到：①采取防止扬尘的措施，地面局部清扫时应采用洒水作业，在风速六级及以上天气时，承包人不得进行土方回填及土方施工作业；施工机械车辆进场前，应做好清洁、保养和维护工作。进出车辆应有专人打扫、清洗。有密封要求的按规定必须达到；施工临时排水应确保施工场地和周边无积水，并采取措施确保不向路面和通道排放；施工现场应设置排水沟、沉淀池，施工污水经沉淀后方可排入市政污水管网或河流。②按照现行国家标准《建筑施工场界噪声限值及其测量方法》(GB 12523-12524)制定降噪措施。在规定的作业时间和范围内，合理安排作业内容，使用低噪声的施工机械设备，采用隔音措施，使施工产生的噪声符合上述国家标准要求。确需夜间施工的，须经有关管理部门批准。  </w:t>
      </w:r>
    </w:p>
    <w:p w14:paraId="56FF111F">
      <w:pPr>
        <w:numPr>
          <w:ilvl w:val="0"/>
          <w:numId w:val="7"/>
        </w:numPr>
        <w:ind w:firstLine="576" w:firstLineChars="192"/>
        <w:rPr>
          <w:rFonts w:eastAsia="仿宋_GB2312"/>
          <w:color w:val="auto"/>
          <w:sz w:val="30"/>
          <w:szCs w:val="32"/>
          <w:highlight w:val="none"/>
          <w:u w:val="single"/>
        </w:rPr>
      </w:pPr>
      <w:r>
        <w:rPr>
          <w:rFonts w:hint="eastAsia" w:eastAsia="仿宋_GB2312"/>
          <w:color w:val="auto"/>
          <w:sz w:val="30"/>
          <w:szCs w:val="32"/>
          <w:highlight w:val="none"/>
          <w:u w:val="single"/>
        </w:rPr>
        <w:t>施工范围内的沟井坎坑及孔洞，必须设置防护栏杆和安全警示标志，夜间必须红灯示警。</w:t>
      </w:r>
    </w:p>
    <w:p w14:paraId="0475AC7F">
      <w:pPr>
        <w:numPr>
          <w:ilvl w:val="0"/>
          <w:numId w:val="7"/>
        </w:numPr>
        <w:ind w:firstLine="576" w:firstLineChars="192"/>
        <w:rPr>
          <w:rFonts w:eastAsia="仿宋_GB2312"/>
          <w:color w:val="auto"/>
          <w:sz w:val="30"/>
          <w:szCs w:val="32"/>
          <w:highlight w:val="none"/>
          <w:u w:val="single"/>
        </w:rPr>
      </w:pPr>
      <w:r>
        <w:rPr>
          <w:rFonts w:hint="eastAsia" w:eastAsia="仿宋_GB2312"/>
          <w:color w:val="auto"/>
          <w:sz w:val="30"/>
          <w:szCs w:val="32"/>
          <w:highlight w:val="none"/>
          <w:u w:val="single"/>
        </w:rPr>
        <w:t xml:space="preserve">施工现场内建筑材料、构件、料具应按总平面布局堆放，材料应悬挂名称、品种规格等内容标牌，并堆放整齐 </w:t>
      </w:r>
      <w:r>
        <w:rPr>
          <w:rFonts w:hint="eastAsia" w:eastAsia="仿宋_GB2312"/>
          <w:color w:val="auto"/>
          <w:sz w:val="30"/>
          <w:szCs w:val="32"/>
          <w:highlight w:val="none"/>
        </w:rPr>
        <w:t>。</w:t>
      </w:r>
    </w:p>
    <w:bookmarkEnd w:id="200"/>
    <w:bookmarkEnd w:id="201"/>
    <w:bookmarkEnd w:id="202"/>
    <w:bookmarkEnd w:id="203"/>
    <w:bookmarkEnd w:id="204"/>
    <w:bookmarkEnd w:id="205"/>
    <w:bookmarkEnd w:id="206"/>
    <w:p w14:paraId="4CE88993">
      <w:pPr>
        <w:pStyle w:val="5"/>
        <w:spacing w:before="120" w:after="120" w:line="360" w:lineRule="auto"/>
        <w:rPr>
          <w:rFonts w:ascii="Times New Roman" w:hAnsi="Times New Roman" w:eastAsia="黑体"/>
          <w:b w:val="0"/>
          <w:color w:val="auto"/>
          <w:sz w:val="32"/>
          <w:szCs w:val="32"/>
          <w:highlight w:val="none"/>
        </w:rPr>
      </w:pPr>
      <w:bookmarkStart w:id="208" w:name="_Toc351203639"/>
      <w:r>
        <w:rPr>
          <w:rFonts w:ascii="Times New Roman" w:hAnsi="Times New Roman" w:eastAsia="黑体"/>
          <w:b w:val="0"/>
          <w:color w:val="auto"/>
          <w:sz w:val="32"/>
          <w:szCs w:val="32"/>
          <w:highlight w:val="none"/>
        </w:rPr>
        <w:t>7. 工期和进度</w:t>
      </w:r>
      <w:bookmarkEnd w:id="208"/>
    </w:p>
    <w:p w14:paraId="0965EF8F">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7.1 施工组织设计</w:t>
      </w:r>
    </w:p>
    <w:p w14:paraId="73C4E5CE">
      <w:pPr>
        <w:autoSpaceDE w:val="0"/>
        <w:autoSpaceDN w:val="0"/>
        <w:adjustRightInd w:val="0"/>
        <w:spacing w:line="360" w:lineRule="auto"/>
        <w:ind w:firstLine="600" w:firstLineChars="200"/>
        <w:jc w:val="left"/>
        <w:rPr>
          <w:rFonts w:eastAsia="仿宋_GB2312"/>
          <w:color w:val="auto"/>
          <w:kern w:val="0"/>
          <w:sz w:val="30"/>
          <w:szCs w:val="32"/>
          <w:highlight w:val="none"/>
        </w:rPr>
      </w:pPr>
      <w:r>
        <w:rPr>
          <w:rFonts w:eastAsia="仿宋_GB2312"/>
          <w:color w:val="auto"/>
          <w:sz w:val="30"/>
          <w:szCs w:val="32"/>
          <w:highlight w:val="none"/>
        </w:rPr>
        <w:t xml:space="preserve">7.1.2 </w:t>
      </w:r>
      <w:r>
        <w:rPr>
          <w:rFonts w:eastAsia="仿宋_GB2312"/>
          <w:color w:val="auto"/>
          <w:kern w:val="0"/>
          <w:sz w:val="30"/>
          <w:szCs w:val="32"/>
          <w:highlight w:val="none"/>
        </w:rPr>
        <w:t>施工组织设计的提交和修改</w:t>
      </w:r>
    </w:p>
    <w:p w14:paraId="42D7E872">
      <w:pPr>
        <w:autoSpaceDE w:val="0"/>
        <w:autoSpaceDN w:val="0"/>
        <w:adjustRightInd w:val="0"/>
        <w:spacing w:line="360" w:lineRule="auto"/>
        <w:jc w:val="left"/>
        <w:rPr>
          <w:rFonts w:eastAsia="仿宋_GB2312"/>
          <w:color w:val="auto"/>
          <w:sz w:val="30"/>
          <w:szCs w:val="32"/>
          <w:highlight w:val="none"/>
        </w:rPr>
      </w:pPr>
      <w:r>
        <w:rPr>
          <w:rFonts w:eastAsia="仿宋_GB2312"/>
          <w:color w:val="auto"/>
          <w:kern w:val="0"/>
          <w:sz w:val="30"/>
          <w:szCs w:val="32"/>
          <w:highlight w:val="none"/>
        </w:rPr>
        <w:t>承包人提交详细施工组织设计的期限的约定：</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开工前7天</w:t>
      </w:r>
      <w:r>
        <w:rPr>
          <w:rFonts w:eastAsia="仿宋_GB2312"/>
          <w:color w:val="auto"/>
          <w:sz w:val="30"/>
          <w:szCs w:val="32"/>
          <w:highlight w:val="none"/>
          <w:u w:val="single"/>
        </w:rPr>
        <w:t xml:space="preserve">  </w:t>
      </w:r>
      <w:r>
        <w:rPr>
          <w:rFonts w:eastAsia="仿宋_GB2312"/>
          <w:color w:val="auto"/>
          <w:sz w:val="30"/>
          <w:szCs w:val="32"/>
          <w:highlight w:val="none"/>
        </w:rPr>
        <w:t>。</w:t>
      </w:r>
    </w:p>
    <w:p w14:paraId="0D2AD87D">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发包人和监理人在收到</w:t>
      </w:r>
      <w:r>
        <w:rPr>
          <w:rFonts w:hint="eastAsia" w:eastAsia="仿宋_GB2312"/>
          <w:color w:val="auto"/>
          <w:sz w:val="30"/>
          <w:szCs w:val="32"/>
          <w:highlight w:val="none"/>
        </w:rPr>
        <w:t>详细的施工组织设计</w:t>
      </w:r>
      <w:r>
        <w:rPr>
          <w:rFonts w:eastAsia="仿宋_GB2312"/>
          <w:color w:val="auto"/>
          <w:sz w:val="30"/>
          <w:szCs w:val="32"/>
          <w:highlight w:val="none"/>
        </w:rPr>
        <w:t>后确认或提出修改意见的期限：</w:t>
      </w:r>
      <w:r>
        <w:rPr>
          <w:rFonts w:eastAsia="仿宋_GB2312"/>
          <w:color w:val="auto"/>
          <w:sz w:val="30"/>
          <w:szCs w:val="32"/>
          <w:highlight w:val="none"/>
          <w:u w:val="single"/>
        </w:rPr>
        <w:t xml:space="preserve"> 7</w:t>
      </w:r>
      <w:r>
        <w:rPr>
          <w:rFonts w:hint="eastAsia" w:eastAsia="仿宋_GB2312"/>
          <w:color w:val="auto"/>
          <w:sz w:val="30"/>
          <w:szCs w:val="32"/>
          <w:highlight w:val="none"/>
          <w:u w:val="single"/>
        </w:rPr>
        <w:t xml:space="preserve">天 </w:t>
      </w:r>
      <w:r>
        <w:rPr>
          <w:rFonts w:eastAsia="仿宋_GB2312"/>
          <w:color w:val="auto"/>
          <w:sz w:val="30"/>
          <w:szCs w:val="32"/>
          <w:highlight w:val="none"/>
        </w:rPr>
        <w:t>。</w:t>
      </w:r>
    </w:p>
    <w:p w14:paraId="32F5B6BE">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7</w:t>
      </w:r>
      <w:bookmarkStart w:id="209" w:name="_Toc297123514"/>
      <w:bookmarkStart w:id="210" w:name="_Toc312678005"/>
      <w:bookmarkStart w:id="211" w:name="_Toc300934966"/>
      <w:bookmarkStart w:id="212" w:name="_Toc304295541"/>
      <w:bookmarkStart w:id="213" w:name="_Toc297216173"/>
      <w:bookmarkStart w:id="214" w:name="_Toc312677479"/>
      <w:bookmarkStart w:id="215" w:name="_Toc303539123"/>
      <w:r>
        <w:rPr>
          <w:rFonts w:eastAsia="黑体"/>
          <w:color w:val="auto"/>
          <w:sz w:val="30"/>
          <w:szCs w:val="32"/>
          <w:highlight w:val="none"/>
        </w:rPr>
        <w:t>.2 施工进度计划</w:t>
      </w:r>
    </w:p>
    <w:p w14:paraId="169FAB06">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7.2.2 施工进度计划的修订</w:t>
      </w:r>
    </w:p>
    <w:p w14:paraId="17D805D5">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发包人和监理人在收到修订的施工进度计划后确认或提出修改意见的期限：</w:t>
      </w:r>
      <w:r>
        <w:rPr>
          <w:rFonts w:eastAsia="仿宋_GB2312"/>
          <w:color w:val="auto"/>
          <w:sz w:val="30"/>
          <w:szCs w:val="32"/>
          <w:highlight w:val="none"/>
          <w:u w:val="single"/>
        </w:rPr>
        <w:t xml:space="preserve">  7</w:t>
      </w:r>
      <w:r>
        <w:rPr>
          <w:rFonts w:hint="eastAsia" w:eastAsia="仿宋_GB2312"/>
          <w:color w:val="auto"/>
          <w:sz w:val="30"/>
          <w:szCs w:val="32"/>
          <w:highlight w:val="none"/>
          <w:u w:val="single"/>
        </w:rPr>
        <w:t>天</w:t>
      </w:r>
      <w:r>
        <w:rPr>
          <w:rFonts w:eastAsia="仿宋_GB2312"/>
          <w:color w:val="auto"/>
          <w:sz w:val="30"/>
          <w:szCs w:val="32"/>
          <w:highlight w:val="none"/>
          <w:u w:val="single"/>
        </w:rPr>
        <w:t xml:space="preserve"> </w:t>
      </w:r>
      <w:r>
        <w:rPr>
          <w:rFonts w:eastAsia="仿宋_GB2312"/>
          <w:color w:val="auto"/>
          <w:sz w:val="30"/>
          <w:szCs w:val="32"/>
          <w:highlight w:val="none"/>
        </w:rPr>
        <w:t>。</w:t>
      </w:r>
    </w:p>
    <w:p w14:paraId="72384244">
      <w:pPr>
        <w:spacing w:line="360" w:lineRule="auto"/>
        <w:ind w:firstLine="600" w:firstLineChars="200"/>
        <w:rPr>
          <w:rFonts w:ascii="宋体" w:hAnsi="宋体"/>
          <w:color w:val="auto"/>
          <w:szCs w:val="21"/>
          <w:highlight w:val="none"/>
        </w:rPr>
      </w:pPr>
      <w:r>
        <w:rPr>
          <w:rFonts w:eastAsia="仿宋_GB2312"/>
          <w:color w:val="auto"/>
          <w:sz w:val="30"/>
          <w:szCs w:val="32"/>
          <w:highlight w:val="none"/>
        </w:rPr>
        <w:t>7.2.3</w:t>
      </w:r>
      <w:r>
        <w:rPr>
          <w:rFonts w:hint="eastAsia" w:eastAsia="仿宋_GB2312"/>
          <w:color w:val="auto"/>
          <w:sz w:val="30"/>
          <w:szCs w:val="32"/>
          <w:highlight w:val="none"/>
        </w:rPr>
        <w:t>关于进度的其他约定：</w:t>
      </w:r>
    </w:p>
    <w:p w14:paraId="7EBDBF67">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1、承包人应加强计划管理，严格按照发包人确认的工程进度计划组织施工，并接受发包人对工程进度的检查、监督</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w:t>
      </w:r>
    </w:p>
    <w:p w14:paraId="129FF636">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2、为便于发包人掌握和控制工期，承包人应于每月20日前向发包人填报工程的当月进度计划完成情况(未完成计划的必须说明原因)，并在此基础上更新工程进度计划、资金计划和其他工作计划。发包人在接到报告后应当予以确认或提出书面意见，承包人必须按照发包人的确认或者书面意见执行</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w:t>
      </w:r>
    </w:p>
    <w:p w14:paraId="1464BE0F">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3、发包人对工程进度计划的确认不免除承包人应承担的工期延误责任。</w:t>
      </w:r>
    </w:p>
    <w:p w14:paraId="392D971E">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u w:val="single"/>
        </w:rPr>
        <w:t>4、</w:t>
      </w:r>
      <w:r>
        <w:rPr>
          <w:rFonts w:hint="eastAsia" w:eastAsia="仿宋_GB2312"/>
          <w:color w:val="auto"/>
          <w:sz w:val="30"/>
          <w:szCs w:val="32"/>
          <w:highlight w:val="none"/>
          <w:u w:val="single"/>
        </w:rPr>
        <w:t>工程实际进度与经工程师确认的进度计划或者更新进度计划不符时，发包人认为本工程或其中任何部分工程进度滞后而不能按预定工期完工，若其主要责任在承包人，则发包人有权要求承包人据此编制修改工程进度计划或单方面中止该施工合同，且承包人无权要求发包人支付任何附加费用。如承包人未能在工程师发布指令后3天内采取有效措施，工程进度仍然无明显改进，发包人有权解除部分或全部合同，将未完工程另行发包给其他有能力的第三方，承包人需配合出场，并承担合同金额10%的违约金。</w:t>
      </w:r>
    </w:p>
    <w:p w14:paraId="4D92346E">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7.3 开工</w:t>
      </w:r>
    </w:p>
    <w:p w14:paraId="06C70399">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7.3.2开工通知</w:t>
      </w:r>
    </w:p>
    <w:p w14:paraId="6202109B">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因发包人原因造成监理人未能在计划开工日期之日起</w:t>
      </w:r>
      <w:r>
        <w:rPr>
          <w:rFonts w:eastAsia="仿宋_GB2312"/>
          <w:color w:val="auto"/>
          <w:sz w:val="30"/>
          <w:szCs w:val="32"/>
          <w:highlight w:val="none"/>
          <w:u w:val="single"/>
        </w:rPr>
        <w:t xml:space="preserve"> 180 </w:t>
      </w:r>
      <w:r>
        <w:rPr>
          <w:rFonts w:eastAsia="仿宋_GB2312"/>
          <w:color w:val="auto"/>
          <w:sz w:val="30"/>
          <w:szCs w:val="32"/>
          <w:highlight w:val="none"/>
        </w:rPr>
        <w:t>天内发出开工通知的，承包人有权提出价格调整要求，或者解除合同。</w:t>
      </w:r>
    </w:p>
    <w:bookmarkEnd w:id="209"/>
    <w:bookmarkEnd w:id="210"/>
    <w:bookmarkEnd w:id="211"/>
    <w:bookmarkEnd w:id="212"/>
    <w:bookmarkEnd w:id="213"/>
    <w:bookmarkEnd w:id="214"/>
    <w:bookmarkEnd w:id="215"/>
    <w:p w14:paraId="62387C35">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7.4 测量放线</w:t>
      </w:r>
    </w:p>
    <w:p w14:paraId="748DB681">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7.4.3</w:t>
      </w:r>
      <w:r>
        <w:rPr>
          <w:rFonts w:hint="eastAsia" w:eastAsia="仿宋_GB2312"/>
          <w:color w:val="auto"/>
          <w:sz w:val="30"/>
          <w:szCs w:val="32"/>
          <w:highlight w:val="none"/>
        </w:rPr>
        <w:t>承包人在进场施工时应向发包人发出书面要求，要求发包人提供</w:t>
      </w:r>
      <w:r>
        <w:rPr>
          <w:rFonts w:eastAsia="仿宋_GB2312"/>
          <w:color w:val="auto"/>
          <w:sz w:val="30"/>
          <w:szCs w:val="32"/>
          <w:highlight w:val="none"/>
        </w:rPr>
        <w:t>测量基准点、基准线和水准点及其书面资料</w:t>
      </w:r>
      <w:r>
        <w:rPr>
          <w:rFonts w:hint="eastAsia" w:eastAsia="仿宋_GB2312"/>
          <w:color w:val="auto"/>
          <w:sz w:val="30"/>
          <w:szCs w:val="32"/>
          <w:highlight w:val="none"/>
        </w:rPr>
        <w:t>，承包人应进行复核，如存在错误或疏漏，应及时通知发包人</w:t>
      </w:r>
      <w:r>
        <w:rPr>
          <w:rFonts w:eastAsia="仿宋_GB2312"/>
          <w:color w:val="auto"/>
          <w:sz w:val="30"/>
          <w:szCs w:val="32"/>
          <w:highlight w:val="none"/>
        </w:rPr>
        <w:t>予以核实</w:t>
      </w:r>
      <w:r>
        <w:rPr>
          <w:rFonts w:hint="eastAsia" w:eastAsia="仿宋_GB2312"/>
          <w:color w:val="auto"/>
          <w:sz w:val="30"/>
          <w:szCs w:val="32"/>
          <w:highlight w:val="none"/>
        </w:rPr>
        <w:t>。</w:t>
      </w:r>
      <w:r>
        <w:rPr>
          <w:rFonts w:eastAsia="仿宋_GB2312"/>
          <w:color w:val="auto"/>
          <w:sz w:val="30"/>
          <w:szCs w:val="32"/>
          <w:highlight w:val="none"/>
        </w:rPr>
        <w:t>发包人应就如何处理和是否继续施工作出决定，并通知承包人。</w:t>
      </w:r>
      <w:r>
        <w:rPr>
          <w:rFonts w:hint="eastAsia" w:eastAsia="仿宋_GB2312"/>
          <w:color w:val="auto"/>
          <w:sz w:val="30"/>
          <w:szCs w:val="32"/>
          <w:highlight w:val="none"/>
        </w:rPr>
        <w:t>如承包人未向发包人发出书面要求便进行施工，由于缺少以上资料所造成的工期延误、费用损失（包括对发包人造成的直接、间接损失）由承包人承担</w:t>
      </w:r>
      <w:r>
        <w:rPr>
          <w:rFonts w:eastAsia="仿宋_GB2312"/>
          <w:color w:val="auto"/>
          <w:sz w:val="30"/>
          <w:szCs w:val="32"/>
          <w:highlight w:val="none"/>
        </w:rPr>
        <w:t>。</w:t>
      </w:r>
      <w:r>
        <w:rPr>
          <w:rFonts w:hint="eastAsia" w:eastAsia="仿宋_GB2312"/>
          <w:color w:val="auto"/>
          <w:sz w:val="30"/>
          <w:szCs w:val="32"/>
          <w:highlight w:val="none"/>
        </w:rPr>
        <w:t>如因发包人提供的上述资料错误或疏漏，而承包人未及时发现，则由此造成的损失由承包人承担。</w:t>
      </w:r>
    </w:p>
    <w:p w14:paraId="2D6E7B9F">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7</w:t>
      </w:r>
      <w:bookmarkStart w:id="216" w:name="_Toc312678010"/>
      <w:bookmarkStart w:id="217" w:name="_Toc303539125"/>
      <w:bookmarkStart w:id="218" w:name="_Toc304295546"/>
      <w:bookmarkStart w:id="219" w:name="_Toc297123516"/>
      <w:bookmarkStart w:id="220" w:name="_Toc312677484"/>
      <w:bookmarkStart w:id="221" w:name="_Toc300934968"/>
      <w:bookmarkStart w:id="222" w:name="_Toc297216175"/>
      <w:r>
        <w:rPr>
          <w:rFonts w:eastAsia="黑体"/>
          <w:color w:val="auto"/>
          <w:sz w:val="30"/>
          <w:szCs w:val="32"/>
          <w:highlight w:val="none"/>
        </w:rPr>
        <w:t>.5 工期延误</w:t>
      </w:r>
    </w:p>
    <w:bookmarkEnd w:id="216"/>
    <w:bookmarkEnd w:id="217"/>
    <w:bookmarkEnd w:id="218"/>
    <w:bookmarkEnd w:id="219"/>
    <w:bookmarkEnd w:id="220"/>
    <w:bookmarkEnd w:id="221"/>
    <w:bookmarkEnd w:id="222"/>
    <w:p w14:paraId="7B04F4C1">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7.5.1</w:t>
      </w:r>
      <w:r>
        <w:rPr>
          <w:rFonts w:hint="eastAsia" w:eastAsia="仿宋_GB2312"/>
          <w:color w:val="auto"/>
          <w:sz w:val="30"/>
          <w:szCs w:val="32"/>
          <w:highlight w:val="none"/>
        </w:rPr>
        <w:t>因发包人原因导致工期延误的，工期相应顺延，但承包人不得就因此导致的管理成本、占用临时设施、周转材料、施工机械等任何成本增加的问题向发包人提出任何形式的索赔。</w:t>
      </w:r>
    </w:p>
    <w:p w14:paraId="2A6A9482">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7</w:t>
      </w:r>
      <w:bookmarkStart w:id="223" w:name="_Toc312677486"/>
      <w:bookmarkStart w:id="224" w:name="_Toc318581169"/>
      <w:bookmarkStart w:id="225" w:name="_Toc312678012"/>
      <w:bookmarkStart w:id="226" w:name="_Toc297123518"/>
      <w:bookmarkStart w:id="227" w:name="_Toc304295548"/>
      <w:bookmarkStart w:id="228" w:name="_Toc303539127"/>
      <w:bookmarkStart w:id="229" w:name="_Toc300934970"/>
      <w:bookmarkStart w:id="230" w:name="_Toc297216177"/>
      <w:r>
        <w:rPr>
          <w:rFonts w:eastAsia="仿宋_GB2312"/>
          <w:color w:val="auto"/>
          <w:sz w:val="30"/>
          <w:szCs w:val="32"/>
          <w:highlight w:val="none"/>
        </w:rPr>
        <w:t>.5.2 因承包人原因导致工期延误</w:t>
      </w:r>
    </w:p>
    <w:bookmarkEnd w:id="223"/>
    <w:bookmarkEnd w:id="224"/>
    <w:bookmarkEnd w:id="225"/>
    <w:p w14:paraId="0EA212BE">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因</w:t>
      </w:r>
      <w:bookmarkStart w:id="231" w:name="_Toc312678013"/>
      <w:bookmarkStart w:id="232" w:name="_Toc312677487"/>
      <w:bookmarkStart w:id="233" w:name="_Toc318581170"/>
      <w:r>
        <w:rPr>
          <w:rFonts w:eastAsia="仿宋_GB2312"/>
          <w:color w:val="auto"/>
          <w:sz w:val="30"/>
          <w:szCs w:val="32"/>
          <w:highlight w:val="none"/>
        </w:rPr>
        <w:t>承包人原因造成工期延误，逾期竣工违约金的计算方法为：</w:t>
      </w:r>
      <w:bookmarkEnd w:id="226"/>
      <w:bookmarkEnd w:id="227"/>
      <w:bookmarkEnd w:id="228"/>
      <w:bookmarkEnd w:id="229"/>
      <w:bookmarkEnd w:id="230"/>
      <w:bookmarkEnd w:id="231"/>
      <w:bookmarkEnd w:id="232"/>
      <w:r>
        <w:rPr>
          <w:rFonts w:hint="eastAsia" w:eastAsia="仿宋_GB2312"/>
          <w:color w:val="auto"/>
          <w:sz w:val="30"/>
          <w:szCs w:val="32"/>
          <w:highlight w:val="none"/>
          <w:u w:val="single"/>
        </w:rPr>
        <w:t>每日历天赔付额度为：</w:t>
      </w:r>
      <w:r>
        <w:rPr>
          <w:rFonts w:hint="eastAsia" w:eastAsia="仿宋_GB2312"/>
          <w:color w:val="auto"/>
          <w:sz w:val="30"/>
          <w:szCs w:val="32"/>
          <w:highlight w:val="none"/>
          <w:u w:val="single"/>
          <w:lang w:val="en-US" w:eastAsia="zh-CN"/>
        </w:rPr>
        <w:t>壹</w:t>
      </w:r>
      <w:r>
        <w:rPr>
          <w:rFonts w:hint="eastAsia" w:eastAsia="仿宋_GB2312"/>
          <w:color w:val="auto"/>
          <w:sz w:val="30"/>
          <w:szCs w:val="32"/>
          <w:highlight w:val="none"/>
          <w:u w:val="single"/>
        </w:rPr>
        <w:t>万元</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逾期竣工30天发包人有权单方解除合同，不承担违约责任。承包人应于发包人解除合同之日起5日内向发包人支付逾期竣工违约金。逾期支付，承包人应额外向发包人支付未付违约金金额0.5‰/天的逾期违约金直至完全支付时</w:t>
      </w:r>
      <w:r>
        <w:rPr>
          <w:rFonts w:hint="eastAsia" w:eastAsia="仿宋_GB2312"/>
          <w:color w:val="auto"/>
          <w:sz w:val="30"/>
          <w:szCs w:val="32"/>
          <w:highlight w:val="none"/>
        </w:rPr>
        <w:t>。</w:t>
      </w:r>
    </w:p>
    <w:p w14:paraId="5BA9ABA9">
      <w:pPr>
        <w:pStyle w:val="8"/>
        <w:ind w:left="63" w:right="63" w:firstLine="600" w:firstLineChars="200"/>
        <w:jc w:val="both"/>
        <w:rPr>
          <w:color w:val="auto"/>
          <w:highlight w:val="none"/>
        </w:rPr>
      </w:pPr>
      <w:r>
        <w:rPr>
          <w:rFonts w:eastAsia="仿宋_GB2312"/>
          <w:color w:val="auto"/>
          <w:sz w:val="30"/>
          <w:szCs w:val="32"/>
          <w:highlight w:val="none"/>
        </w:rPr>
        <w:t>因承包人原因造成</w:t>
      </w:r>
      <w:r>
        <w:rPr>
          <w:rFonts w:hint="eastAsia" w:eastAsia="仿宋_GB2312"/>
          <w:color w:val="auto"/>
          <w:sz w:val="30"/>
          <w:szCs w:val="32"/>
          <w:highlight w:val="none"/>
        </w:rPr>
        <w:t>节点</w:t>
      </w:r>
      <w:r>
        <w:rPr>
          <w:rFonts w:eastAsia="仿宋_GB2312"/>
          <w:color w:val="auto"/>
          <w:sz w:val="30"/>
          <w:szCs w:val="32"/>
          <w:highlight w:val="none"/>
        </w:rPr>
        <w:t>工期延误，</w:t>
      </w:r>
      <w:r>
        <w:rPr>
          <w:rFonts w:hint="eastAsia" w:eastAsia="仿宋_GB2312"/>
          <w:color w:val="auto"/>
          <w:sz w:val="30"/>
          <w:szCs w:val="32"/>
          <w:highlight w:val="none"/>
        </w:rPr>
        <w:t>单个节点工期</w:t>
      </w:r>
      <w:r>
        <w:rPr>
          <w:rFonts w:eastAsia="仿宋_GB2312"/>
          <w:color w:val="auto"/>
          <w:sz w:val="30"/>
          <w:szCs w:val="32"/>
          <w:highlight w:val="none"/>
        </w:rPr>
        <w:t>逾期违约金的计算方法为：</w:t>
      </w:r>
      <w:r>
        <w:rPr>
          <w:rFonts w:hint="eastAsia" w:eastAsia="仿宋_GB2312"/>
          <w:color w:val="auto"/>
          <w:sz w:val="30"/>
          <w:szCs w:val="32"/>
          <w:highlight w:val="none"/>
          <w:u w:val="single"/>
        </w:rPr>
        <w:t>每日历天赔付额度为：</w:t>
      </w:r>
      <w:r>
        <w:rPr>
          <w:rFonts w:hint="eastAsia" w:eastAsia="仿宋_GB2312"/>
          <w:color w:val="auto"/>
          <w:sz w:val="30"/>
          <w:szCs w:val="32"/>
          <w:highlight w:val="none"/>
          <w:u w:val="single"/>
          <w:lang w:val="en-US" w:eastAsia="zh-CN"/>
        </w:rPr>
        <w:t>壹</w:t>
      </w:r>
      <w:r>
        <w:rPr>
          <w:rFonts w:hint="eastAsia" w:eastAsia="仿宋_GB2312"/>
          <w:color w:val="auto"/>
          <w:sz w:val="30"/>
          <w:szCs w:val="32"/>
          <w:highlight w:val="none"/>
          <w:u w:val="single"/>
        </w:rPr>
        <w:t>万元。节点工期逾期10天发包人有权单方解除合同，不承担违约责任。承包人应于发包人解除合同之日起5日内向发包人支付节点工期逾期违约金。逾期支付，承包人应额外向发包人支付未付违约金金额0.5‰/天的逾期违约金直至完全支付时。</w:t>
      </w:r>
    </w:p>
    <w:bookmarkEnd w:id="233"/>
    <w:p w14:paraId="4ED311F1">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因承包人原因造成工期延误（</w:t>
      </w:r>
      <w:r>
        <w:rPr>
          <w:rFonts w:hint="eastAsia" w:eastAsia="仿宋_GB2312"/>
          <w:color w:val="auto"/>
          <w:sz w:val="30"/>
          <w:szCs w:val="32"/>
          <w:highlight w:val="none"/>
        </w:rPr>
        <w:t>包含节点工期延误）</w:t>
      </w:r>
      <w:r>
        <w:rPr>
          <w:rFonts w:eastAsia="仿宋_GB2312"/>
          <w:color w:val="auto"/>
          <w:sz w:val="30"/>
          <w:szCs w:val="32"/>
          <w:highlight w:val="none"/>
        </w:rPr>
        <w:t>，逾</w:t>
      </w:r>
      <w:bookmarkStart w:id="234" w:name="_Toc318581171"/>
      <w:bookmarkStart w:id="235" w:name="_Toc312678014"/>
      <w:r>
        <w:rPr>
          <w:rFonts w:eastAsia="仿宋_GB2312"/>
          <w:color w:val="auto"/>
          <w:sz w:val="30"/>
          <w:szCs w:val="32"/>
          <w:highlight w:val="none"/>
        </w:rPr>
        <w:t>期竣工（</w:t>
      </w:r>
      <w:r>
        <w:rPr>
          <w:rFonts w:hint="eastAsia" w:eastAsia="仿宋_GB2312"/>
          <w:color w:val="auto"/>
          <w:sz w:val="30"/>
          <w:szCs w:val="32"/>
          <w:highlight w:val="none"/>
        </w:rPr>
        <w:t>包含节点工期延误）</w:t>
      </w:r>
      <w:r>
        <w:rPr>
          <w:rFonts w:eastAsia="仿宋_GB2312"/>
          <w:color w:val="auto"/>
          <w:sz w:val="30"/>
          <w:szCs w:val="32"/>
          <w:highlight w:val="none"/>
        </w:rPr>
        <w:t>违约金的上限：</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合同总价20%</w:t>
      </w:r>
      <w:r>
        <w:rPr>
          <w:rFonts w:eastAsia="仿宋_GB2312"/>
          <w:color w:val="auto"/>
          <w:sz w:val="30"/>
          <w:szCs w:val="32"/>
          <w:highlight w:val="none"/>
          <w:u w:val="single"/>
        </w:rPr>
        <w:t xml:space="preserve">   </w:t>
      </w:r>
      <w:r>
        <w:rPr>
          <w:rFonts w:eastAsia="仿宋_GB2312"/>
          <w:color w:val="auto"/>
          <w:sz w:val="30"/>
          <w:szCs w:val="32"/>
          <w:highlight w:val="none"/>
        </w:rPr>
        <w:t>。</w:t>
      </w:r>
    </w:p>
    <w:bookmarkEnd w:id="234"/>
    <w:bookmarkEnd w:id="235"/>
    <w:p w14:paraId="7C0907C3">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7</w:t>
      </w:r>
      <w:bookmarkStart w:id="236" w:name="_Toc304295549"/>
      <w:bookmarkStart w:id="237" w:name="_Toc303539128"/>
      <w:bookmarkStart w:id="238" w:name="_Toc312678015"/>
      <w:bookmarkStart w:id="239" w:name="_Toc297123519"/>
      <w:bookmarkStart w:id="240" w:name="_Toc297216178"/>
      <w:bookmarkStart w:id="241" w:name="_Toc300934971"/>
      <w:r>
        <w:rPr>
          <w:rFonts w:eastAsia="黑体"/>
          <w:color w:val="auto"/>
          <w:sz w:val="30"/>
          <w:szCs w:val="32"/>
          <w:highlight w:val="none"/>
        </w:rPr>
        <w:t>.6 不</w:t>
      </w:r>
      <w:bookmarkEnd w:id="236"/>
      <w:bookmarkEnd w:id="237"/>
      <w:bookmarkEnd w:id="238"/>
      <w:bookmarkEnd w:id="239"/>
      <w:bookmarkEnd w:id="240"/>
      <w:bookmarkEnd w:id="241"/>
      <w:r>
        <w:rPr>
          <w:rFonts w:eastAsia="黑体"/>
          <w:color w:val="auto"/>
          <w:sz w:val="30"/>
          <w:szCs w:val="32"/>
          <w:highlight w:val="none"/>
        </w:rPr>
        <w:t>利物质条件</w:t>
      </w:r>
    </w:p>
    <w:p w14:paraId="24AAC801">
      <w:pPr>
        <w:spacing w:line="360" w:lineRule="auto"/>
        <w:ind w:firstLine="600" w:firstLineChars="200"/>
        <w:jc w:val="left"/>
        <w:rPr>
          <w:rFonts w:eastAsia="仿宋_GB2312"/>
          <w:color w:val="auto"/>
          <w:sz w:val="30"/>
          <w:szCs w:val="32"/>
          <w:highlight w:val="none"/>
        </w:rPr>
      </w:pPr>
      <w:bookmarkStart w:id="242" w:name="_Toc304295550"/>
      <w:bookmarkStart w:id="243" w:name="_Toc303539129"/>
      <w:bookmarkStart w:id="244" w:name="_Toc312678016"/>
      <w:bookmarkStart w:id="245" w:name="_Toc318581172"/>
      <w:bookmarkStart w:id="246" w:name="_Toc297216179"/>
      <w:bookmarkStart w:id="247" w:name="_Toc300934972"/>
      <w:bookmarkStart w:id="248" w:name="_Toc297123520"/>
      <w:r>
        <w:rPr>
          <w:rFonts w:eastAsia="仿宋_GB2312"/>
          <w:color w:val="auto"/>
          <w:sz w:val="30"/>
          <w:szCs w:val="32"/>
          <w:highlight w:val="none"/>
        </w:rPr>
        <w:t>不利物质条件的其他情形和有关约定：</w:t>
      </w:r>
      <w:r>
        <w:rPr>
          <w:rFonts w:hint="eastAsia" w:eastAsia="仿宋_GB2312"/>
          <w:color w:val="auto"/>
          <w:sz w:val="30"/>
          <w:szCs w:val="32"/>
          <w:highlight w:val="none"/>
          <w:u w:val="single"/>
        </w:rPr>
        <w:t xml:space="preserve">按通用合同条款执行  </w:t>
      </w:r>
      <w:r>
        <w:rPr>
          <w:rFonts w:eastAsia="仿宋_GB2312"/>
          <w:color w:val="auto"/>
          <w:sz w:val="30"/>
          <w:szCs w:val="32"/>
          <w:highlight w:val="none"/>
        </w:rPr>
        <w:t>。</w:t>
      </w:r>
    </w:p>
    <w:bookmarkEnd w:id="242"/>
    <w:bookmarkEnd w:id="243"/>
    <w:bookmarkEnd w:id="244"/>
    <w:bookmarkEnd w:id="245"/>
    <w:bookmarkEnd w:id="246"/>
    <w:bookmarkEnd w:id="247"/>
    <w:bookmarkEnd w:id="248"/>
    <w:p w14:paraId="4EA1187D">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7</w:t>
      </w:r>
      <w:bookmarkStart w:id="249" w:name="_Toc297216180"/>
      <w:bookmarkStart w:id="250" w:name="_Toc297123521"/>
      <w:bookmarkStart w:id="251" w:name="_Toc300934973"/>
      <w:bookmarkStart w:id="252" w:name="_Toc303539130"/>
      <w:bookmarkStart w:id="253" w:name="_Toc312678017"/>
      <w:bookmarkStart w:id="254" w:name="_Toc304295551"/>
      <w:r>
        <w:rPr>
          <w:rFonts w:eastAsia="黑体"/>
          <w:color w:val="auto"/>
          <w:sz w:val="30"/>
          <w:szCs w:val="32"/>
          <w:highlight w:val="none"/>
        </w:rPr>
        <w:t>.7异常恶劣的气候条件</w:t>
      </w:r>
    </w:p>
    <w:bookmarkEnd w:id="249"/>
    <w:bookmarkEnd w:id="250"/>
    <w:bookmarkEnd w:id="251"/>
    <w:bookmarkEnd w:id="252"/>
    <w:bookmarkEnd w:id="253"/>
    <w:bookmarkEnd w:id="254"/>
    <w:p w14:paraId="0326A24B">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发包人和承包人同意以下情形视为异常恶劣的气候条件：</w:t>
      </w:r>
      <w:r>
        <w:rPr>
          <w:rFonts w:hint="eastAsia" w:eastAsia="仿宋_GB2312"/>
          <w:color w:val="auto"/>
          <w:sz w:val="30"/>
          <w:szCs w:val="32"/>
          <w:highlight w:val="none"/>
          <w:u w:val="single"/>
        </w:rPr>
        <w:t>如发生50年一遇的自然灾害(如台风、雪灾、洪水、高温)，出现异常恶劣的气候条件，发包人原则上同意承包人提出的延长工期的要求，但不支持承包人因此提出的费用索赔</w:t>
      </w:r>
      <w:r>
        <w:rPr>
          <w:rFonts w:hint="eastAsia" w:eastAsia="仿宋_GB2312"/>
          <w:color w:val="auto"/>
          <w:sz w:val="30"/>
          <w:szCs w:val="32"/>
          <w:highlight w:val="none"/>
        </w:rPr>
        <w:t>。</w:t>
      </w:r>
    </w:p>
    <w:p w14:paraId="61D540DC">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7.9 提前竣工的奖励</w:t>
      </w:r>
    </w:p>
    <w:p w14:paraId="3050C00B">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7.9.2提前竣工的奖励：</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无 </w:t>
      </w:r>
      <w:r>
        <w:rPr>
          <w:rFonts w:eastAsia="仿宋_GB2312"/>
          <w:color w:val="auto"/>
          <w:sz w:val="30"/>
          <w:szCs w:val="32"/>
          <w:highlight w:val="none"/>
          <w:u w:val="single"/>
        </w:rPr>
        <w:t xml:space="preserve">   </w:t>
      </w:r>
      <w:r>
        <w:rPr>
          <w:rFonts w:eastAsia="仿宋_GB2312"/>
          <w:color w:val="auto"/>
          <w:sz w:val="30"/>
          <w:szCs w:val="32"/>
          <w:highlight w:val="none"/>
        </w:rPr>
        <w:t>。</w:t>
      </w:r>
    </w:p>
    <w:p w14:paraId="432DBAD1">
      <w:pPr>
        <w:pStyle w:val="5"/>
        <w:spacing w:before="120" w:after="120" w:line="360" w:lineRule="auto"/>
        <w:rPr>
          <w:rFonts w:ascii="Times New Roman" w:hAnsi="Times New Roman" w:eastAsia="黑体"/>
          <w:b w:val="0"/>
          <w:color w:val="auto"/>
          <w:sz w:val="32"/>
          <w:szCs w:val="32"/>
          <w:highlight w:val="none"/>
        </w:rPr>
      </w:pPr>
      <w:bookmarkStart w:id="255" w:name="_Toc351203640"/>
      <w:r>
        <w:rPr>
          <w:rFonts w:ascii="Times New Roman" w:hAnsi="Times New Roman" w:eastAsia="黑体"/>
          <w:b w:val="0"/>
          <w:color w:val="auto"/>
          <w:sz w:val="32"/>
          <w:szCs w:val="32"/>
          <w:highlight w:val="none"/>
        </w:rPr>
        <w:t>8. 材料与设备</w:t>
      </w:r>
      <w:bookmarkEnd w:id="255"/>
    </w:p>
    <w:bookmarkEnd w:id="190"/>
    <w:bookmarkEnd w:id="191"/>
    <w:bookmarkEnd w:id="192"/>
    <w:bookmarkEnd w:id="193"/>
    <w:bookmarkEnd w:id="194"/>
    <w:bookmarkEnd w:id="195"/>
    <w:bookmarkEnd w:id="196"/>
    <w:bookmarkEnd w:id="197"/>
    <w:bookmarkEnd w:id="198"/>
    <w:bookmarkEnd w:id="199"/>
    <w:p w14:paraId="7446CD26">
      <w:pPr>
        <w:spacing w:after="120" w:line="360" w:lineRule="auto"/>
        <w:ind w:firstLine="600" w:firstLineChars="200"/>
        <w:rPr>
          <w:rFonts w:eastAsia="仿宋_GB2312"/>
          <w:color w:val="auto"/>
          <w:sz w:val="30"/>
          <w:szCs w:val="32"/>
          <w:highlight w:val="none"/>
        </w:rPr>
      </w:pPr>
      <w:r>
        <w:rPr>
          <w:rFonts w:eastAsia="黑体"/>
          <w:color w:val="auto"/>
          <w:sz w:val="30"/>
          <w:szCs w:val="32"/>
          <w:highlight w:val="none"/>
        </w:rPr>
        <w:t>8.1</w:t>
      </w:r>
      <w:r>
        <w:rPr>
          <w:rFonts w:hint="eastAsia" w:eastAsia="仿宋_GB2312"/>
          <w:color w:val="auto"/>
          <w:sz w:val="30"/>
          <w:szCs w:val="32"/>
          <w:highlight w:val="none"/>
        </w:rPr>
        <w:t>发包人供应的材料承包人不得收取采保费 ，承包人应提前7天以书面形式向发包人提交材料供应计划，并附材料清单（须包含材料品种、规格、型号、数量等信息），书面通知必须经发包人现场代表签字方可有效。因承包人报送材料计划不及时所造成的工期延误、费用损失由承包人承担。</w:t>
      </w:r>
    </w:p>
    <w:p w14:paraId="17265EE4">
      <w:pPr>
        <w:spacing w:after="120" w:line="360" w:lineRule="auto"/>
        <w:ind w:firstLine="600" w:firstLineChars="200"/>
        <w:rPr>
          <w:rFonts w:eastAsia="仿宋_GB2312"/>
          <w:color w:val="auto"/>
          <w:sz w:val="30"/>
          <w:szCs w:val="32"/>
          <w:highlight w:val="none"/>
        </w:rPr>
      </w:pPr>
      <w:r>
        <w:rPr>
          <w:rFonts w:eastAsia="仿宋_GB2312"/>
          <w:color w:val="auto"/>
          <w:sz w:val="30"/>
          <w:szCs w:val="32"/>
          <w:highlight w:val="none"/>
        </w:rPr>
        <w:t>8.2</w:t>
      </w:r>
      <w:r>
        <w:rPr>
          <w:rFonts w:hint="eastAsia" w:eastAsia="仿宋_GB2312"/>
          <w:color w:val="auto"/>
          <w:sz w:val="30"/>
          <w:szCs w:val="32"/>
          <w:highlight w:val="none"/>
        </w:rPr>
        <w:t>承包人负责采购的材料设备，在使用推荐品牌前必须报发包人同意后方可使用，原则上使用发包人推荐品牌，并在采购前十四日内将所采购材料设备的厂家、技术参数、品牌、质量等级等指标以书面形式通知发包人，发包人收到承包人的书面报告后十四日内予以确认，经发包人认质、封样后承包人方可采购进场；承包人向发包人提供的产品合格证明文件及出厂证明文件必须为原件。</w:t>
      </w:r>
    </w:p>
    <w:p w14:paraId="7FF43EA7">
      <w:pPr>
        <w:pStyle w:val="8"/>
        <w:ind w:left="63" w:right="63" w:firstLine="600" w:firstLineChars="200"/>
        <w:jc w:val="left"/>
        <w:rPr>
          <w:rFonts w:eastAsia="仿宋_GB2312"/>
          <w:color w:val="auto"/>
          <w:highlight w:val="none"/>
        </w:rPr>
      </w:pPr>
      <w:r>
        <w:rPr>
          <w:rFonts w:hint="eastAsia" w:eastAsia="仿宋_GB2312"/>
          <w:color w:val="auto"/>
          <w:sz w:val="30"/>
          <w:szCs w:val="32"/>
          <w:highlight w:val="none"/>
        </w:rPr>
        <w:t>承包人采购的钢材须属于以下品牌之一：河钢集团有限公司、山西正大制管有限公司、陕西友发钢管有限公司、陕西钢铁集团有限公司、昆明钢铁控股有限公司、河北敬业精密制管有限公司、福建宁德正上管业科技有限公司、广西北港新材料有限公司、山西晋南钢铁集团有限公司、天津钢管集团股份有限公司、山东盛阳金属科技股份有限公司、青山控股集团有限公司、浦项(张家港) 不锈钢股份有限公司、山西太钢不锈钢股份有限公司、宁波宝新不锈钢有限公司、烟台东方不锈钢工业有限公司、山东泰山钢铁集团、中国宝武钢铁集团有限公司、酒泉钢铁(集团)有限责任公司、河北新武安钢铁集团有限公司、唐山正丰钢铁有限公司、唐山钢铁集团有限责任公司、马鞍山钢铁股份有限公司、内蒙古包钢钢联股份有限公司、河北津西钢铁集团股份有限公司、广西柳州钢铁集团有限公司、涟源钢铁集团有限公司、天津方聚汇源钢管有限公司、邯郸正大制管集团股份有限公司、四川振鸿钢制品有限公司、重庆三钢钢业有限责任公司、江阴华润制钢有限公司、天津友发钢管集团股份有限公司、天津利达钢管集团有限公司、青拓集团有限公司、武钢集团有限公司、邯郸钢铁集团有限责任公司、太原钢铁(集团)有限公司、攀钢集团有限公司、江苏沙钢集团有限公司、莱芜钢铁集团有限公司、济钢集团有限公司、安阳钢铁集团有限责任公司、包头钢铁 (集团) 有限责任公司、重庆钢铁 (集团)有限责任公司、北京建龙重工集团有限公司、湖南钢铁集团有限公司、中信泰富钢铁贸易有限公司、山东钢铁集团有限公司、上海德龙钢铁集团有限公司、首钢集团有限公司、鞍山钢铁集团有限公司、河钢集团有限公司、马钢（集团）控股有限公司、本溪钢铁（集团）有限责任公司、四川省达州钢铁集团有限责任公司、成渝钒钛科技有限公司、泸州鑫阳钒钛钢铁有限公司、重庆永航钢铁集团有限公司或相当于同等档次品牌。</w:t>
      </w:r>
    </w:p>
    <w:p w14:paraId="264685A7">
      <w:pPr>
        <w:spacing w:after="120" w:line="360" w:lineRule="auto"/>
        <w:ind w:firstLine="600" w:firstLineChars="200"/>
        <w:rPr>
          <w:rFonts w:eastAsia="仿宋_GB2312"/>
          <w:color w:val="auto"/>
          <w:sz w:val="30"/>
          <w:szCs w:val="32"/>
          <w:highlight w:val="none"/>
        </w:rPr>
      </w:pPr>
      <w:r>
        <w:rPr>
          <w:rFonts w:hint="eastAsia" w:eastAsia="仿宋_GB2312"/>
          <w:color w:val="auto"/>
          <w:sz w:val="30"/>
          <w:szCs w:val="32"/>
          <w:highlight w:val="none"/>
        </w:rPr>
        <w:t>承包人采购的电缆须属于以下品牌之一：昆明电缆集团股份有限公司、安徽天康(集团)股份有限公司、上海起帆电缆股份有限公司、宝胜集团有限公司、青岛汉缆股份有限公司、江苏上上电缆集团有限公司、远东电缆有限公司、上海熊猫线缆股份有限公司、东莞市民兴电缆有限公司、特变电工(德阳)电缆股份有限公司、宝胜科技创新股份有限公司、正泰集团股份有限公司、德力西集团有限公司、金龙羽集团股份有限公司、金杯电工股份有限公司、上海胜华电缆科技集团有限公司、亨通集团有限公司、山东阳谷电缆集团有限公司、无锡江南电缆有限公司、江西金一电缆有限公司、重庆三峡电缆(集团)有限公司、渝丰科技股份有限公司、四川鑫电电缆有限公司、安徽江淮电缆集团有限公司、上海沪安电缆(集团)有限公司、绿宝电缆(集团)有限公司、金杯电工(成都)有限公司、重庆泰山电缆有限公司、重庆鸽牌电线电缆有限公司或相当于同等档次品牌。</w:t>
      </w:r>
    </w:p>
    <w:p w14:paraId="7CDCE608">
      <w:pPr>
        <w:spacing w:after="120" w:line="360" w:lineRule="auto"/>
        <w:ind w:firstLine="600" w:firstLineChars="200"/>
        <w:rPr>
          <w:rFonts w:eastAsia="仿宋_GB2312"/>
          <w:color w:val="auto"/>
          <w:sz w:val="30"/>
          <w:szCs w:val="32"/>
          <w:highlight w:val="none"/>
        </w:rPr>
      </w:pPr>
      <w:r>
        <w:rPr>
          <w:rFonts w:hint="eastAsia" w:eastAsia="仿宋_GB2312"/>
          <w:color w:val="auto"/>
          <w:sz w:val="30"/>
          <w:szCs w:val="32"/>
          <w:highlight w:val="none"/>
        </w:rPr>
        <w:t>承包人采购的油漆须属于以下品牌之一：重庆三峡油漆股份有限公司、郑州双塔涂料有限公司、湖南湘江涂料集团有限公司、江苏兰陵化工集团有限公司、江苏云松防腐材料有限公司、陕西宝塔山油漆股份有限公司、南方牌油漆（广东珠江化工涂料有限公司）或相当于同等档次品牌。</w:t>
      </w:r>
    </w:p>
    <w:p w14:paraId="66F7F334">
      <w:pPr>
        <w:pStyle w:val="8"/>
        <w:ind w:left="63" w:right="63" w:firstLine="600"/>
        <w:jc w:val="left"/>
        <w:rPr>
          <w:rFonts w:eastAsia="仿宋_GB2312"/>
          <w:color w:val="auto"/>
          <w:sz w:val="30"/>
          <w:szCs w:val="32"/>
          <w:highlight w:val="none"/>
        </w:rPr>
      </w:pPr>
      <w:r>
        <w:rPr>
          <w:rFonts w:hint="eastAsia" w:eastAsia="仿宋_GB2312"/>
          <w:color w:val="auto"/>
          <w:sz w:val="30"/>
          <w:szCs w:val="32"/>
          <w:highlight w:val="none"/>
        </w:rPr>
        <w:t>承包人采购的碳钢或不锈钢管件法兰须属于以下品牌之一：河北洲际重工有限公司，河北广浩管件集团，河北海浩高压法兰管件集团，河北圣天管件集团有限公司、江苏武进不锈股份有限公司或相当于同等档次品牌。</w:t>
      </w:r>
    </w:p>
    <w:p w14:paraId="31BB8FB6">
      <w:pPr>
        <w:ind w:firstLine="600"/>
        <w:rPr>
          <w:rFonts w:eastAsia="仿宋_GB2312"/>
          <w:color w:val="auto"/>
          <w:kern w:val="0"/>
          <w:sz w:val="30"/>
          <w:szCs w:val="32"/>
          <w:highlight w:val="none"/>
        </w:rPr>
      </w:pPr>
      <w:r>
        <w:rPr>
          <w:rFonts w:hint="eastAsia" w:eastAsia="仿宋_GB2312"/>
          <w:color w:val="auto"/>
          <w:kern w:val="0"/>
          <w:sz w:val="30"/>
          <w:szCs w:val="32"/>
          <w:highlight w:val="none"/>
        </w:rPr>
        <w:t>如确需采购以上品牌以外的材料，须经发包人书面同意，否则相关材料不允许用于本工程，已用于本工程的限期整改，逾期未整改完毕，发包人有权单方解除合同，不承担违约责任。如发包人选择解除合同，承包人应于发包人解除合同之日起5日内向发包人支付合同金额10%的违约金，逾期支付，承包人应额外向发包人支付未付金额0.5‰/天的逾期违约金直至完全支付时。如发包人选择不解除合同，发包人有权按照本合同招标控制价中对应清单中材料单价的50%乘以对应材料的数量对承包人扣除违约金。如该材料属于另行认质核价的材料，实际用于现场的材料品牌与核价的品牌不一致，发包人有权按照核价单价的50%乘以对应材料的数量对承包人扣除违约金。</w:t>
      </w:r>
    </w:p>
    <w:p w14:paraId="3EA632C9">
      <w:pPr>
        <w:ind w:firstLine="600"/>
        <w:rPr>
          <w:rFonts w:eastAsia="仿宋_GB2312"/>
          <w:color w:val="auto"/>
          <w:kern w:val="0"/>
          <w:sz w:val="30"/>
          <w:szCs w:val="32"/>
          <w:highlight w:val="none"/>
        </w:rPr>
      </w:pPr>
      <w:r>
        <w:rPr>
          <w:rFonts w:hint="eastAsia" w:eastAsia="仿宋_GB2312"/>
          <w:color w:val="auto"/>
          <w:kern w:val="0"/>
          <w:sz w:val="30"/>
          <w:szCs w:val="32"/>
          <w:highlight w:val="none"/>
        </w:rPr>
        <w:t xml:space="preserve">承包人对发包人认质核价结果有异议的，应在收到核价结果后 </w:t>
      </w:r>
      <w:r>
        <w:rPr>
          <w:rFonts w:eastAsia="仿宋_GB2312"/>
          <w:color w:val="auto"/>
          <w:kern w:val="0"/>
          <w:sz w:val="30"/>
          <w:szCs w:val="32"/>
          <w:highlight w:val="none"/>
        </w:rPr>
        <w:t>10</w:t>
      </w:r>
      <w:r>
        <w:rPr>
          <w:rFonts w:hint="eastAsia" w:eastAsia="仿宋_GB2312"/>
          <w:color w:val="auto"/>
          <w:kern w:val="0"/>
          <w:sz w:val="30"/>
          <w:szCs w:val="32"/>
          <w:highlight w:val="none"/>
        </w:rPr>
        <w:t xml:space="preserve">日内书面提出，发包人应在收到异议后 </w:t>
      </w:r>
      <w:r>
        <w:rPr>
          <w:rFonts w:eastAsia="仿宋_GB2312"/>
          <w:color w:val="auto"/>
          <w:kern w:val="0"/>
          <w:sz w:val="30"/>
          <w:szCs w:val="32"/>
          <w:highlight w:val="none"/>
        </w:rPr>
        <w:t>7</w:t>
      </w:r>
      <w:r>
        <w:rPr>
          <w:rFonts w:hint="eastAsia" w:eastAsia="仿宋_GB2312"/>
          <w:color w:val="auto"/>
          <w:kern w:val="0"/>
          <w:sz w:val="30"/>
          <w:szCs w:val="32"/>
          <w:highlight w:val="none"/>
        </w:rPr>
        <w:t xml:space="preserve">日内组织复核并出具第二次核价结果。承包人应于收到第二次核价结果之日起 </w:t>
      </w:r>
      <w:r>
        <w:rPr>
          <w:rFonts w:eastAsia="仿宋_GB2312"/>
          <w:color w:val="auto"/>
          <w:kern w:val="0"/>
          <w:sz w:val="30"/>
          <w:szCs w:val="32"/>
          <w:highlight w:val="none"/>
        </w:rPr>
        <w:t>5</w:t>
      </w:r>
      <w:r>
        <w:rPr>
          <w:rFonts w:hint="eastAsia" w:eastAsia="仿宋_GB2312"/>
          <w:color w:val="auto"/>
          <w:kern w:val="0"/>
          <w:sz w:val="30"/>
          <w:szCs w:val="32"/>
          <w:highlight w:val="none"/>
        </w:rPr>
        <w:t>日内书面确认接受；逾期未书面确认或提出异议的，视为承包人已接受该次核价结果。若承包人对第二次核价结果仍不接受，则发包人有权单方决定将该部分材料变更为甲供材料（即由发包人自行采购），原合同约定的承包人供货义务相应免除。发包人作出变更决定后，应书面通知承包人，承包人须无条件配合相关交接工作，包括但不限于提供材料清单、供应</w:t>
      </w:r>
      <w:r>
        <w:rPr>
          <w:rFonts w:eastAsia="仿宋_GB2312"/>
          <w:color w:val="auto"/>
          <w:kern w:val="0"/>
          <w:sz w:val="30"/>
          <w:szCs w:val="32"/>
          <w:highlight w:val="none"/>
        </w:rPr>
        <w:t>计划</w:t>
      </w:r>
      <w:r>
        <w:rPr>
          <w:rFonts w:hint="eastAsia" w:eastAsia="仿宋_GB2312"/>
          <w:color w:val="auto"/>
          <w:kern w:val="0"/>
          <w:sz w:val="30"/>
          <w:szCs w:val="32"/>
          <w:highlight w:val="none"/>
        </w:rPr>
        <w:t>等。在上述甲供变更情形下，若发包人实际采购该部分材料的价格（不含税）低于第二次核价结果的，承包人须按（第二次核价结果单价-发包人实际采购单价）×该部分材料实际用量×</w:t>
      </w:r>
      <w:r>
        <w:rPr>
          <w:rFonts w:eastAsia="仿宋_GB2312"/>
          <w:color w:val="auto"/>
          <w:kern w:val="0"/>
          <w:sz w:val="30"/>
          <w:szCs w:val="32"/>
          <w:highlight w:val="none"/>
        </w:rPr>
        <w:t>50</w:t>
      </w:r>
      <w:r>
        <w:rPr>
          <w:rFonts w:hint="eastAsia" w:eastAsia="仿宋_GB2312"/>
          <w:color w:val="auto"/>
          <w:kern w:val="0"/>
          <w:sz w:val="30"/>
          <w:szCs w:val="32"/>
          <w:highlight w:val="none"/>
        </w:rPr>
        <w:t>%向发包人支付违约金，发包人有权从应付承包人的任何工程款中直接抵扣，且发包人有权向承包人追偿因此造成的工期损失。</w:t>
      </w:r>
    </w:p>
    <w:p w14:paraId="22BD3CDD">
      <w:pPr>
        <w:spacing w:after="120" w:line="360" w:lineRule="auto"/>
        <w:ind w:firstLine="600" w:firstLineChars="200"/>
        <w:rPr>
          <w:rFonts w:eastAsia="仿宋_GB2312"/>
          <w:color w:val="auto"/>
          <w:sz w:val="30"/>
          <w:szCs w:val="32"/>
          <w:highlight w:val="none"/>
        </w:rPr>
      </w:pPr>
      <w:r>
        <w:rPr>
          <w:rFonts w:eastAsia="仿宋_GB2312"/>
          <w:color w:val="auto"/>
          <w:sz w:val="30"/>
          <w:szCs w:val="32"/>
          <w:highlight w:val="none"/>
        </w:rPr>
        <w:t>8.3</w:t>
      </w:r>
      <w:r>
        <w:rPr>
          <w:rFonts w:hint="eastAsia" w:eastAsia="仿宋_GB2312"/>
          <w:color w:val="auto"/>
          <w:sz w:val="30"/>
          <w:szCs w:val="32"/>
          <w:highlight w:val="none"/>
        </w:rPr>
        <w:t>发包人供应材料到工程所在地发包人厂区内任何地点，承包人负责材料到场后不分昼夜的随到随卸，并负责材料入库堆放整齐，卸货及材料场内转运费用由承包人承担。承包人需与发包人对甲供材移交清单共同签字确认，</w:t>
      </w:r>
      <w:r>
        <w:rPr>
          <w:rFonts w:hint="eastAsia" w:eastAsia="仿宋_GB2312"/>
          <w:color w:val="auto"/>
          <w:sz w:val="30"/>
          <w:szCs w:val="32"/>
          <w:highlight w:val="none"/>
          <w:lang w:eastAsia="zh-CN"/>
        </w:rPr>
        <w:t>承包人收到移交清单后3日内未签字确认也未提出书面异议的，</w:t>
      </w:r>
      <w:r>
        <w:rPr>
          <w:rFonts w:hint="eastAsia" w:eastAsia="仿宋_GB2312"/>
          <w:color w:val="auto"/>
          <w:sz w:val="30"/>
          <w:szCs w:val="32"/>
          <w:highlight w:val="none"/>
        </w:rPr>
        <w:t>以发包人所提供材料供应商送货清单</w:t>
      </w:r>
      <w:r>
        <w:rPr>
          <w:rFonts w:hint="eastAsia" w:eastAsia="仿宋_GB2312"/>
          <w:color w:val="auto"/>
          <w:sz w:val="30"/>
          <w:szCs w:val="32"/>
          <w:highlight w:val="none"/>
          <w:lang w:eastAsia="zh-CN"/>
        </w:rPr>
        <w:t>及现场验收记录</w:t>
      </w:r>
      <w:r>
        <w:rPr>
          <w:rFonts w:hint="eastAsia" w:eastAsia="仿宋_GB2312"/>
          <w:color w:val="auto"/>
          <w:sz w:val="30"/>
          <w:szCs w:val="32"/>
          <w:highlight w:val="none"/>
        </w:rPr>
        <w:t>为准。甲供材移交承包人时，随材料到场的相关资料一并移交承包人，由承包人整理保管，最终作为竣工资料移交发包人，如承包人管理不善导致资料遗失或移交资料不完善，按专用条款3.1条关于逾期提交竣工资料相关违约条款执行。</w:t>
      </w:r>
    </w:p>
    <w:p w14:paraId="4DDC84CA">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8</w:t>
      </w:r>
      <w:bookmarkStart w:id="256" w:name="_Toc297123527"/>
      <w:bookmarkStart w:id="257" w:name="_Toc280868654"/>
      <w:bookmarkStart w:id="258" w:name="_Toc312678019"/>
      <w:bookmarkStart w:id="259" w:name="_Toc296890995"/>
      <w:bookmarkStart w:id="260" w:name="_Toc297120467"/>
      <w:bookmarkStart w:id="261" w:name="_Toc303539136"/>
      <w:bookmarkStart w:id="262" w:name="_Toc296503167"/>
      <w:bookmarkStart w:id="263" w:name="_Toc292559877"/>
      <w:bookmarkStart w:id="264" w:name="_Toc292559372"/>
      <w:bookmarkStart w:id="265" w:name="_Toc312677493"/>
      <w:bookmarkStart w:id="266" w:name="_Toc300934979"/>
      <w:bookmarkStart w:id="267" w:name="_Toc296346668"/>
      <w:bookmarkStart w:id="268" w:name="_Toc297048353"/>
      <w:bookmarkStart w:id="269" w:name="_Toc304295556"/>
      <w:bookmarkStart w:id="270" w:name="_Toc296347166"/>
      <w:bookmarkStart w:id="271" w:name="_Toc296944506"/>
      <w:bookmarkStart w:id="272" w:name="_Toc296891207"/>
      <w:bookmarkStart w:id="273" w:name="_Toc297216186"/>
      <w:bookmarkStart w:id="274" w:name="_Toc280868656"/>
      <w:bookmarkStart w:id="275" w:name="_Toc280868655"/>
      <w:bookmarkStart w:id="276" w:name="_Toc267251424"/>
      <w:r>
        <w:rPr>
          <w:rFonts w:eastAsia="黑体"/>
          <w:color w:val="auto"/>
          <w:sz w:val="30"/>
          <w:szCs w:val="32"/>
          <w:highlight w:val="none"/>
        </w:rPr>
        <w:t>.4材料与工程设备的保管与使用</w:t>
      </w:r>
    </w:p>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14:paraId="0B1D7457">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8</w:t>
      </w:r>
      <w:bookmarkStart w:id="277" w:name="_Toc292559878"/>
      <w:bookmarkStart w:id="278" w:name="_Toc292559373"/>
      <w:bookmarkStart w:id="279" w:name="_Toc296944507"/>
      <w:bookmarkStart w:id="280" w:name="_Toc312677494"/>
      <w:bookmarkStart w:id="281" w:name="_Toc318581173"/>
      <w:bookmarkStart w:id="282" w:name="_Toc300934980"/>
      <w:bookmarkStart w:id="283" w:name="_Toc297123528"/>
      <w:bookmarkStart w:id="284" w:name="_Toc297048354"/>
      <w:bookmarkStart w:id="285" w:name="_Toc297120468"/>
      <w:bookmarkStart w:id="286" w:name="_Toc304295557"/>
      <w:bookmarkStart w:id="287" w:name="_Toc297216187"/>
      <w:bookmarkStart w:id="288" w:name="_Toc296891208"/>
      <w:bookmarkStart w:id="289" w:name="_Toc296503168"/>
      <w:bookmarkStart w:id="290" w:name="_Toc303539137"/>
      <w:bookmarkStart w:id="291" w:name="_Toc312678020"/>
      <w:bookmarkStart w:id="292" w:name="_Toc296890996"/>
      <w:bookmarkStart w:id="293" w:name="_Toc296346669"/>
      <w:bookmarkStart w:id="294" w:name="_Toc296347167"/>
      <w:r>
        <w:rPr>
          <w:rFonts w:eastAsia="仿宋_GB2312"/>
          <w:color w:val="auto"/>
          <w:sz w:val="30"/>
          <w:szCs w:val="32"/>
          <w:highlight w:val="none"/>
        </w:rPr>
        <w:t>.4.1发包人供应的材料设备的保管费用的承担：</w:t>
      </w:r>
      <w:r>
        <w:rPr>
          <w:rFonts w:hint="eastAsia" w:eastAsia="仿宋_GB2312"/>
          <w:color w:val="auto"/>
          <w:sz w:val="30"/>
          <w:szCs w:val="32"/>
          <w:highlight w:val="none"/>
          <w:u w:val="single"/>
        </w:rPr>
        <w:t>由承包人承担</w:t>
      </w:r>
      <w:r>
        <w:rPr>
          <w:rFonts w:eastAsia="仿宋_GB2312"/>
          <w:color w:val="auto"/>
          <w:sz w:val="30"/>
          <w:szCs w:val="32"/>
          <w:highlight w:val="none"/>
          <w:u w:val="single"/>
        </w:rPr>
        <w:t xml:space="preserve">  </w:t>
      </w:r>
      <w:r>
        <w:rPr>
          <w:rFonts w:eastAsia="仿宋_GB2312"/>
          <w:color w:val="auto"/>
          <w:sz w:val="30"/>
          <w:szCs w:val="32"/>
          <w:highlight w:val="none"/>
        </w:rPr>
        <w:t>。</w:t>
      </w:r>
      <w:bookmarkEnd w:id="277"/>
      <w:bookmarkEnd w:id="278"/>
    </w:p>
    <w:p w14:paraId="02A28605">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8.8 施工设备和临时设施</w:t>
      </w:r>
    </w:p>
    <w:p w14:paraId="78DAEB62">
      <w:pPr>
        <w:autoSpaceDE w:val="0"/>
        <w:autoSpaceDN w:val="0"/>
        <w:adjustRightInd w:val="0"/>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8.8.1 承包人提供的施工设备和临时设施</w:t>
      </w:r>
    </w:p>
    <w:p w14:paraId="1FB8BF9C">
      <w:pPr>
        <w:autoSpaceDE w:val="0"/>
        <w:autoSpaceDN w:val="0"/>
        <w:adjustRightInd w:val="0"/>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关于修建临时设施费用承担的约定：</w:t>
      </w:r>
      <w:r>
        <w:rPr>
          <w:rFonts w:hint="eastAsia" w:eastAsia="仿宋_GB2312"/>
          <w:color w:val="auto"/>
          <w:sz w:val="30"/>
          <w:szCs w:val="32"/>
          <w:highlight w:val="none"/>
          <w:u w:val="single"/>
        </w:rPr>
        <w:t>由承包人承担；</w:t>
      </w:r>
      <w:r>
        <w:rPr>
          <w:rFonts w:eastAsia="仿宋_GB2312"/>
          <w:color w:val="auto"/>
          <w:sz w:val="30"/>
          <w:szCs w:val="32"/>
          <w:highlight w:val="none"/>
          <w:u w:val="single"/>
        </w:rPr>
        <w:t>需要临时占地的，应由</w:t>
      </w:r>
      <w:r>
        <w:rPr>
          <w:rFonts w:hint="eastAsia" w:eastAsia="仿宋_GB2312"/>
          <w:color w:val="auto"/>
          <w:sz w:val="30"/>
          <w:szCs w:val="32"/>
          <w:highlight w:val="none"/>
          <w:u w:val="single"/>
        </w:rPr>
        <w:t>承包人</w:t>
      </w:r>
      <w:r>
        <w:rPr>
          <w:rFonts w:eastAsia="仿宋_GB2312"/>
          <w:color w:val="auto"/>
          <w:sz w:val="30"/>
          <w:szCs w:val="32"/>
          <w:highlight w:val="none"/>
          <w:u w:val="single"/>
        </w:rPr>
        <w:t xml:space="preserve">办理申请手续并承担相应费用   </w:t>
      </w:r>
      <w:r>
        <w:rPr>
          <w:rFonts w:eastAsia="仿宋_GB2312"/>
          <w:color w:val="auto"/>
          <w:sz w:val="30"/>
          <w:szCs w:val="32"/>
          <w:highlight w:val="none"/>
        </w:rPr>
        <w:t>。</w:t>
      </w:r>
    </w:p>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14:paraId="46562146">
      <w:pPr>
        <w:pStyle w:val="5"/>
        <w:spacing w:before="120" w:after="120" w:line="360" w:lineRule="auto"/>
        <w:rPr>
          <w:rFonts w:ascii="Times New Roman" w:hAnsi="Times New Roman" w:eastAsia="黑体"/>
          <w:b w:val="0"/>
          <w:color w:val="auto"/>
          <w:sz w:val="32"/>
          <w:szCs w:val="32"/>
          <w:highlight w:val="none"/>
        </w:rPr>
      </w:pPr>
      <w:bookmarkStart w:id="295" w:name="_Toc351203641"/>
      <w:r>
        <w:rPr>
          <w:rFonts w:ascii="Times New Roman" w:hAnsi="Times New Roman" w:eastAsia="黑体"/>
          <w:b w:val="0"/>
          <w:color w:val="auto"/>
          <w:sz w:val="32"/>
          <w:szCs w:val="32"/>
          <w:highlight w:val="none"/>
        </w:rPr>
        <w:t>9</w:t>
      </w:r>
      <w:bookmarkEnd w:id="274"/>
      <w:bookmarkEnd w:id="275"/>
      <w:bookmarkEnd w:id="276"/>
      <w:bookmarkStart w:id="296" w:name="_Toc312678021"/>
      <w:bookmarkStart w:id="297" w:name="_Toc304295559"/>
      <w:bookmarkStart w:id="298" w:name="_Toc297123533"/>
      <w:bookmarkStart w:id="299" w:name="_Toc300934982"/>
      <w:bookmarkStart w:id="300" w:name="_Toc297216192"/>
      <w:bookmarkStart w:id="301" w:name="_Toc303539139"/>
      <w:bookmarkStart w:id="302" w:name="_Toc312677495"/>
      <w:bookmarkStart w:id="303" w:name="_Toc296944512"/>
      <w:bookmarkStart w:id="304" w:name="_Toc296346674"/>
      <w:bookmarkStart w:id="305" w:name="_Toc296891213"/>
      <w:bookmarkStart w:id="306" w:name="_Toc296503173"/>
      <w:bookmarkStart w:id="307" w:name="_Toc267251428"/>
      <w:bookmarkStart w:id="308" w:name="_Toc292559378"/>
      <w:bookmarkStart w:id="309" w:name="_Toc296891001"/>
      <w:bookmarkStart w:id="310" w:name="_Toc292559883"/>
      <w:bookmarkStart w:id="311" w:name="_Toc297120473"/>
      <w:bookmarkStart w:id="312" w:name="_Toc297048359"/>
      <w:bookmarkStart w:id="313" w:name="_Toc267251427"/>
      <w:bookmarkStart w:id="314" w:name="_Toc296347172"/>
      <w:r>
        <w:rPr>
          <w:rFonts w:ascii="Times New Roman" w:hAnsi="Times New Roman" w:eastAsia="黑体"/>
          <w:b w:val="0"/>
          <w:color w:val="auto"/>
          <w:sz w:val="32"/>
          <w:szCs w:val="32"/>
          <w:highlight w:val="none"/>
        </w:rPr>
        <w:t>. 试验与检验</w:t>
      </w:r>
      <w:bookmarkEnd w:id="295"/>
    </w:p>
    <w:bookmarkEnd w:id="296"/>
    <w:bookmarkEnd w:id="297"/>
    <w:bookmarkEnd w:id="298"/>
    <w:bookmarkEnd w:id="299"/>
    <w:bookmarkEnd w:id="300"/>
    <w:bookmarkEnd w:id="301"/>
    <w:bookmarkEnd w:id="302"/>
    <w:p w14:paraId="483855D4">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9</w:t>
      </w:r>
      <w:bookmarkStart w:id="315" w:name="_Toc297123534"/>
      <w:bookmarkStart w:id="316" w:name="_Toc303539140"/>
      <w:bookmarkStart w:id="317" w:name="_Toc300934983"/>
      <w:bookmarkStart w:id="318" w:name="_Toc297216193"/>
      <w:bookmarkStart w:id="319" w:name="_Toc304295560"/>
      <w:bookmarkStart w:id="320" w:name="_Toc312677496"/>
      <w:bookmarkStart w:id="321" w:name="_Toc312678022"/>
      <w:r>
        <w:rPr>
          <w:rFonts w:eastAsia="黑体"/>
          <w:color w:val="auto"/>
          <w:sz w:val="30"/>
          <w:szCs w:val="32"/>
          <w:highlight w:val="none"/>
        </w:rPr>
        <w:t>.1试验设备与试验人员</w:t>
      </w:r>
    </w:p>
    <w:bookmarkEnd w:id="315"/>
    <w:bookmarkEnd w:id="316"/>
    <w:bookmarkEnd w:id="317"/>
    <w:bookmarkEnd w:id="318"/>
    <w:bookmarkEnd w:id="319"/>
    <w:bookmarkEnd w:id="320"/>
    <w:bookmarkEnd w:id="321"/>
    <w:p w14:paraId="3DF8F040">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9</w:t>
      </w:r>
      <w:bookmarkStart w:id="322" w:name="_Toc312677497"/>
      <w:bookmarkStart w:id="323" w:name="_Toc312678023"/>
      <w:bookmarkStart w:id="324" w:name="_Toc304295561"/>
      <w:bookmarkStart w:id="325" w:name="_Toc297123535"/>
      <w:bookmarkStart w:id="326" w:name="_Toc303539141"/>
      <w:bookmarkStart w:id="327" w:name="_Toc297216194"/>
      <w:bookmarkStart w:id="328" w:name="_Toc300934984"/>
      <w:bookmarkStart w:id="329" w:name="_Toc318581174"/>
      <w:r>
        <w:rPr>
          <w:rFonts w:eastAsia="仿宋_GB2312"/>
          <w:color w:val="auto"/>
          <w:sz w:val="30"/>
          <w:szCs w:val="32"/>
          <w:highlight w:val="none"/>
        </w:rPr>
        <w:t>.1.2 试验设备</w:t>
      </w:r>
    </w:p>
    <w:p w14:paraId="3BA20CC1">
      <w:pPr>
        <w:spacing w:line="360" w:lineRule="auto"/>
        <w:jc w:val="left"/>
        <w:rPr>
          <w:rFonts w:eastAsia="仿宋_GB2312"/>
          <w:color w:val="auto"/>
          <w:sz w:val="30"/>
          <w:szCs w:val="32"/>
          <w:highlight w:val="none"/>
        </w:rPr>
      </w:pPr>
      <w:r>
        <w:rPr>
          <w:rFonts w:eastAsia="仿宋_GB2312"/>
          <w:color w:val="auto"/>
          <w:sz w:val="30"/>
          <w:szCs w:val="32"/>
          <w:highlight w:val="none"/>
        </w:rPr>
        <w:t>施工现场需要配置的试验场所、</w:t>
      </w:r>
      <w:r>
        <w:rPr>
          <w:rFonts w:hint="eastAsia" w:eastAsia="仿宋_GB2312"/>
          <w:color w:val="auto"/>
          <w:sz w:val="30"/>
          <w:szCs w:val="32"/>
          <w:highlight w:val="none"/>
        </w:rPr>
        <w:t>配备的实验设备及其他实验条件</w:t>
      </w:r>
      <w:bookmarkEnd w:id="322"/>
      <w:bookmarkEnd w:id="323"/>
      <w:bookmarkEnd w:id="324"/>
      <w:bookmarkEnd w:id="325"/>
      <w:bookmarkEnd w:id="326"/>
      <w:bookmarkEnd w:id="327"/>
      <w:bookmarkEnd w:id="328"/>
      <w:bookmarkStart w:id="330" w:name="_Toc312678024"/>
      <w:bookmarkStart w:id="331" w:name="_Toc303539142"/>
      <w:bookmarkStart w:id="332" w:name="_Toc297123536"/>
      <w:bookmarkStart w:id="333" w:name="_Toc304295562"/>
      <w:bookmarkStart w:id="334" w:name="_Toc297216195"/>
      <w:bookmarkStart w:id="335" w:name="_Toc312677498"/>
      <w:bookmarkStart w:id="336" w:name="_Toc300934985"/>
      <w:r>
        <w:rPr>
          <w:rFonts w:eastAsia="仿宋_GB2312"/>
          <w:color w:val="auto"/>
          <w:sz w:val="30"/>
          <w:szCs w:val="32"/>
          <w:highlight w:val="none"/>
        </w:rPr>
        <w:t>：</w:t>
      </w:r>
      <w:r>
        <w:rPr>
          <w:rFonts w:hint="eastAsia" w:eastAsia="仿宋_GB2312"/>
          <w:color w:val="auto"/>
          <w:sz w:val="30"/>
          <w:szCs w:val="32"/>
          <w:highlight w:val="none"/>
          <w:u w:val="single"/>
        </w:rPr>
        <w:t>须满足检验试验相关需求</w:t>
      </w:r>
      <w:r>
        <w:rPr>
          <w:rFonts w:eastAsia="仿宋_GB2312"/>
          <w:color w:val="auto"/>
          <w:sz w:val="30"/>
          <w:szCs w:val="32"/>
          <w:highlight w:val="none"/>
          <w:u w:val="single"/>
        </w:rPr>
        <w:t xml:space="preserve">  </w:t>
      </w:r>
      <w:r>
        <w:rPr>
          <w:rFonts w:eastAsia="仿宋_GB2312"/>
          <w:color w:val="auto"/>
          <w:sz w:val="30"/>
          <w:szCs w:val="32"/>
          <w:highlight w:val="none"/>
        </w:rPr>
        <w:t>。</w:t>
      </w:r>
      <w:r>
        <w:rPr>
          <w:rFonts w:hint="eastAsia" w:eastAsia="仿宋_GB2312"/>
          <w:color w:val="auto"/>
          <w:sz w:val="30"/>
          <w:szCs w:val="32"/>
          <w:highlight w:val="none"/>
        </w:rPr>
        <w:t xml:space="preserve"> </w:t>
      </w:r>
    </w:p>
    <w:p w14:paraId="7FC672D0">
      <w:pPr>
        <w:spacing w:line="360" w:lineRule="auto"/>
        <w:jc w:val="left"/>
        <w:rPr>
          <w:rFonts w:eastAsia="仿宋_GB2312"/>
          <w:color w:val="auto"/>
          <w:sz w:val="30"/>
          <w:szCs w:val="32"/>
          <w:highlight w:val="none"/>
        </w:rPr>
      </w:pPr>
      <w:r>
        <w:rPr>
          <w:rFonts w:eastAsia="仿宋_GB2312"/>
          <w:color w:val="auto"/>
          <w:sz w:val="30"/>
          <w:szCs w:val="32"/>
          <w:highlight w:val="none"/>
        </w:rPr>
        <w:t xml:space="preserve">    9.5</w:t>
      </w:r>
      <w:r>
        <w:rPr>
          <w:rFonts w:hint="eastAsia" w:eastAsia="仿宋_GB2312"/>
          <w:color w:val="auto"/>
          <w:sz w:val="30"/>
          <w:szCs w:val="32"/>
          <w:highlight w:val="none"/>
        </w:rPr>
        <w:t>本工程中不属于承包人需承担的特殊检验相关手续由承包人负责办理，承包人凭特殊检验费发票、特殊检验报告单及发包人出具的相关书面委托书向发包人报销。</w:t>
      </w:r>
    </w:p>
    <w:bookmarkEnd w:id="329"/>
    <w:bookmarkEnd w:id="330"/>
    <w:bookmarkEnd w:id="331"/>
    <w:bookmarkEnd w:id="332"/>
    <w:bookmarkEnd w:id="333"/>
    <w:bookmarkEnd w:id="334"/>
    <w:bookmarkEnd w:id="335"/>
    <w:bookmarkEnd w:id="336"/>
    <w:p w14:paraId="6AD6DD37">
      <w:pPr>
        <w:pStyle w:val="5"/>
        <w:spacing w:before="120" w:after="120" w:line="360" w:lineRule="auto"/>
        <w:rPr>
          <w:rFonts w:ascii="Times New Roman" w:hAnsi="Times New Roman" w:eastAsia="黑体"/>
          <w:b w:val="0"/>
          <w:color w:val="auto"/>
          <w:sz w:val="32"/>
          <w:szCs w:val="32"/>
          <w:highlight w:val="none"/>
        </w:rPr>
      </w:pPr>
      <w:bookmarkStart w:id="337" w:name="_Toc351203642"/>
      <w:r>
        <w:rPr>
          <w:rFonts w:ascii="Times New Roman" w:hAnsi="Times New Roman" w:eastAsia="黑体"/>
          <w:b w:val="0"/>
          <w:color w:val="auto"/>
          <w:sz w:val="32"/>
          <w:szCs w:val="32"/>
          <w:highlight w:val="none"/>
        </w:rPr>
        <w:t>1</w:t>
      </w:r>
      <w:bookmarkEnd w:id="303"/>
      <w:bookmarkEnd w:id="304"/>
      <w:bookmarkEnd w:id="305"/>
      <w:bookmarkEnd w:id="306"/>
      <w:bookmarkEnd w:id="307"/>
      <w:bookmarkEnd w:id="308"/>
      <w:bookmarkEnd w:id="309"/>
      <w:bookmarkEnd w:id="310"/>
      <w:bookmarkEnd w:id="311"/>
      <w:bookmarkEnd w:id="312"/>
      <w:bookmarkEnd w:id="313"/>
      <w:bookmarkEnd w:id="314"/>
      <w:bookmarkStart w:id="338" w:name="_Toc300934989"/>
      <w:bookmarkStart w:id="339" w:name="_Toc297123540"/>
      <w:bookmarkStart w:id="340" w:name="_Toc296347192"/>
      <w:bookmarkStart w:id="341" w:name="_Toc296891021"/>
      <w:bookmarkStart w:id="342" w:name="_Toc296346694"/>
      <w:bookmarkStart w:id="343" w:name="_Toc296944532"/>
      <w:bookmarkStart w:id="344" w:name="_Toc297216199"/>
      <w:bookmarkStart w:id="345" w:name="_Toc297120493"/>
      <w:bookmarkStart w:id="346" w:name="_Toc303539146"/>
      <w:bookmarkStart w:id="347" w:name="_Toc296503193"/>
      <w:bookmarkStart w:id="348" w:name="_Toc292559398"/>
      <w:bookmarkStart w:id="349" w:name="_Toc292559903"/>
      <w:bookmarkStart w:id="350" w:name="_Toc297048379"/>
      <w:bookmarkStart w:id="351" w:name="_Toc296891233"/>
      <w:bookmarkStart w:id="352" w:name="_Toc304295566"/>
      <w:bookmarkStart w:id="353" w:name="_Toc312678025"/>
      <w:bookmarkStart w:id="354" w:name="_Toc312677499"/>
      <w:bookmarkStart w:id="355" w:name="_Toc267251435"/>
      <w:bookmarkStart w:id="356" w:name="_Toc267251440"/>
      <w:bookmarkStart w:id="357" w:name="_Toc267251433"/>
      <w:bookmarkStart w:id="358" w:name="_Toc267251439"/>
      <w:bookmarkStart w:id="359" w:name="_Toc267251441"/>
      <w:bookmarkStart w:id="360" w:name="_Toc267251437"/>
      <w:bookmarkStart w:id="361" w:name="_Toc267251442"/>
      <w:r>
        <w:rPr>
          <w:rFonts w:ascii="Times New Roman" w:hAnsi="Times New Roman" w:eastAsia="黑体"/>
          <w:b w:val="0"/>
          <w:color w:val="auto"/>
          <w:sz w:val="32"/>
          <w:szCs w:val="32"/>
          <w:highlight w:val="none"/>
        </w:rPr>
        <w:t>0. 变更</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bookmarkEnd w:id="353"/>
    <w:bookmarkEnd w:id="354"/>
    <w:p w14:paraId="2A20E594">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w:t>
      </w:r>
      <w:bookmarkStart w:id="362" w:name="_Toc292559399"/>
      <w:bookmarkStart w:id="363" w:name="_Toc312678026"/>
      <w:bookmarkStart w:id="364" w:name="_Toc304295567"/>
      <w:bookmarkStart w:id="365" w:name="_Toc300934990"/>
      <w:bookmarkStart w:id="366" w:name="_Toc297120494"/>
      <w:bookmarkStart w:id="367" w:name="_Toc303539147"/>
      <w:bookmarkStart w:id="368" w:name="_Toc297123541"/>
      <w:bookmarkStart w:id="369" w:name="_Toc312677500"/>
      <w:bookmarkStart w:id="370" w:name="_Toc296346695"/>
      <w:bookmarkStart w:id="371" w:name="_Toc296891234"/>
      <w:bookmarkStart w:id="372" w:name="_Toc296944533"/>
      <w:bookmarkStart w:id="373" w:name="_Toc297048380"/>
      <w:bookmarkStart w:id="374" w:name="_Toc296347193"/>
      <w:bookmarkStart w:id="375" w:name="_Toc297216200"/>
      <w:bookmarkStart w:id="376" w:name="_Toc296891022"/>
      <w:bookmarkStart w:id="377" w:name="_Toc292559904"/>
      <w:bookmarkStart w:id="378" w:name="_Toc296503194"/>
      <w:r>
        <w:rPr>
          <w:rFonts w:eastAsia="黑体"/>
          <w:color w:val="auto"/>
          <w:sz w:val="30"/>
          <w:szCs w:val="32"/>
          <w:highlight w:val="none"/>
        </w:rPr>
        <w:t>0.1变更的范围</w:t>
      </w:r>
    </w:p>
    <w:p w14:paraId="4B55FEF6">
      <w:pPr>
        <w:spacing w:line="360" w:lineRule="auto"/>
        <w:ind w:firstLine="600"/>
        <w:jc w:val="left"/>
        <w:rPr>
          <w:rFonts w:eastAsia="仿宋_GB2312"/>
          <w:color w:val="auto"/>
          <w:sz w:val="30"/>
          <w:szCs w:val="32"/>
          <w:highlight w:val="none"/>
        </w:rPr>
      </w:pPr>
      <w:r>
        <w:rPr>
          <w:rFonts w:eastAsia="仿宋_GB2312"/>
          <w:color w:val="auto"/>
          <w:sz w:val="30"/>
          <w:szCs w:val="32"/>
          <w:highlight w:val="none"/>
        </w:rPr>
        <w:t>关于变更的范围的约定：</w:t>
      </w:r>
      <w:r>
        <w:rPr>
          <w:rFonts w:hint="eastAsia" w:eastAsia="仿宋_GB2312"/>
          <w:color w:val="auto"/>
          <w:sz w:val="30"/>
          <w:szCs w:val="32"/>
          <w:highlight w:val="none"/>
          <w:u w:val="single"/>
        </w:rPr>
        <w:t xml:space="preserve">根据工程建设的需要双方协商确定，承包人不得擅自变更    </w:t>
      </w:r>
      <w:r>
        <w:rPr>
          <w:rFonts w:eastAsia="仿宋_GB2312"/>
          <w:color w:val="auto"/>
          <w:sz w:val="30"/>
          <w:szCs w:val="32"/>
          <w:highlight w:val="none"/>
        </w:rPr>
        <w:t>。</w:t>
      </w:r>
    </w:p>
    <w:p w14:paraId="6EDEE42C">
      <w:pPr>
        <w:pStyle w:val="8"/>
        <w:ind w:left="63" w:right="63" w:firstLine="600" w:firstLineChars="200"/>
        <w:jc w:val="both"/>
        <w:rPr>
          <w:color w:val="auto"/>
          <w:highlight w:val="none"/>
        </w:rPr>
      </w:pPr>
      <w:r>
        <w:rPr>
          <w:rFonts w:hint="eastAsia" w:eastAsia="仿宋_GB2312"/>
          <w:color w:val="auto"/>
          <w:sz w:val="30"/>
          <w:szCs w:val="32"/>
          <w:highlight w:val="none"/>
        </w:rPr>
        <w:t>承包人必须严格按照发包人提供的已完善审批程序的变更资料实施，如未按照变更资料实施或未收到变更资料擅自实施，则发包人不予认可该部分费用，不支付该部分款项。（发包人设计变更审批制度详见附件6）。</w:t>
      </w:r>
    </w:p>
    <w:p w14:paraId="7DC359E0">
      <w:pPr>
        <w:spacing w:line="360" w:lineRule="auto"/>
        <w:ind w:firstLine="600"/>
        <w:jc w:val="left"/>
        <w:rPr>
          <w:rFonts w:eastAsia="仿宋_GB2312"/>
          <w:color w:val="auto"/>
          <w:sz w:val="30"/>
          <w:szCs w:val="32"/>
          <w:highlight w:val="none"/>
        </w:rPr>
      </w:pPr>
      <w:r>
        <w:rPr>
          <w:rFonts w:eastAsia="仿宋_GB2312"/>
          <w:color w:val="auto"/>
          <w:sz w:val="30"/>
          <w:szCs w:val="32"/>
          <w:highlight w:val="none"/>
        </w:rPr>
        <w:t>10.2</w:t>
      </w:r>
      <w:r>
        <w:rPr>
          <w:rFonts w:hint="eastAsia" w:eastAsia="仿宋_GB2312"/>
          <w:color w:val="auto"/>
          <w:sz w:val="30"/>
          <w:szCs w:val="32"/>
          <w:highlight w:val="none"/>
        </w:rPr>
        <w:t>变更权</w:t>
      </w:r>
    </w:p>
    <w:p w14:paraId="6B1673B2">
      <w:pPr>
        <w:spacing w:line="360" w:lineRule="auto"/>
        <w:ind w:firstLine="600"/>
        <w:jc w:val="left"/>
        <w:rPr>
          <w:rFonts w:eastAsia="仿宋_GB2312"/>
          <w:color w:val="auto"/>
          <w:sz w:val="30"/>
          <w:szCs w:val="32"/>
          <w:highlight w:val="none"/>
        </w:rPr>
      </w:pPr>
      <w:r>
        <w:rPr>
          <w:rFonts w:hint="eastAsia" w:eastAsia="仿宋_GB2312"/>
          <w:color w:val="auto"/>
          <w:sz w:val="30"/>
          <w:szCs w:val="32"/>
          <w:highlight w:val="none"/>
        </w:rPr>
        <w:t>10.2.1任何变更的经济签证、核定单、变更、工程联系单、洽商等文件须由监理人、发包人现场代表或经授权的对口专业负责人、预决算人员、发包人项目办主管/分管领导共同签字并加盖部门公章后才能生效；</w:t>
      </w:r>
    </w:p>
    <w:p w14:paraId="131C5E83">
      <w:pPr>
        <w:spacing w:line="360" w:lineRule="auto"/>
        <w:ind w:firstLine="600"/>
        <w:jc w:val="left"/>
        <w:rPr>
          <w:rFonts w:eastAsia="仿宋_GB2312"/>
          <w:color w:val="auto"/>
          <w:sz w:val="30"/>
          <w:szCs w:val="32"/>
          <w:highlight w:val="none"/>
        </w:rPr>
      </w:pPr>
      <w:r>
        <w:rPr>
          <w:rFonts w:eastAsia="仿宋_GB2312"/>
          <w:color w:val="auto"/>
          <w:sz w:val="30"/>
          <w:szCs w:val="32"/>
          <w:highlight w:val="none"/>
        </w:rPr>
        <w:t>10.2.2</w:t>
      </w:r>
      <w:r>
        <w:rPr>
          <w:rFonts w:hint="eastAsia" w:eastAsia="仿宋_GB2312"/>
          <w:color w:val="auto"/>
          <w:sz w:val="30"/>
          <w:szCs w:val="32"/>
          <w:highlight w:val="none"/>
        </w:rPr>
        <w:t>本工程的所有经济签证承包人须按照发包人《工程经济资料管理办法》执行。所有经济签证应注明工程名称、单位工程（单项工程、分部工程、分项工程）签证部位、施工简图（无法画图的应注明增减工作量）、签证日期、费用发生原因等；</w:t>
      </w:r>
    </w:p>
    <w:p w14:paraId="540B5EE9">
      <w:pPr>
        <w:spacing w:line="360" w:lineRule="auto"/>
        <w:ind w:firstLine="600"/>
        <w:jc w:val="left"/>
        <w:rPr>
          <w:rFonts w:eastAsia="仿宋_GB2312"/>
          <w:color w:val="auto"/>
          <w:sz w:val="30"/>
          <w:szCs w:val="32"/>
          <w:highlight w:val="none"/>
        </w:rPr>
      </w:pPr>
      <w:r>
        <w:rPr>
          <w:rFonts w:eastAsia="仿宋_GB2312"/>
          <w:color w:val="auto"/>
          <w:sz w:val="30"/>
          <w:szCs w:val="32"/>
          <w:highlight w:val="none"/>
        </w:rPr>
        <w:t>10.2.3</w:t>
      </w:r>
      <w:r>
        <w:rPr>
          <w:rFonts w:hint="eastAsia" w:eastAsia="仿宋_GB2312"/>
          <w:color w:val="auto"/>
          <w:sz w:val="30"/>
          <w:szCs w:val="32"/>
          <w:highlight w:val="none"/>
        </w:rPr>
        <w:t>本工程的所有经济签证必须在签证工作内容完成后七日内办理，否则视为承包人放弃对此签证单进行结算。</w:t>
      </w:r>
    </w:p>
    <w:p w14:paraId="0A609C62">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10.4 变更估价</w:t>
      </w:r>
    </w:p>
    <w:p w14:paraId="1FC5DF97">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10.4.1 变更估价原则</w:t>
      </w:r>
    </w:p>
    <w:p w14:paraId="76865245">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 xml:space="preserve">关于变更估价的约定: </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按专用条款14.5条执行</w:t>
      </w:r>
      <w:r>
        <w:rPr>
          <w:rFonts w:eastAsia="仿宋_GB2312"/>
          <w:color w:val="auto"/>
          <w:sz w:val="30"/>
          <w:szCs w:val="32"/>
          <w:highlight w:val="none"/>
          <w:u w:val="single"/>
        </w:rPr>
        <w:t xml:space="preserve">     </w:t>
      </w:r>
      <w:r>
        <w:rPr>
          <w:rFonts w:eastAsia="仿宋_GB2312"/>
          <w:color w:val="auto"/>
          <w:sz w:val="30"/>
          <w:szCs w:val="32"/>
          <w:highlight w:val="none"/>
        </w:rPr>
        <w:t>；</w:t>
      </w:r>
    </w:p>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14:paraId="3189E110">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10.8 暂列金额</w:t>
      </w:r>
    </w:p>
    <w:p w14:paraId="6DF0FF04">
      <w:pPr>
        <w:autoSpaceDE w:val="0"/>
        <w:autoSpaceDN w:val="0"/>
        <w:adjustRightInd w:val="0"/>
        <w:spacing w:line="360" w:lineRule="auto"/>
        <w:jc w:val="left"/>
        <w:rPr>
          <w:rFonts w:eastAsia="仿宋_GB2312"/>
          <w:color w:val="auto"/>
          <w:kern w:val="0"/>
          <w:sz w:val="30"/>
          <w:szCs w:val="32"/>
          <w:highlight w:val="none"/>
        </w:rPr>
      </w:pPr>
      <w:r>
        <w:rPr>
          <w:rFonts w:hint="eastAsia" w:eastAsia="仿宋_GB2312"/>
          <w:color w:val="auto"/>
          <w:kern w:val="0"/>
          <w:sz w:val="30"/>
          <w:szCs w:val="32"/>
          <w:highlight w:val="none"/>
        </w:rPr>
        <w:t>合同当事人关于暂列金额使用的约定：</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按通用合同条款执行   </w:t>
      </w:r>
      <w:r>
        <w:rPr>
          <w:rFonts w:hint="eastAsia" w:eastAsia="仿宋_GB2312"/>
          <w:color w:val="auto"/>
          <w:kern w:val="0"/>
          <w:sz w:val="30"/>
          <w:szCs w:val="32"/>
          <w:highlight w:val="none"/>
        </w:rPr>
        <w:t>。</w:t>
      </w:r>
    </w:p>
    <w:p w14:paraId="02C01139">
      <w:pPr>
        <w:pStyle w:val="5"/>
        <w:spacing w:before="120" w:after="120" w:line="360" w:lineRule="auto"/>
        <w:rPr>
          <w:rFonts w:ascii="Times New Roman" w:hAnsi="Times New Roman" w:eastAsia="黑体"/>
          <w:b w:val="0"/>
          <w:color w:val="auto"/>
          <w:sz w:val="32"/>
          <w:szCs w:val="32"/>
          <w:highlight w:val="none"/>
        </w:rPr>
      </w:pPr>
      <w:bookmarkStart w:id="379" w:name="_Toc351203643"/>
      <w:r>
        <w:rPr>
          <w:rFonts w:ascii="Times New Roman" w:hAnsi="Times New Roman" w:eastAsia="黑体"/>
          <w:b w:val="0"/>
          <w:color w:val="auto"/>
          <w:sz w:val="32"/>
          <w:szCs w:val="32"/>
          <w:highlight w:val="none"/>
        </w:rPr>
        <w:t>11. 价格调整</w:t>
      </w:r>
      <w:bookmarkEnd w:id="379"/>
    </w:p>
    <w:p w14:paraId="28CF32F0">
      <w:pPr>
        <w:spacing w:after="120" w:line="360" w:lineRule="auto"/>
        <w:ind w:firstLine="600" w:firstLineChars="200"/>
        <w:rPr>
          <w:rFonts w:eastAsia="黑体"/>
          <w:color w:val="auto"/>
          <w:sz w:val="30"/>
          <w:szCs w:val="32"/>
          <w:highlight w:val="none"/>
        </w:rPr>
      </w:pPr>
      <w:bookmarkStart w:id="380" w:name="_Toc292559406"/>
      <w:bookmarkStart w:id="381" w:name="_Toc297048387"/>
      <w:bookmarkStart w:id="382" w:name="_Toc303539157"/>
      <w:bookmarkStart w:id="383" w:name="_Toc304295577"/>
      <w:bookmarkStart w:id="384" w:name="_Toc296346702"/>
      <w:bookmarkStart w:id="385" w:name="_Toc296944540"/>
      <w:bookmarkStart w:id="386" w:name="_Toc297216209"/>
      <w:bookmarkStart w:id="387" w:name="_Toc296891029"/>
      <w:bookmarkStart w:id="388" w:name="_Toc296347200"/>
      <w:bookmarkStart w:id="389" w:name="_Toc292559911"/>
      <w:bookmarkStart w:id="390" w:name="_Toc312678039"/>
      <w:bookmarkStart w:id="391" w:name="_Toc300935000"/>
      <w:bookmarkStart w:id="392" w:name="_Toc297120501"/>
      <w:bookmarkStart w:id="393" w:name="_Toc296503201"/>
      <w:bookmarkStart w:id="394" w:name="_Toc296891241"/>
      <w:bookmarkStart w:id="395" w:name="_Toc297123550"/>
      <w:r>
        <w:rPr>
          <w:rFonts w:eastAsia="黑体"/>
          <w:color w:val="auto"/>
          <w:sz w:val="30"/>
          <w:szCs w:val="32"/>
          <w:highlight w:val="none"/>
        </w:rPr>
        <w:t>11.1 市场价格波动引起的调整</w:t>
      </w:r>
    </w:p>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14:paraId="74EDACCB">
      <w:pPr>
        <w:spacing w:line="360" w:lineRule="auto"/>
        <w:ind w:firstLine="600" w:firstLineChars="200"/>
        <w:jc w:val="left"/>
        <w:rPr>
          <w:rFonts w:eastAsia="仿宋_GB2312"/>
          <w:color w:val="auto"/>
          <w:sz w:val="30"/>
          <w:szCs w:val="32"/>
          <w:highlight w:val="none"/>
        </w:rPr>
      </w:pPr>
      <w:r>
        <w:rPr>
          <w:rFonts w:eastAsia="仿宋_GB2312"/>
          <w:color w:val="auto"/>
          <w:kern w:val="0"/>
          <w:sz w:val="30"/>
          <w:szCs w:val="32"/>
          <w:highlight w:val="none"/>
        </w:rPr>
        <w:t>市场价格波动是否调整合同价格的约定：</w:t>
      </w:r>
    </w:p>
    <w:p w14:paraId="068EEB85">
      <w:pPr>
        <w:ind w:left="480" w:firstLine="600" w:firstLineChars="200"/>
        <w:rPr>
          <w:rFonts w:eastAsia="仿宋_GB2312"/>
          <w:color w:val="auto"/>
          <w:kern w:val="0"/>
          <w:sz w:val="30"/>
          <w:szCs w:val="32"/>
          <w:highlight w:val="none"/>
        </w:rPr>
      </w:pPr>
      <w:r>
        <w:rPr>
          <w:rFonts w:hint="eastAsia" w:eastAsia="仿宋_GB2312"/>
          <w:color w:val="auto"/>
          <w:kern w:val="0"/>
          <w:sz w:val="30"/>
          <w:szCs w:val="32"/>
          <w:highlight w:val="none"/>
        </w:rPr>
        <w:t>对施工期间主要材料价格变化幅度超过5%以上的部分的结算价格进行调整。主要材料价格变化幅度未超过（含）5%，主要材料结算价格按中标材料价确定；除主要材料外的其余材料及设备均由投标人自主报价并采购，投标人在报价时应充分考虑整个施工期内材料、设备的涨价因素，不因市场价格的变化而调整。</w:t>
      </w:r>
    </w:p>
    <w:p w14:paraId="3C06AEFA">
      <w:pPr>
        <w:ind w:left="480"/>
        <w:rPr>
          <w:rFonts w:eastAsia="仿宋_GB2312"/>
          <w:color w:val="auto"/>
          <w:kern w:val="0"/>
          <w:sz w:val="30"/>
          <w:szCs w:val="32"/>
          <w:highlight w:val="none"/>
        </w:rPr>
      </w:pPr>
      <w:r>
        <w:rPr>
          <w:rFonts w:hint="eastAsia" w:eastAsia="仿宋_GB2312"/>
          <w:color w:val="auto"/>
          <w:kern w:val="0"/>
          <w:sz w:val="30"/>
          <w:szCs w:val="32"/>
          <w:highlight w:val="none"/>
        </w:rPr>
        <w:t>a.主要材料范围界定：《重庆工程造价信息》中各区县主要材料信息价中公布的</w:t>
      </w:r>
      <w:r>
        <w:rPr>
          <w:rFonts w:hint="eastAsia" w:eastAsia="仿宋_GB2312"/>
          <w:color w:val="auto"/>
          <w:kern w:val="0"/>
          <w:sz w:val="30"/>
          <w:szCs w:val="32"/>
          <w:highlight w:val="none"/>
          <w:lang w:val="en-US" w:eastAsia="zh-CN"/>
        </w:rPr>
        <w:t>主城</w:t>
      </w:r>
      <w:r>
        <w:rPr>
          <w:rFonts w:hint="eastAsia" w:eastAsia="仿宋_GB2312"/>
          <w:color w:val="auto"/>
          <w:kern w:val="0"/>
          <w:sz w:val="30"/>
          <w:szCs w:val="32"/>
          <w:highlight w:val="none"/>
        </w:rPr>
        <w:t>区全部材料和重庆市材料信息价中公布的钢材。</w:t>
      </w:r>
    </w:p>
    <w:p w14:paraId="43383994">
      <w:pPr>
        <w:ind w:left="480"/>
        <w:rPr>
          <w:rFonts w:eastAsia="仿宋_GB2312"/>
          <w:color w:val="auto"/>
          <w:kern w:val="0"/>
          <w:sz w:val="30"/>
          <w:szCs w:val="32"/>
          <w:highlight w:val="none"/>
        </w:rPr>
      </w:pPr>
      <w:r>
        <w:rPr>
          <w:rFonts w:hint="eastAsia" w:eastAsia="仿宋_GB2312"/>
          <w:color w:val="auto"/>
          <w:kern w:val="0"/>
          <w:sz w:val="30"/>
          <w:szCs w:val="32"/>
          <w:highlight w:val="none"/>
        </w:rPr>
        <w:t>b.主要材料价格依据：以《重庆工程造价信息》中各区县主要材料信息价中公布的</w:t>
      </w:r>
      <w:r>
        <w:rPr>
          <w:rFonts w:hint="eastAsia" w:eastAsia="仿宋_GB2312"/>
          <w:color w:val="auto"/>
          <w:kern w:val="0"/>
          <w:sz w:val="30"/>
          <w:szCs w:val="32"/>
          <w:highlight w:val="none"/>
          <w:lang w:val="en-US" w:eastAsia="zh-CN"/>
        </w:rPr>
        <w:t>主城</w:t>
      </w:r>
      <w:r>
        <w:rPr>
          <w:rFonts w:hint="eastAsia" w:eastAsia="仿宋_GB2312"/>
          <w:color w:val="auto"/>
          <w:kern w:val="0"/>
          <w:sz w:val="30"/>
          <w:szCs w:val="32"/>
          <w:highlight w:val="none"/>
        </w:rPr>
        <w:t>区材料价格和重庆市材料信息价中公布的钢材价格为准。</w:t>
      </w:r>
    </w:p>
    <w:p w14:paraId="740BA95B">
      <w:pPr>
        <w:ind w:left="480"/>
        <w:rPr>
          <w:rFonts w:eastAsia="仿宋_GB2312"/>
          <w:color w:val="auto"/>
          <w:kern w:val="0"/>
          <w:sz w:val="30"/>
          <w:szCs w:val="32"/>
          <w:highlight w:val="none"/>
        </w:rPr>
      </w:pPr>
      <w:r>
        <w:rPr>
          <w:rFonts w:hint="eastAsia" w:eastAsia="仿宋_GB2312"/>
          <w:color w:val="auto"/>
          <w:kern w:val="0"/>
          <w:sz w:val="30"/>
          <w:szCs w:val="32"/>
          <w:highlight w:val="none"/>
        </w:rPr>
        <w:t>c.主要材料价格变化幅度 D=（施工期间材料价格算术平均值 B―</w:t>
      </w:r>
      <w:r>
        <w:rPr>
          <w:rFonts w:hint="eastAsia" w:eastAsia="仿宋_GB2312"/>
          <w:color w:val="auto"/>
          <w:kern w:val="0"/>
          <w:sz w:val="30"/>
          <w:szCs w:val="32"/>
          <w:highlight w:val="none"/>
          <w:lang w:val="en-US" w:eastAsia="zh-CN"/>
        </w:rPr>
        <w:t>2026</w:t>
      </w:r>
      <w:r>
        <w:rPr>
          <w:rFonts w:hint="eastAsia" w:eastAsia="仿宋_GB2312"/>
          <w:color w:val="auto"/>
          <w:kern w:val="0"/>
          <w:sz w:val="30"/>
          <w:szCs w:val="32"/>
          <w:highlight w:val="none"/>
        </w:rPr>
        <w:t>年</w:t>
      </w:r>
      <w:r>
        <w:rPr>
          <w:rFonts w:hint="eastAsia" w:eastAsia="仿宋_GB2312"/>
          <w:color w:val="auto"/>
          <w:kern w:val="0"/>
          <w:sz w:val="30"/>
          <w:szCs w:val="32"/>
          <w:highlight w:val="none"/>
          <w:lang w:val="en-US" w:eastAsia="zh-CN"/>
        </w:rPr>
        <w:t>8</w:t>
      </w:r>
      <w:r>
        <w:rPr>
          <w:rFonts w:hint="eastAsia" w:eastAsia="仿宋_GB2312"/>
          <w:color w:val="auto"/>
          <w:kern w:val="0"/>
          <w:sz w:val="30"/>
          <w:szCs w:val="32"/>
          <w:highlight w:val="none"/>
        </w:rPr>
        <w:t>月公布的主要材料价格 C）÷</w:t>
      </w:r>
      <w:r>
        <w:rPr>
          <w:rFonts w:hint="eastAsia" w:eastAsia="仿宋_GB2312"/>
          <w:color w:val="auto"/>
          <w:kern w:val="0"/>
          <w:sz w:val="30"/>
          <w:szCs w:val="32"/>
          <w:highlight w:val="none"/>
          <w:lang w:val="en-US" w:eastAsia="zh-CN"/>
        </w:rPr>
        <w:t>2026</w:t>
      </w:r>
      <w:r>
        <w:rPr>
          <w:rFonts w:hint="eastAsia" w:eastAsia="仿宋_GB2312"/>
          <w:color w:val="auto"/>
          <w:kern w:val="0"/>
          <w:sz w:val="30"/>
          <w:szCs w:val="32"/>
          <w:highlight w:val="none"/>
        </w:rPr>
        <w:t>年</w:t>
      </w:r>
      <w:r>
        <w:rPr>
          <w:rFonts w:hint="eastAsia" w:eastAsia="仿宋_GB2312"/>
          <w:color w:val="auto"/>
          <w:kern w:val="0"/>
          <w:sz w:val="30"/>
          <w:szCs w:val="32"/>
          <w:highlight w:val="none"/>
          <w:lang w:val="en-US" w:eastAsia="zh-CN"/>
        </w:rPr>
        <w:t>8</w:t>
      </w:r>
      <w:r>
        <w:rPr>
          <w:rFonts w:hint="eastAsia" w:eastAsia="仿宋_GB2312"/>
          <w:color w:val="auto"/>
          <w:kern w:val="0"/>
          <w:sz w:val="30"/>
          <w:szCs w:val="32"/>
          <w:highlight w:val="none"/>
        </w:rPr>
        <w:t>月公布的主要材料价格 C×100%。施工期间是指在合同协议书约定的承包人完成工程所需的期限，包括按照合同约定所作的期限变更；</w:t>
      </w:r>
    </w:p>
    <w:p w14:paraId="43E4010F">
      <w:pPr>
        <w:ind w:left="480"/>
        <w:rPr>
          <w:rFonts w:eastAsia="仿宋_GB2312"/>
          <w:color w:val="auto"/>
          <w:kern w:val="0"/>
          <w:sz w:val="30"/>
          <w:szCs w:val="32"/>
          <w:highlight w:val="none"/>
        </w:rPr>
      </w:pPr>
      <w:r>
        <w:rPr>
          <w:rFonts w:hint="eastAsia" w:eastAsia="仿宋_GB2312"/>
          <w:color w:val="auto"/>
          <w:kern w:val="0"/>
          <w:sz w:val="30"/>
          <w:szCs w:val="32"/>
          <w:highlight w:val="none"/>
        </w:rPr>
        <w:t>d.主要材料结算价格调整：D&gt;5%，调整后的主要材料结算价格=调差基准价 A＋C×（D―5%）；D＜-5%，调整后的主要材料结算价格=调差基准价 A＋C×（D＋5%）</w:t>
      </w:r>
    </w:p>
    <w:p w14:paraId="60DE6297">
      <w:pPr>
        <w:ind w:left="480"/>
        <w:rPr>
          <w:rFonts w:eastAsia="仿宋_GB2312"/>
          <w:color w:val="auto"/>
          <w:kern w:val="0"/>
          <w:sz w:val="30"/>
          <w:szCs w:val="32"/>
          <w:highlight w:val="none"/>
        </w:rPr>
      </w:pPr>
      <w:r>
        <w:rPr>
          <w:rFonts w:hint="eastAsia" w:eastAsia="仿宋_GB2312"/>
          <w:color w:val="auto"/>
          <w:kern w:val="0"/>
          <w:sz w:val="30"/>
          <w:szCs w:val="32"/>
          <w:highlight w:val="none"/>
        </w:rPr>
        <w:t>注： （1）调差基准价 A：中标材料价格与</w:t>
      </w:r>
      <w:r>
        <w:rPr>
          <w:rFonts w:hint="eastAsia" w:eastAsia="仿宋_GB2312"/>
          <w:color w:val="auto"/>
          <w:kern w:val="0"/>
          <w:sz w:val="30"/>
          <w:szCs w:val="32"/>
          <w:highlight w:val="none"/>
          <w:lang w:val="en-US" w:eastAsia="zh-CN"/>
        </w:rPr>
        <w:t>2026</w:t>
      </w:r>
      <w:r>
        <w:rPr>
          <w:rFonts w:hint="eastAsia" w:eastAsia="仿宋_GB2312"/>
          <w:color w:val="auto"/>
          <w:kern w:val="0"/>
          <w:sz w:val="30"/>
          <w:szCs w:val="32"/>
          <w:highlight w:val="none"/>
        </w:rPr>
        <w:t>年</w:t>
      </w:r>
      <w:r>
        <w:rPr>
          <w:rFonts w:hint="eastAsia" w:eastAsia="仿宋_GB2312"/>
          <w:color w:val="auto"/>
          <w:kern w:val="0"/>
          <w:sz w:val="30"/>
          <w:szCs w:val="32"/>
          <w:highlight w:val="none"/>
          <w:lang w:val="en-US" w:eastAsia="zh-CN"/>
        </w:rPr>
        <w:t>8</w:t>
      </w:r>
      <w:r>
        <w:rPr>
          <w:rFonts w:hint="eastAsia" w:eastAsia="仿宋_GB2312"/>
          <w:color w:val="auto"/>
          <w:kern w:val="0"/>
          <w:sz w:val="30"/>
          <w:szCs w:val="32"/>
          <w:highlight w:val="none"/>
        </w:rPr>
        <w:t>月公布的主要材料价格比较，取较小值</w:t>
      </w:r>
    </w:p>
    <w:p w14:paraId="17F64710">
      <w:pPr>
        <w:ind w:left="480"/>
        <w:rPr>
          <w:rFonts w:eastAsia="仿宋_GB2312"/>
          <w:color w:val="auto"/>
          <w:kern w:val="0"/>
          <w:sz w:val="30"/>
          <w:szCs w:val="32"/>
          <w:highlight w:val="none"/>
        </w:rPr>
      </w:pPr>
      <w:r>
        <w:rPr>
          <w:rFonts w:hint="eastAsia" w:eastAsia="仿宋_GB2312"/>
          <w:color w:val="auto"/>
          <w:kern w:val="0"/>
          <w:sz w:val="30"/>
          <w:szCs w:val="32"/>
          <w:highlight w:val="none"/>
        </w:rPr>
        <w:t>（2）承包人的投标文件中同一规格型号的材料出现不同价格的，取较低值</w:t>
      </w:r>
    </w:p>
    <w:p w14:paraId="13F2A223">
      <w:pPr>
        <w:ind w:left="480"/>
        <w:rPr>
          <w:rFonts w:eastAsia="仿宋_GB2312"/>
          <w:color w:val="auto"/>
          <w:kern w:val="0"/>
          <w:sz w:val="30"/>
          <w:szCs w:val="32"/>
          <w:highlight w:val="none"/>
        </w:rPr>
      </w:pPr>
      <w:r>
        <w:rPr>
          <w:rFonts w:hint="eastAsia" w:eastAsia="仿宋_GB2312"/>
          <w:color w:val="auto"/>
          <w:kern w:val="0"/>
          <w:sz w:val="30"/>
          <w:szCs w:val="32"/>
          <w:highlight w:val="none"/>
        </w:rPr>
        <w:t>（3）主要材料消耗量：中标人投标文件中的主要材料消耗量与重庆市 2018计价定额及配套文件中的主要材料消耗量相比，取较小值</w:t>
      </w:r>
    </w:p>
    <w:p w14:paraId="6436C5CE">
      <w:pPr>
        <w:ind w:left="480"/>
        <w:rPr>
          <w:rFonts w:eastAsia="仿宋_GB2312"/>
          <w:color w:val="auto"/>
          <w:kern w:val="0"/>
          <w:sz w:val="30"/>
          <w:szCs w:val="32"/>
          <w:highlight w:val="none"/>
        </w:rPr>
      </w:pPr>
      <w:r>
        <w:rPr>
          <w:rFonts w:hint="eastAsia" w:eastAsia="仿宋_GB2312"/>
          <w:color w:val="auto"/>
          <w:kern w:val="0"/>
          <w:sz w:val="30"/>
          <w:szCs w:val="32"/>
          <w:highlight w:val="none"/>
        </w:rPr>
        <w:t>（4）因承包人原因导致工期延误的，在合同原定竣工时间之后，材料价格相比</w:t>
      </w:r>
      <w:r>
        <w:rPr>
          <w:rFonts w:hint="eastAsia" w:eastAsia="仿宋_GB2312"/>
          <w:color w:val="auto"/>
          <w:kern w:val="0"/>
          <w:sz w:val="30"/>
          <w:szCs w:val="32"/>
          <w:highlight w:val="none"/>
          <w:lang w:val="en-US" w:eastAsia="zh-CN"/>
        </w:rPr>
        <w:t>2026</w:t>
      </w:r>
      <w:r>
        <w:rPr>
          <w:rFonts w:hint="eastAsia" w:eastAsia="仿宋_GB2312"/>
          <w:color w:val="auto"/>
          <w:kern w:val="0"/>
          <w:sz w:val="30"/>
          <w:szCs w:val="32"/>
          <w:highlight w:val="none"/>
        </w:rPr>
        <w:t>年</w:t>
      </w:r>
      <w:r>
        <w:rPr>
          <w:rFonts w:hint="eastAsia" w:eastAsia="仿宋_GB2312"/>
          <w:color w:val="auto"/>
          <w:kern w:val="0"/>
          <w:sz w:val="30"/>
          <w:szCs w:val="32"/>
          <w:highlight w:val="none"/>
          <w:lang w:val="en-US" w:eastAsia="zh-CN"/>
        </w:rPr>
        <w:t>8</w:t>
      </w:r>
      <w:r>
        <w:rPr>
          <w:rFonts w:hint="eastAsia" w:eastAsia="仿宋_GB2312"/>
          <w:color w:val="auto"/>
          <w:kern w:val="0"/>
          <w:sz w:val="30"/>
          <w:szCs w:val="32"/>
          <w:highlight w:val="none"/>
        </w:rPr>
        <w:t>月公布的材料价格增加的，不予纳入施工期间材料价格算术平均值的计算；材料价格相比</w:t>
      </w:r>
      <w:r>
        <w:rPr>
          <w:rFonts w:hint="eastAsia" w:eastAsia="仿宋_GB2312"/>
          <w:color w:val="auto"/>
          <w:kern w:val="0"/>
          <w:sz w:val="30"/>
          <w:szCs w:val="32"/>
          <w:highlight w:val="none"/>
          <w:lang w:val="en-US" w:eastAsia="zh-CN"/>
        </w:rPr>
        <w:t>2026</w:t>
      </w:r>
      <w:r>
        <w:rPr>
          <w:rFonts w:hint="eastAsia" w:eastAsia="仿宋_GB2312"/>
          <w:color w:val="auto"/>
          <w:kern w:val="0"/>
          <w:sz w:val="30"/>
          <w:szCs w:val="32"/>
          <w:highlight w:val="none"/>
        </w:rPr>
        <w:t>年</w:t>
      </w:r>
      <w:r>
        <w:rPr>
          <w:rFonts w:hint="eastAsia" w:eastAsia="仿宋_GB2312"/>
          <w:color w:val="auto"/>
          <w:kern w:val="0"/>
          <w:sz w:val="30"/>
          <w:szCs w:val="32"/>
          <w:highlight w:val="none"/>
          <w:lang w:val="en-US" w:eastAsia="zh-CN"/>
        </w:rPr>
        <w:t>8</w:t>
      </w:r>
      <w:r>
        <w:rPr>
          <w:rFonts w:hint="eastAsia" w:eastAsia="仿宋_GB2312"/>
          <w:color w:val="auto"/>
          <w:kern w:val="0"/>
          <w:sz w:val="30"/>
          <w:szCs w:val="32"/>
          <w:highlight w:val="none"/>
        </w:rPr>
        <w:t>月公布的材料价格降低的，纳入施工期间材料价格算术平均值的计算</w:t>
      </w:r>
      <w:r>
        <w:rPr>
          <w:rFonts w:eastAsia="仿宋_GB2312"/>
          <w:color w:val="auto"/>
          <w:kern w:val="0"/>
          <w:sz w:val="30"/>
          <w:szCs w:val="32"/>
          <w:highlight w:val="none"/>
        </w:rPr>
        <w:t>。</w:t>
      </w:r>
    </w:p>
    <w:bookmarkEnd w:id="355"/>
    <w:bookmarkEnd w:id="356"/>
    <w:bookmarkEnd w:id="357"/>
    <w:bookmarkEnd w:id="358"/>
    <w:bookmarkEnd w:id="359"/>
    <w:bookmarkEnd w:id="360"/>
    <w:p w14:paraId="5414B3CC">
      <w:pPr>
        <w:pStyle w:val="5"/>
        <w:spacing w:before="120" w:after="120" w:line="360" w:lineRule="auto"/>
        <w:rPr>
          <w:rFonts w:ascii="Times New Roman" w:hAnsi="Times New Roman" w:eastAsia="黑体"/>
          <w:b w:val="0"/>
          <w:color w:val="auto"/>
          <w:sz w:val="32"/>
          <w:szCs w:val="32"/>
          <w:highlight w:val="none"/>
        </w:rPr>
      </w:pPr>
      <w:bookmarkStart w:id="396" w:name="_Toc296944544"/>
      <w:bookmarkStart w:id="397" w:name="_Toc296891245"/>
      <w:bookmarkStart w:id="398" w:name="_Toc296346706"/>
      <w:bookmarkStart w:id="399" w:name="_Toc296503205"/>
      <w:bookmarkStart w:id="400" w:name="_Toc292559410"/>
      <w:bookmarkStart w:id="401" w:name="_Toc297048391"/>
      <w:bookmarkStart w:id="402" w:name="_Toc292559915"/>
      <w:bookmarkStart w:id="403" w:name="_Toc296891033"/>
      <w:bookmarkStart w:id="404" w:name="_Toc296347204"/>
      <w:bookmarkStart w:id="405" w:name="_Toc297120505"/>
      <w:bookmarkStart w:id="406" w:name="_Toc351203644"/>
      <w:bookmarkStart w:id="407" w:name="_Toc303539159"/>
      <w:bookmarkStart w:id="408" w:name="_Toc297216211"/>
      <w:bookmarkStart w:id="409" w:name="_Toc312678040"/>
      <w:bookmarkStart w:id="410" w:name="_Toc300935002"/>
      <w:bookmarkStart w:id="411" w:name="_Toc304295579"/>
      <w:bookmarkStart w:id="412" w:name="_Toc297123552"/>
      <w:r>
        <w:rPr>
          <w:rFonts w:ascii="Times New Roman" w:hAnsi="Times New Roman" w:eastAsia="黑体"/>
          <w:b w:val="0"/>
          <w:color w:val="auto"/>
          <w:sz w:val="32"/>
          <w:szCs w:val="32"/>
          <w:highlight w:val="none"/>
        </w:rPr>
        <w:t xml:space="preserve">12. </w:t>
      </w:r>
      <w:bookmarkEnd w:id="396"/>
      <w:bookmarkEnd w:id="397"/>
      <w:bookmarkEnd w:id="398"/>
      <w:bookmarkEnd w:id="399"/>
      <w:bookmarkEnd w:id="400"/>
      <w:bookmarkEnd w:id="401"/>
      <w:bookmarkEnd w:id="402"/>
      <w:bookmarkEnd w:id="403"/>
      <w:bookmarkEnd w:id="404"/>
      <w:bookmarkEnd w:id="405"/>
      <w:r>
        <w:rPr>
          <w:rFonts w:ascii="Times New Roman" w:hAnsi="Times New Roman" w:eastAsia="黑体"/>
          <w:b w:val="0"/>
          <w:color w:val="auto"/>
          <w:sz w:val="32"/>
          <w:szCs w:val="32"/>
          <w:highlight w:val="none"/>
        </w:rPr>
        <w:t>合同价格、计量与支付</w:t>
      </w:r>
      <w:bookmarkEnd w:id="406"/>
    </w:p>
    <w:bookmarkEnd w:id="407"/>
    <w:bookmarkEnd w:id="408"/>
    <w:bookmarkEnd w:id="409"/>
    <w:bookmarkEnd w:id="410"/>
    <w:bookmarkEnd w:id="411"/>
    <w:bookmarkEnd w:id="412"/>
    <w:p w14:paraId="1EBD4788">
      <w:pPr>
        <w:spacing w:after="120" w:line="360" w:lineRule="auto"/>
        <w:ind w:firstLine="600" w:firstLineChars="200"/>
        <w:rPr>
          <w:rFonts w:eastAsia="黑体"/>
          <w:color w:val="auto"/>
          <w:sz w:val="30"/>
          <w:szCs w:val="32"/>
          <w:highlight w:val="none"/>
          <w:u w:val="single"/>
        </w:rPr>
      </w:pPr>
      <w:bookmarkStart w:id="413" w:name="_Toc292559916"/>
      <w:bookmarkStart w:id="414" w:name="_Toc267251461"/>
      <w:bookmarkStart w:id="415" w:name="_Toc292559411"/>
      <w:bookmarkStart w:id="416" w:name="_Toc296347205"/>
      <w:bookmarkStart w:id="417" w:name="_Toc297120506"/>
      <w:bookmarkStart w:id="418" w:name="_Toc296346707"/>
      <w:bookmarkStart w:id="419" w:name="_Toc296891034"/>
      <w:bookmarkStart w:id="420" w:name="_Toc297048392"/>
      <w:bookmarkStart w:id="421" w:name="_Toc296503206"/>
      <w:bookmarkStart w:id="422" w:name="_Toc296891246"/>
      <w:bookmarkStart w:id="423" w:name="_Toc296944545"/>
      <w:bookmarkStart w:id="424" w:name="_Toc297216212"/>
      <w:bookmarkStart w:id="425" w:name="_Toc304295580"/>
      <w:bookmarkStart w:id="426" w:name="_Toc312678041"/>
      <w:bookmarkStart w:id="427" w:name="_Toc297123553"/>
      <w:bookmarkStart w:id="428" w:name="_Toc300935003"/>
      <w:bookmarkStart w:id="429" w:name="_Toc303539160"/>
      <w:r>
        <w:rPr>
          <w:rFonts w:eastAsia="黑体"/>
          <w:color w:val="auto"/>
          <w:sz w:val="30"/>
          <w:szCs w:val="32"/>
          <w:highlight w:val="none"/>
        </w:rPr>
        <w:t>12.1 合</w:t>
      </w:r>
      <w:bookmarkEnd w:id="413"/>
      <w:bookmarkEnd w:id="414"/>
      <w:bookmarkEnd w:id="415"/>
      <w:r>
        <w:rPr>
          <w:rFonts w:eastAsia="黑体"/>
          <w:color w:val="auto"/>
          <w:sz w:val="30"/>
          <w:szCs w:val="32"/>
          <w:highlight w:val="none"/>
        </w:rPr>
        <w:t>同价</w:t>
      </w:r>
      <w:bookmarkEnd w:id="416"/>
      <w:bookmarkEnd w:id="417"/>
      <w:bookmarkEnd w:id="418"/>
      <w:bookmarkEnd w:id="419"/>
      <w:bookmarkEnd w:id="420"/>
      <w:bookmarkEnd w:id="421"/>
      <w:bookmarkEnd w:id="422"/>
      <w:bookmarkEnd w:id="423"/>
      <w:r>
        <w:rPr>
          <w:rFonts w:eastAsia="黑体"/>
          <w:color w:val="auto"/>
          <w:sz w:val="30"/>
          <w:szCs w:val="32"/>
          <w:highlight w:val="none"/>
        </w:rPr>
        <w:t>格形式：</w:t>
      </w:r>
      <w:r>
        <w:rPr>
          <w:rFonts w:hint="eastAsia" w:eastAsia="黑体"/>
          <w:color w:val="auto"/>
          <w:sz w:val="30"/>
          <w:szCs w:val="32"/>
          <w:highlight w:val="none"/>
          <w:u w:val="single"/>
        </w:rPr>
        <w:t>固定单价合同  。</w:t>
      </w:r>
    </w:p>
    <w:bookmarkEnd w:id="424"/>
    <w:bookmarkEnd w:id="425"/>
    <w:bookmarkEnd w:id="426"/>
    <w:bookmarkEnd w:id="427"/>
    <w:bookmarkEnd w:id="428"/>
    <w:bookmarkEnd w:id="429"/>
    <w:p w14:paraId="3A925DF5">
      <w:pPr>
        <w:spacing w:after="120" w:line="360" w:lineRule="auto"/>
        <w:ind w:firstLine="750" w:firstLineChars="250"/>
        <w:rPr>
          <w:rFonts w:eastAsia="仿宋_GB2312"/>
          <w:color w:val="auto"/>
          <w:sz w:val="30"/>
          <w:szCs w:val="32"/>
          <w:highlight w:val="none"/>
        </w:rPr>
      </w:pPr>
      <w:r>
        <w:rPr>
          <w:rFonts w:hint="eastAsia" w:eastAsia="仿宋_GB2312"/>
          <w:color w:val="auto"/>
          <w:sz w:val="30"/>
          <w:szCs w:val="32"/>
          <w:highlight w:val="none"/>
        </w:rPr>
        <w:t>合同</w:t>
      </w:r>
      <w:r>
        <w:rPr>
          <w:rFonts w:eastAsia="仿宋_GB2312"/>
          <w:color w:val="auto"/>
          <w:sz w:val="30"/>
          <w:szCs w:val="32"/>
          <w:highlight w:val="none"/>
        </w:rPr>
        <w:t>风险范围</w:t>
      </w:r>
      <w:r>
        <w:rPr>
          <w:rFonts w:hint="eastAsia" w:eastAsia="仿宋_GB2312"/>
          <w:color w:val="auto"/>
          <w:sz w:val="30"/>
          <w:szCs w:val="32"/>
          <w:highlight w:val="none"/>
        </w:rPr>
        <w:t>包含但不限于</w:t>
      </w:r>
      <w:r>
        <w:rPr>
          <w:rFonts w:eastAsia="仿宋_GB2312"/>
          <w:color w:val="auto"/>
          <w:sz w:val="30"/>
          <w:szCs w:val="32"/>
          <w:highlight w:val="none"/>
        </w:rPr>
        <w:t>：</w:t>
      </w:r>
    </w:p>
    <w:p w14:paraId="3240CD6A">
      <w:pPr>
        <w:spacing w:after="120" w:line="360" w:lineRule="auto"/>
        <w:ind w:firstLine="750" w:firstLineChars="250"/>
        <w:rPr>
          <w:rFonts w:eastAsia="仿宋_GB2312"/>
          <w:color w:val="auto"/>
          <w:sz w:val="30"/>
          <w:szCs w:val="32"/>
          <w:highlight w:val="none"/>
        </w:rPr>
      </w:pPr>
      <w:r>
        <w:rPr>
          <w:rFonts w:hint="eastAsia" w:eastAsia="仿宋_GB2312"/>
          <w:color w:val="auto"/>
          <w:sz w:val="30"/>
          <w:szCs w:val="32"/>
          <w:highlight w:val="none"/>
        </w:rPr>
        <w:t>1、 合同期内人工、材料、机械、设备价格变动或其他因素调整、变动；</w:t>
      </w:r>
    </w:p>
    <w:p w14:paraId="535F90A5">
      <w:pPr>
        <w:spacing w:after="120" w:line="360" w:lineRule="auto"/>
        <w:ind w:firstLine="750" w:firstLineChars="250"/>
        <w:rPr>
          <w:rFonts w:eastAsia="仿宋_GB2312"/>
          <w:color w:val="auto"/>
          <w:sz w:val="30"/>
          <w:szCs w:val="32"/>
          <w:highlight w:val="none"/>
        </w:rPr>
      </w:pPr>
      <w:r>
        <w:rPr>
          <w:rFonts w:hint="eastAsia" w:eastAsia="仿宋_GB2312"/>
          <w:color w:val="auto"/>
          <w:sz w:val="30"/>
          <w:szCs w:val="32"/>
          <w:highlight w:val="none"/>
        </w:rPr>
        <w:t>2、 在限定的工期内完成施工项目及整项工程并达到合同规定的质量标准所需要的费用，隐含的为完成该项目而必须发生的费用；</w:t>
      </w:r>
    </w:p>
    <w:p w14:paraId="734531C9">
      <w:pPr>
        <w:spacing w:after="120" w:line="360" w:lineRule="auto"/>
        <w:ind w:firstLine="750" w:firstLineChars="250"/>
        <w:rPr>
          <w:rFonts w:eastAsia="仿宋_GB2312"/>
          <w:color w:val="auto"/>
          <w:sz w:val="30"/>
          <w:szCs w:val="32"/>
          <w:highlight w:val="none"/>
        </w:rPr>
      </w:pPr>
      <w:r>
        <w:rPr>
          <w:rFonts w:hint="eastAsia" w:eastAsia="仿宋_GB2312"/>
          <w:color w:val="auto"/>
          <w:sz w:val="30"/>
          <w:szCs w:val="32"/>
          <w:highlight w:val="none"/>
        </w:rPr>
        <w:t>3、一个月内临时停水、停电在工作时间24小时以内的停工、窝工损失；</w:t>
      </w:r>
    </w:p>
    <w:p w14:paraId="2CA1E7C7">
      <w:pPr>
        <w:spacing w:after="120" w:line="360" w:lineRule="auto"/>
        <w:ind w:firstLine="750" w:firstLineChars="250"/>
        <w:rPr>
          <w:rFonts w:eastAsia="仿宋_GB2312"/>
          <w:color w:val="auto"/>
          <w:sz w:val="30"/>
          <w:szCs w:val="32"/>
          <w:highlight w:val="none"/>
        </w:rPr>
      </w:pPr>
      <w:r>
        <w:rPr>
          <w:rFonts w:hint="eastAsia" w:eastAsia="仿宋_GB2312"/>
          <w:color w:val="auto"/>
          <w:sz w:val="30"/>
          <w:szCs w:val="32"/>
          <w:highlight w:val="none"/>
        </w:rPr>
        <w:t>4、发包人供应材料设备不及时，造成的停、窝工每月在工作时间24小时以内的损失；</w:t>
      </w:r>
    </w:p>
    <w:p w14:paraId="557EECB6">
      <w:pPr>
        <w:spacing w:after="120" w:line="360" w:lineRule="auto"/>
        <w:ind w:firstLine="750" w:firstLineChars="250"/>
        <w:rPr>
          <w:rFonts w:eastAsia="仿宋_GB2312"/>
          <w:color w:val="auto"/>
          <w:sz w:val="30"/>
          <w:szCs w:val="32"/>
          <w:highlight w:val="none"/>
        </w:rPr>
      </w:pPr>
      <w:r>
        <w:rPr>
          <w:rFonts w:hint="eastAsia" w:eastAsia="仿宋_GB2312"/>
          <w:color w:val="auto"/>
          <w:sz w:val="30"/>
          <w:szCs w:val="32"/>
          <w:highlight w:val="none"/>
        </w:rPr>
        <w:t>5、材料的理论重量与实际重量的差；材料颜色、规格的变动(但不包括钢材)；</w:t>
      </w:r>
    </w:p>
    <w:p w14:paraId="7E371697">
      <w:pPr>
        <w:spacing w:after="120" w:line="360" w:lineRule="auto"/>
        <w:ind w:firstLine="750" w:firstLineChars="250"/>
        <w:rPr>
          <w:rFonts w:eastAsia="仿宋_GB2312"/>
          <w:color w:val="auto"/>
          <w:sz w:val="30"/>
          <w:szCs w:val="32"/>
          <w:highlight w:val="none"/>
        </w:rPr>
      </w:pPr>
      <w:r>
        <w:rPr>
          <w:rFonts w:hint="eastAsia" w:eastAsia="仿宋_GB2312"/>
          <w:color w:val="auto"/>
          <w:sz w:val="30"/>
          <w:szCs w:val="32"/>
          <w:highlight w:val="none"/>
        </w:rPr>
        <w:t>发生以上事件所延误的工期和增加的费用由承包人承担。</w:t>
      </w:r>
    </w:p>
    <w:p w14:paraId="1764943B">
      <w:pPr>
        <w:spacing w:after="120" w:line="360" w:lineRule="auto"/>
        <w:ind w:firstLine="600" w:firstLineChars="200"/>
        <w:rPr>
          <w:rFonts w:eastAsia="黑体"/>
          <w:color w:val="auto"/>
          <w:sz w:val="30"/>
          <w:szCs w:val="32"/>
          <w:highlight w:val="none"/>
        </w:rPr>
      </w:pPr>
      <w:bookmarkStart w:id="430" w:name="_Toc312678042"/>
      <w:bookmarkStart w:id="431" w:name="_Toc297123554"/>
      <w:bookmarkStart w:id="432" w:name="_Toc300935004"/>
      <w:bookmarkStart w:id="433" w:name="_Toc304295581"/>
      <w:bookmarkStart w:id="434" w:name="_Toc303539161"/>
      <w:bookmarkStart w:id="435" w:name="_Toc297216213"/>
      <w:bookmarkStart w:id="436" w:name="_Toc292559917"/>
      <w:bookmarkStart w:id="437" w:name="_Toc296891035"/>
      <w:bookmarkStart w:id="438" w:name="_Toc297048393"/>
      <w:bookmarkStart w:id="439" w:name="_Toc297120507"/>
      <w:bookmarkStart w:id="440" w:name="_Toc296346708"/>
      <w:bookmarkStart w:id="441" w:name="_Toc296347206"/>
      <w:bookmarkStart w:id="442" w:name="_Toc292559412"/>
      <w:bookmarkStart w:id="443" w:name="_Toc296503207"/>
      <w:bookmarkStart w:id="444" w:name="_Toc296944546"/>
      <w:bookmarkStart w:id="445" w:name="_Toc296891247"/>
      <w:r>
        <w:rPr>
          <w:rFonts w:eastAsia="黑体"/>
          <w:color w:val="auto"/>
          <w:sz w:val="30"/>
          <w:szCs w:val="32"/>
          <w:highlight w:val="none"/>
        </w:rPr>
        <w:t>12.2 预付款</w:t>
      </w:r>
    </w:p>
    <w:bookmarkEnd w:id="430"/>
    <w:bookmarkEnd w:id="431"/>
    <w:bookmarkEnd w:id="432"/>
    <w:bookmarkEnd w:id="433"/>
    <w:bookmarkEnd w:id="434"/>
    <w:bookmarkEnd w:id="435"/>
    <w:p w14:paraId="47C959B6">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12.2.1 预付款的支付</w:t>
      </w:r>
    </w:p>
    <w:p w14:paraId="4BBC560C">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预付款支付比例或金额：</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不支付预付款</w:t>
      </w:r>
      <w:r>
        <w:rPr>
          <w:rFonts w:eastAsia="仿宋_GB2312"/>
          <w:color w:val="auto"/>
          <w:sz w:val="30"/>
          <w:szCs w:val="32"/>
          <w:highlight w:val="none"/>
          <w:u w:val="single"/>
        </w:rPr>
        <w:t xml:space="preserve">  </w:t>
      </w:r>
      <w:r>
        <w:rPr>
          <w:rFonts w:eastAsia="仿宋_GB2312"/>
          <w:color w:val="auto"/>
          <w:sz w:val="30"/>
          <w:szCs w:val="32"/>
          <w:highlight w:val="none"/>
        </w:rPr>
        <w:t>。</w:t>
      </w:r>
    </w:p>
    <w:bookmarkEnd w:id="436"/>
    <w:bookmarkEnd w:id="437"/>
    <w:bookmarkEnd w:id="438"/>
    <w:bookmarkEnd w:id="439"/>
    <w:bookmarkEnd w:id="440"/>
    <w:bookmarkEnd w:id="441"/>
    <w:bookmarkEnd w:id="442"/>
    <w:bookmarkEnd w:id="443"/>
    <w:bookmarkEnd w:id="444"/>
    <w:bookmarkEnd w:id="445"/>
    <w:p w14:paraId="13912CBA">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12.3 计量</w:t>
      </w:r>
    </w:p>
    <w:p w14:paraId="285730B6">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12.3.1 计量原则</w:t>
      </w:r>
    </w:p>
    <w:p w14:paraId="1D1F6E98">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工程量计算规则：</w:t>
      </w:r>
      <w:r>
        <w:rPr>
          <w:rFonts w:eastAsia="仿宋_GB2312"/>
          <w:color w:val="auto"/>
          <w:sz w:val="30"/>
          <w:szCs w:val="32"/>
          <w:highlight w:val="none"/>
          <w:u w:val="single"/>
        </w:rPr>
        <w:t xml:space="preserve"> </w:t>
      </w:r>
      <w:r>
        <w:rPr>
          <w:rFonts w:ascii="宋体" w:hAnsi="宋体"/>
          <w:color w:val="auto"/>
          <w:szCs w:val="21"/>
          <w:highlight w:val="none"/>
          <w:u w:val="single"/>
        </w:rPr>
        <w:t xml:space="preserve"> </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《建设工程工程量清单计价规范》GB50500-2013、《重庆市建设工程工程量清单计价规则》（CQJJGZ-2013）、《重庆市建设工程工程量计算规则》、《重庆市房屋建筑与装饰工程计价定额》（CQ</w:t>
      </w:r>
      <w:r>
        <w:rPr>
          <w:rFonts w:eastAsia="仿宋_GB2312"/>
          <w:color w:val="auto"/>
          <w:sz w:val="30"/>
          <w:szCs w:val="32"/>
          <w:highlight w:val="none"/>
          <w:u w:val="single"/>
        </w:rPr>
        <w:t>JZZS</w:t>
      </w:r>
      <w:r>
        <w:rPr>
          <w:rFonts w:hint="eastAsia" w:eastAsia="仿宋_GB2312"/>
          <w:color w:val="auto"/>
          <w:sz w:val="30"/>
          <w:szCs w:val="32"/>
          <w:highlight w:val="none"/>
          <w:u w:val="single"/>
        </w:rPr>
        <w:t>DE-2018）、《重庆市市政工程计价定额》（CQSZDE-20</w:t>
      </w:r>
      <w:r>
        <w:rPr>
          <w:rFonts w:eastAsia="仿宋_GB2312"/>
          <w:color w:val="auto"/>
          <w:sz w:val="30"/>
          <w:szCs w:val="32"/>
          <w:highlight w:val="none"/>
          <w:u w:val="single"/>
        </w:rPr>
        <w:t>1</w:t>
      </w:r>
      <w:r>
        <w:rPr>
          <w:rFonts w:hint="eastAsia" w:eastAsia="仿宋_GB2312"/>
          <w:color w:val="auto"/>
          <w:sz w:val="30"/>
          <w:szCs w:val="32"/>
          <w:highlight w:val="none"/>
          <w:u w:val="single"/>
        </w:rPr>
        <w:t>8）、《重庆市通用安装工程计价定额》（CQAZDE-2018）、《重庆市房屋修缮工程计价定额》（C</w:t>
      </w:r>
      <w:r>
        <w:rPr>
          <w:rFonts w:eastAsia="仿宋_GB2312"/>
          <w:color w:val="auto"/>
          <w:sz w:val="30"/>
          <w:szCs w:val="32"/>
          <w:highlight w:val="none"/>
          <w:u w:val="single"/>
        </w:rPr>
        <w:t>QXSDE-2018）、《</w:t>
      </w:r>
      <w:r>
        <w:rPr>
          <w:rFonts w:hint="eastAsia" w:eastAsia="仿宋_GB2312"/>
          <w:color w:val="auto"/>
          <w:sz w:val="30"/>
          <w:szCs w:val="32"/>
          <w:highlight w:val="none"/>
          <w:u w:val="single"/>
        </w:rPr>
        <w:t>重庆市绿色建筑工程计价定额》（C</w:t>
      </w:r>
      <w:r>
        <w:rPr>
          <w:rFonts w:eastAsia="仿宋_GB2312"/>
          <w:color w:val="auto"/>
          <w:sz w:val="30"/>
          <w:szCs w:val="32"/>
          <w:highlight w:val="none"/>
          <w:u w:val="single"/>
        </w:rPr>
        <w:t>QLSJZDE-2018）、</w:t>
      </w:r>
      <w:r>
        <w:rPr>
          <w:rFonts w:hint="eastAsia" w:eastAsia="仿宋_GB2312"/>
          <w:color w:val="auto"/>
          <w:sz w:val="30"/>
          <w:szCs w:val="32"/>
          <w:highlight w:val="none"/>
          <w:u w:val="single"/>
        </w:rPr>
        <w:t>《重庆市建设工程费用定额》（CQFYDE-2018）及相关配套文件明确的计量规则执行</w:t>
      </w:r>
      <w:r>
        <w:rPr>
          <w:rFonts w:eastAsia="仿宋_GB2312"/>
          <w:color w:val="auto"/>
          <w:sz w:val="30"/>
          <w:szCs w:val="32"/>
          <w:highlight w:val="none"/>
          <w:u w:val="single"/>
        </w:rPr>
        <w:t xml:space="preserve">    </w:t>
      </w:r>
      <w:r>
        <w:rPr>
          <w:rFonts w:eastAsia="仿宋_GB2312"/>
          <w:color w:val="auto"/>
          <w:sz w:val="30"/>
          <w:szCs w:val="32"/>
          <w:highlight w:val="none"/>
        </w:rPr>
        <w:t>。</w:t>
      </w:r>
    </w:p>
    <w:p w14:paraId="7D59558F">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12.3.2 计量周期</w:t>
      </w:r>
    </w:p>
    <w:p w14:paraId="4A60C47F">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关于计量周期的约定：</w:t>
      </w:r>
      <w:r>
        <w:rPr>
          <w:rFonts w:eastAsia="仿宋_GB2312"/>
          <w:color w:val="auto"/>
          <w:sz w:val="30"/>
          <w:szCs w:val="32"/>
          <w:highlight w:val="none"/>
          <w:u w:val="single"/>
        </w:rPr>
        <w:t xml:space="preserve">  工程量的计量按月进行</w:t>
      </w:r>
      <w:r>
        <w:rPr>
          <w:rFonts w:hint="eastAsia" w:eastAsia="仿宋_GB2312"/>
          <w:color w:val="auto"/>
          <w:sz w:val="30"/>
          <w:szCs w:val="32"/>
          <w:highlight w:val="none"/>
          <w:u w:val="single"/>
        </w:rPr>
        <w:t xml:space="preserve">      </w:t>
      </w:r>
      <w:r>
        <w:rPr>
          <w:rFonts w:eastAsia="仿宋_GB2312"/>
          <w:color w:val="auto"/>
          <w:sz w:val="30"/>
          <w:szCs w:val="32"/>
          <w:highlight w:val="none"/>
          <w:u w:val="single"/>
        </w:rPr>
        <w:t xml:space="preserve">      </w:t>
      </w:r>
      <w:r>
        <w:rPr>
          <w:rFonts w:eastAsia="仿宋_GB2312"/>
          <w:color w:val="auto"/>
          <w:sz w:val="30"/>
          <w:szCs w:val="32"/>
          <w:highlight w:val="none"/>
        </w:rPr>
        <w:t>。</w:t>
      </w:r>
    </w:p>
    <w:p w14:paraId="2F8A2825">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12.3.3 单价合同的计量</w:t>
      </w:r>
    </w:p>
    <w:p w14:paraId="73272ED0">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关于单价合同计量的约定：</w:t>
      </w:r>
      <w:r>
        <w:rPr>
          <w:rFonts w:eastAsia="仿宋_GB2312"/>
          <w:color w:val="auto"/>
          <w:sz w:val="30"/>
          <w:szCs w:val="32"/>
          <w:highlight w:val="none"/>
          <w:u w:val="single"/>
        </w:rPr>
        <w:t xml:space="preserve">  承包人应于每月20日向监理人报送上月15日至当月14日已完成的工程量报告，并附具进度付款申请单、已完成工程量报表和有关资料；</w:t>
      </w:r>
      <w:r>
        <w:rPr>
          <w:rFonts w:hint="eastAsia" w:eastAsia="仿宋_GB2312"/>
          <w:color w:val="auto"/>
          <w:sz w:val="30"/>
          <w:szCs w:val="32"/>
          <w:highlight w:val="none"/>
          <w:u w:val="single"/>
        </w:rPr>
        <w:t>监理人应在收到</w:t>
      </w:r>
      <w:r>
        <w:rPr>
          <w:rFonts w:eastAsia="仿宋_GB2312"/>
          <w:color w:val="auto"/>
          <w:sz w:val="30"/>
          <w:szCs w:val="32"/>
          <w:highlight w:val="none"/>
          <w:u w:val="single"/>
        </w:rPr>
        <w:t>承包人提交的工程量报告后3天内完成对承包人提交的工程量报表的审核并报送发包人；</w:t>
      </w:r>
      <w:r>
        <w:rPr>
          <w:rFonts w:hint="eastAsia" w:eastAsia="仿宋_GB2312"/>
          <w:color w:val="auto"/>
          <w:sz w:val="30"/>
          <w:szCs w:val="32"/>
          <w:highlight w:val="none"/>
          <w:u w:val="single"/>
        </w:rPr>
        <w:t>发包人应于次月10日内完成审核</w:t>
      </w:r>
      <w:r>
        <w:rPr>
          <w:rFonts w:eastAsia="仿宋_GB2312"/>
          <w:color w:val="auto"/>
          <w:sz w:val="30"/>
          <w:szCs w:val="32"/>
          <w:highlight w:val="none"/>
          <w:u w:val="single"/>
        </w:rPr>
        <w:t xml:space="preserve">    </w:t>
      </w:r>
      <w:r>
        <w:rPr>
          <w:rFonts w:eastAsia="仿宋_GB2312"/>
          <w:color w:val="auto"/>
          <w:sz w:val="30"/>
          <w:szCs w:val="32"/>
          <w:highlight w:val="none"/>
        </w:rPr>
        <w:t>。</w:t>
      </w:r>
    </w:p>
    <w:p w14:paraId="4E0A3C22">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12.4 工程进度款支付</w:t>
      </w:r>
    </w:p>
    <w:p w14:paraId="3F8750F1">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发包人在进度审核完成后7日内，</w:t>
      </w:r>
      <w:r>
        <w:rPr>
          <w:rFonts w:eastAsia="仿宋_GB2312"/>
          <w:color w:val="auto"/>
          <w:sz w:val="30"/>
          <w:szCs w:val="32"/>
          <w:highlight w:val="none"/>
        </w:rPr>
        <w:t>按经发包人审核的当月完成工程形象进度的</w:t>
      </w:r>
      <w:r>
        <w:rPr>
          <w:rFonts w:hint="eastAsia" w:eastAsia="仿宋_GB2312"/>
          <w:color w:val="auto"/>
          <w:sz w:val="30"/>
          <w:szCs w:val="32"/>
          <w:highlight w:val="none"/>
        </w:rPr>
        <w:t>8</w:t>
      </w:r>
      <w:r>
        <w:rPr>
          <w:rFonts w:eastAsia="仿宋_GB2312"/>
          <w:color w:val="auto"/>
          <w:sz w:val="30"/>
          <w:szCs w:val="32"/>
          <w:highlight w:val="none"/>
        </w:rPr>
        <w:t>0%支付，</w:t>
      </w:r>
      <w:r>
        <w:rPr>
          <w:rFonts w:hint="eastAsia" w:eastAsia="仿宋_GB2312"/>
          <w:color w:val="auto"/>
          <w:sz w:val="30"/>
          <w:szCs w:val="32"/>
          <w:highlight w:val="none"/>
        </w:rPr>
        <w:t>但累计进度款支付总额不超过合同金额的80%</w:t>
      </w:r>
      <w:r>
        <w:rPr>
          <w:rFonts w:eastAsia="仿宋_GB2312"/>
          <w:color w:val="auto"/>
          <w:sz w:val="30"/>
          <w:szCs w:val="32"/>
          <w:highlight w:val="none"/>
        </w:rPr>
        <w:t>。</w:t>
      </w:r>
      <w:r>
        <w:rPr>
          <w:rFonts w:eastAsia="仿宋_GB2312"/>
          <w:color w:val="auto"/>
          <w:sz w:val="30"/>
          <w:szCs w:val="32"/>
          <w:highlight w:val="none"/>
        </w:rPr>
        <w:tab/>
      </w:r>
    </w:p>
    <w:p w14:paraId="529EE5F0">
      <w:pPr>
        <w:spacing w:line="360" w:lineRule="auto"/>
        <w:ind w:firstLine="600" w:firstLineChars="200"/>
        <w:jc w:val="left"/>
        <w:rPr>
          <w:rFonts w:eastAsia="黑体"/>
          <w:color w:val="auto"/>
          <w:sz w:val="30"/>
          <w:szCs w:val="32"/>
          <w:highlight w:val="none"/>
        </w:rPr>
      </w:pPr>
      <w:r>
        <w:rPr>
          <w:rFonts w:eastAsia="黑体"/>
          <w:color w:val="auto"/>
          <w:sz w:val="30"/>
          <w:szCs w:val="32"/>
          <w:highlight w:val="none"/>
        </w:rPr>
        <w:t>12.6 工程</w:t>
      </w:r>
      <w:r>
        <w:rPr>
          <w:rFonts w:hint="eastAsia" w:eastAsia="黑体"/>
          <w:color w:val="auto"/>
          <w:sz w:val="30"/>
          <w:szCs w:val="32"/>
          <w:highlight w:val="none"/>
        </w:rPr>
        <w:t>款支付方式</w:t>
      </w:r>
    </w:p>
    <w:p w14:paraId="07E3DA06">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发包人的支付方式约定为银行承兑汇票或电汇付款（银行转账）</w:t>
      </w:r>
    </w:p>
    <w:bookmarkEnd w:id="361"/>
    <w:p w14:paraId="19B73025">
      <w:pPr>
        <w:pStyle w:val="5"/>
        <w:spacing w:before="120" w:after="120" w:line="360" w:lineRule="auto"/>
        <w:rPr>
          <w:rFonts w:ascii="Times New Roman" w:hAnsi="Times New Roman" w:eastAsia="黑体"/>
          <w:b w:val="0"/>
          <w:color w:val="auto"/>
          <w:sz w:val="32"/>
          <w:szCs w:val="32"/>
          <w:highlight w:val="none"/>
        </w:rPr>
      </w:pPr>
      <w:bookmarkStart w:id="446" w:name="_Toc351203645"/>
      <w:bookmarkStart w:id="447" w:name="_Toc296891047"/>
      <w:bookmarkStart w:id="448" w:name="_Toc297120519"/>
      <w:bookmarkStart w:id="449" w:name="_Toc292559424"/>
      <w:bookmarkStart w:id="450" w:name="_Toc300935015"/>
      <w:bookmarkStart w:id="451" w:name="_Toc304295593"/>
      <w:bookmarkStart w:id="452" w:name="_Toc296346720"/>
      <w:bookmarkStart w:id="453" w:name="_Toc297216223"/>
      <w:bookmarkStart w:id="454" w:name="_Toc296347218"/>
      <w:bookmarkStart w:id="455" w:name="_Toc297123564"/>
      <w:bookmarkStart w:id="456" w:name="_Toc312678053"/>
      <w:bookmarkStart w:id="457" w:name="_Toc296891259"/>
      <w:bookmarkStart w:id="458" w:name="_Toc296503219"/>
      <w:bookmarkStart w:id="459" w:name="_Toc296944558"/>
      <w:bookmarkStart w:id="460" w:name="_Toc303539172"/>
      <w:bookmarkStart w:id="461" w:name="_Toc292559929"/>
      <w:bookmarkStart w:id="462" w:name="_Toc297048405"/>
      <w:r>
        <w:rPr>
          <w:rFonts w:ascii="Times New Roman" w:hAnsi="Times New Roman" w:eastAsia="黑体"/>
          <w:b w:val="0"/>
          <w:color w:val="auto"/>
          <w:sz w:val="32"/>
          <w:szCs w:val="32"/>
          <w:highlight w:val="none"/>
        </w:rPr>
        <w:t>13.</w:t>
      </w:r>
      <w:r>
        <w:rPr>
          <w:rFonts w:hint="eastAsia" w:ascii="Times New Roman" w:hAnsi="Times New Roman" w:eastAsia="黑体"/>
          <w:b w:val="0"/>
          <w:color w:val="auto"/>
          <w:sz w:val="32"/>
          <w:szCs w:val="32"/>
          <w:highlight w:val="none"/>
        </w:rPr>
        <w:t xml:space="preserve"> </w:t>
      </w:r>
      <w:r>
        <w:rPr>
          <w:rFonts w:ascii="Times New Roman" w:hAnsi="Times New Roman" w:eastAsia="黑体"/>
          <w:b w:val="0"/>
          <w:color w:val="auto"/>
          <w:sz w:val="32"/>
          <w:szCs w:val="32"/>
          <w:highlight w:val="none"/>
        </w:rPr>
        <w:t>验收和工程试车</w:t>
      </w:r>
      <w:bookmarkEnd w:id="446"/>
    </w:p>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14:paraId="60FA7887">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13.1 分部分项工程验收</w:t>
      </w:r>
    </w:p>
    <w:p w14:paraId="1192D1F2">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13.1.2监理人不能按时进行验收时，应提前</w:t>
      </w:r>
      <w:r>
        <w:rPr>
          <w:rFonts w:eastAsia="仿宋_GB2312"/>
          <w:color w:val="auto"/>
          <w:sz w:val="30"/>
          <w:szCs w:val="32"/>
          <w:highlight w:val="none"/>
          <w:u w:val="single"/>
        </w:rPr>
        <w:t xml:space="preserve">  24  </w:t>
      </w:r>
      <w:r>
        <w:rPr>
          <w:rFonts w:eastAsia="仿宋_GB2312"/>
          <w:color w:val="auto"/>
          <w:sz w:val="30"/>
          <w:szCs w:val="32"/>
          <w:highlight w:val="none"/>
        </w:rPr>
        <w:t>小时提交书面延期要求。</w:t>
      </w:r>
    </w:p>
    <w:p w14:paraId="68FD1711">
      <w:pPr>
        <w:spacing w:line="360" w:lineRule="auto"/>
        <w:ind w:firstLine="600" w:firstLineChars="200"/>
        <w:jc w:val="left"/>
        <w:rPr>
          <w:rFonts w:eastAsia="仿宋_GB2312"/>
          <w:b/>
          <w:color w:val="auto"/>
          <w:sz w:val="30"/>
          <w:szCs w:val="32"/>
          <w:highlight w:val="none"/>
        </w:rPr>
      </w:pPr>
      <w:r>
        <w:rPr>
          <w:rFonts w:eastAsia="仿宋_GB2312"/>
          <w:color w:val="auto"/>
          <w:sz w:val="30"/>
          <w:szCs w:val="32"/>
          <w:highlight w:val="none"/>
        </w:rPr>
        <w:t>关于延期最长不得超过：</w:t>
      </w:r>
      <w:r>
        <w:rPr>
          <w:rFonts w:eastAsia="仿宋_GB2312"/>
          <w:color w:val="auto"/>
          <w:sz w:val="30"/>
          <w:szCs w:val="32"/>
          <w:highlight w:val="none"/>
          <w:u w:val="single"/>
        </w:rPr>
        <w:t xml:space="preserve">   48   </w:t>
      </w:r>
      <w:r>
        <w:rPr>
          <w:rFonts w:eastAsia="仿宋_GB2312"/>
          <w:color w:val="auto"/>
          <w:sz w:val="30"/>
          <w:szCs w:val="32"/>
          <w:highlight w:val="none"/>
        </w:rPr>
        <w:t>小时。</w:t>
      </w:r>
    </w:p>
    <w:p w14:paraId="7D970EBD">
      <w:pPr>
        <w:spacing w:after="120" w:line="360" w:lineRule="auto"/>
        <w:ind w:firstLine="600" w:firstLineChars="200"/>
        <w:rPr>
          <w:rFonts w:eastAsia="黑体"/>
          <w:color w:val="auto"/>
          <w:sz w:val="30"/>
          <w:szCs w:val="32"/>
          <w:highlight w:val="none"/>
        </w:rPr>
      </w:pPr>
      <w:bookmarkStart w:id="463" w:name="_Toc296891051"/>
      <w:bookmarkStart w:id="464" w:name="_Toc312678056"/>
      <w:bookmarkStart w:id="465" w:name="_Toc303539173"/>
      <w:bookmarkStart w:id="466" w:name="_Toc297120523"/>
      <w:bookmarkStart w:id="467" w:name="_Toc292559428"/>
      <w:bookmarkStart w:id="468" w:name="_Toc297123565"/>
      <w:bookmarkStart w:id="469" w:name="_Toc297048409"/>
      <w:bookmarkStart w:id="470" w:name="_Toc296347222"/>
      <w:bookmarkStart w:id="471" w:name="_Toc296891263"/>
      <w:bookmarkStart w:id="472" w:name="_Toc296346724"/>
      <w:bookmarkStart w:id="473" w:name="_Toc304295596"/>
      <w:bookmarkStart w:id="474" w:name="_Toc296944562"/>
      <w:bookmarkStart w:id="475" w:name="_Toc296503223"/>
      <w:bookmarkStart w:id="476" w:name="_Toc300935016"/>
      <w:bookmarkStart w:id="477" w:name="_Toc292559933"/>
      <w:bookmarkStart w:id="478" w:name="_Toc297216224"/>
      <w:bookmarkStart w:id="479" w:name="_Toc267251470"/>
      <w:bookmarkStart w:id="480" w:name="_Toc267251476"/>
      <w:bookmarkStart w:id="481" w:name="_Toc267251475"/>
      <w:bookmarkStart w:id="482" w:name="_Toc267251474"/>
      <w:bookmarkStart w:id="483" w:name="_Toc267251472"/>
      <w:bookmarkStart w:id="484" w:name="_Toc267251473"/>
      <w:bookmarkStart w:id="485" w:name="_Toc267251471"/>
      <w:r>
        <w:rPr>
          <w:rFonts w:eastAsia="黑体"/>
          <w:color w:val="auto"/>
          <w:sz w:val="30"/>
          <w:szCs w:val="32"/>
          <w:highlight w:val="none"/>
        </w:rPr>
        <w:t>13.2 竣工验收</w:t>
      </w:r>
    </w:p>
    <w:p w14:paraId="4F959930">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13.2.1</w:t>
      </w:r>
      <w:r>
        <w:rPr>
          <w:rFonts w:hint="eastAsia" w:eastAsia="仿宋_GB2312"/>
          <w:color w:val="auto"/>
          <w:sz w:val="30"/>
          <w:szCs w:val="32"/>
          <w:highlight w:val="none"/>
        </w:rPr>
        <w:t>竣工资料</w:t>
      </w:r>
    </w:p>
    <w:p w14:paraId="05692832">
      <w:pPr>
        <w:spacing w:after="120" w:line="360" w:lineRule="auto"/>
        <w:ind w:firstLine="600" w:firstLineChars="200"/>
        <w:rPr>
          <w:rFonts w:ascii="宋体" w:hAnsi="宋体"/>
          <w:color w:val="auto"/>
          <w:szCs w:val="21"/>
          <w:highlight w:val="none"/>
        </w:rPr>
      </w:pPr>
      <w:r>
        <w:rPr>
          <w:rFonts w:hint="eastAsia" w:eastAsia="仿宋_GB2312"/>
          <w:color w:val="auto"/>
          <w:kern w:val="0"/>
          <w:sz w:val="30"/>
          <w:szCs w:val="32"/>
          <w:highlight w:val="none"/>
        </w:rPr>
        <w:t>竣工资料内容：</w:t>
      </w:r>
      <w:r>
        <w:rPr>
          <w:rFonts w:hint="eastAsia" w:eastAsia="仿宋_GB2312"/>
          <w:color w:val="auto"/>
          <w:sz w:val="30"/>
          <w:szCs w:val="32"/>
          <w:highlight w:val="none"/>
          <w:u w:val="single"/>
        </w:rPr>
        <w:t xml:space="preserve">   建设工程档案验收所需的所有资料  </w:t>
      </w:r>
      <w:r>
        <w:rPr>
          <w:rFonts w:hint="eastAsia" w:eastAsia="仿宋_GB2312"/>
          <w:color w:val="auto"/>
          <w:sz w:val="30"/>
          <w:szCs w:val="32"/>
          <w:highlight w:val="none"/>
        </w:rPr>
        <w:t>。</w:t>
      </w:r>
    </w:p>
    <w:p w14:paraId="1B9C92A0">
      <w:pPr>
        <w:spacing w:line="360" w:lineRule="auto"/>
        <w:ind w:firstLine="600" w:firstLineChars="200"/>
        <w:jc w:val="left"/>
        <w:rPr>
          <w:rFonts w:eastAsia="仿宋_GB2312"/>
          <w:color w:val="auto"/>
          <w:sz w:val="30"/>
          <w:szCs w:val="32"/>
          <w:highlight w:val="none"/>
        </w:rPr>
      </w:pPr>
      <w:r>
        <w:rPr>
          <w:rFonts w:hint="eastAsia" w:eastAsia="仿宋_GB2312"/>
          <w:color w:val="auto"/>
          <w:kern w:val="0"/>
          <w:sz w:val="30"/>
          <w:szCs w:val="32"/>
          <w:highlight w:val="none"/>
        </w:rPr>
        <w:t>竣工资料份数：</w:t>
      </w:r>
      <w:r>
        <w:rPr>
          <w:rFonts w:hint="eastAsia" w:eastAsia="仿宋_GB2312"/>
          <w:color w:val="auto"/>
          <w:sz w:val="30"/>
          <w:szCs w:val="32"/>
          <w:highlight w:val="none"/>
          <w:u w:val="single"/>
        </w:rPr>
        <w:t xml:space="preserve"> 竣工验收后承包人向发包人提交验收合格的完整的竣工图和工程竣工技术档案资料一式三份，电子文档及竣工图三份</w:t>
      </w:r>
      <w:r>
        <w:rPr>
          <w:rFonts w:hint="eastAsia" w:eastAsia="仿宋_GB2312"/>
          <w:color w:val="auto"/>
          <w:sz w:val="30"/>
          <w:szCs w:val="32"/>
          <w:highlight w:val="none"/>
        </w:rPr>
        <w:t>。</w:t>
      </w:r>
    </w:p>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14:paraId="7D9F2545">
      <w:pPr>
        <w:spacing w:line="360" w:lineRule="auto"/>
        <w:ind w:firstLine="600" w:firstLineChars="200"/>
        <w:jc w:val="left"/>
        <w:rPr>
          <w:rFonts w:eastAsia="仿宋_GB2312"/>
          <w:color w:val="auto"/>
          <w:sz w:val="30"/>
          <w:szCs w:val="32"/>
          <w:highlight w:val="none"/>
        </w:rPr>
      </w:pPr>
      <w:bookmarkStart w:id="486" w:name="_Toc280868704"/>
      <w:bookmarkStart w:id="487" w:name="_Toc280868705"/>
      <w:bookmarkStart w:id="488" w:name="_Toc280868706"/>
      <w:bookmarkStart w:id="489" w:name="_Toc280868707"/>
      <w:bookmarkStart w:id="490" w:name="_Toc280868708"/>
      <w:bookmarkStart w:id="491" w:name="_Toc280868709"/>
      <w:r>
        <w:rPr>
          <w:rFonts w:eastAsia="仿宋_GB2312"/>
          <w:color w:val="auto"/>
          <w:sz w:val="30"/>
          <w:szCs w:val="32"/>
          <w:highlight w:val="none"/>
        </w:rPr>
        <w:t>13.2.2竣工验收程序</w:t>
      </w:r>
    </w:p>
    <w:bookmarkEnd w:id="486"/>
    <w:p w14:paraId="02CA13A1">
      <w:pPr>
        <w:rPr>
          <w:rFonts w:eastAsia="仿宋_GB2312"/>
          <w:color w:val="auto"/>
          <w:sz w:val="30"/>
          <w:szCs w:val="32"/>
          <w:highlight w:val="none"/>
        </w:rPr>
      </w:pPr>
      <w:r>
        <w:rPr>
          <w:rFonts w:eastAsia="仿宋_GB2312"/>
          <w:color w:val="auto"/>
          <w:kern w:val="0"/>
          <w:sz w:val="30"/>
          <w:szCs w:val="32"/>
          <w:highlight w:val="none"/>
        </w:rPr>
        <w:t>关于竣工验收程序的约定：</w:t>
      </w:r>
      <w:r>
        <w:rPr>
          <w:rFonts w:eastAsia="仿宋_GB2312"/>
          <w:color w:val="auto"/>
          <w:sz w:val="30"/>
          <w:szCs w:val="32"/>
          <w:highlight w:val="none"/>
          <w:u w:val="single"/>
        </w:rPr>
        <w:t xml:space="preserve"> </w:t>
      </w:r>
      <w:r>
        <w:rPr>
          <w:rFonts w:hint="eastAsia" w:eastAsia="仿宋_GB2312"/>
          <w:color w:val="auto"/>
          <w:kern w:val="0"/>
          <w:sz w:val="30"/>
          <w:szCs w:val="32"/>
          <w:highlight w:val="none"/>
          <w:u w:val="single"/>
        </w:rPr>
        <w:t>按住房城乡建设部关于印发《房屋建筑和市政基础设施工程竣工验收规定》的通知（建质〔2013〕171号）文件执行</w:t>
      </w:r>
      <w:r>
        <w:rPr>
          <w:rFonts w:eastAsia="仿宋_GB2312"/>
          <w:color w:val="auto"/>
          <w:sz w:val="30"/>
          <w:szCs w:val="32"/>
          <w:highlight w:val="none"/>
          <w:u w:val="single"/>
        </w:rPr>
        <w:t xml:space="preserve"> </w:t>
      </w:r>
      <w:r>
        <w:rPr>
          <w:rFonts w:eastAsia="仿宋_GB2312"/>
          <w:color w:val="auto"/>
          <w:sz w:val="30"/>
          <w:szCs w:val="32"/>
          <w:highlight w:val="none"/>
        </w:rPr>
        <w:t>。</w:t>
      </w:r>
    </w:p>
    <w:p w14:paraId="65630800">
      <w:pPr>
        <w:spacing w:line="360" w:lineRule="auto"/>
        <w:ind w:firstLine="600" w:firstLineChars="200"/>
        <w:jc w:val="left"/>
        <w:rPr>
          <w:rFonts w:eastAsia="仿宋_GB2312"/>
          <w:color w:val="auto"/>
          <w:sz w:val="30"/>
          <w:szCs w:val="32"/>
          <w:highlight w:val="none"/>
        </w:rPr>
      </w:pPr>
      <w:r>
        <w:rPr>
          <w:rFonts w:eastAsia="仿宋_GB2312"/>
          <w:color w:val="auto"/>
          <w:kern w:val="0"/>
          <w:sz w:val="30"/>
          <w:szCs w:val="32"/>
          <w:highlight w:val="none"/>
        </w:rPr>
        <w:t>发包人不按照本项约定组织竣工验收、颁发工程接收证书的违约金的计算方法：</w:t>
      </w:r>
      <w:r>
        <w:rPr>
          <w:rFonts w:eastAsia="仿宋_GB2312"/>
          <w:color w:val="auto"/>
          <w:sz w:val="30"/>
          <w:szCs w:val="32"/>
          <w:highlight w:val="none"/>
          <w:u w:val="single"/>
        </w:rPr>
        <w:t xml:space="preserve">  每逾期一天，应以签约合同价</w:t>
      </w:r>
      <w:r>
        <w:rPr>
          <w:rFonts w:hint="eastAsia" w:eastAsia="仿宋_GB2312"/>
          <w:color w:val="auto"/>
          <w:sz w:val="30"/>
          <w:szCs w:val="32"/>
          <w:highlight w:val="none"/>
          <w:u w:val="single"/>
        </w:rPr>
        <w:t>扣除已支付工程款</w:t>
      </w:r>
      <w:r>
        <w:rPr>
          <w:rFonts w:eastAsia="仿宋_GB2312"/>
          <w:color w:val="auto"/>
          <w:sz w:val="30"/>
          <w:szCs w:val="32"/>
          <w:highlight w:val="none"/>
          <w:u w:val="single"/>
        </w:rPr>
        <w:t xml:space="preserve">为基数，按照中国人民银行发布的同期同类贷款基准利率支付违约金   </w:t>
      </w:r>
      <w:r>
        <w:rPr>
          <w:rFonts w:eastAsia="仿宋_GB2312"/>
          <w:color w:val="auto"/>
          <w:sz w:val="30"/>
          <w:szCs w:val="32"/>
          <w:highlight w:val="none"/>
        </w:rPr>
        <w:t>。</w:t>
      </w:r>
    </w:p>
    <w:bookmarkEnd w:id="487"/>
    <w:p w14:paraId="78388BB0">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13.2.5移交、接收全部与部分工程</w:t>
      </w:r>
    </w:p>
    <w:bookmarkEnd w:id="488"/>
    <w:p w14:paraId="594B2884">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承包人向发包人移交工程的期限：</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通过工程竣工验收后，承包人应在28天内，同发包人办理工程移交手续</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w:t>
      </w:r>
      <w:r>
        <w:rPr>
          <w:rFonts w:hint="eastAsia" w:eastAsia="仿宋_GB2312"/>
          <w:color w:val="auto"/>
          <w:sz w:val="30"/>
          <w:szCs w:val="32"/>
          <w:highlight w:val="none"/>
        </w:rPr>
        <w:t>。</w:t>
      </w:r>
    </w:p>
    <w:p w14:paraId="0F8EEFB3">
      <w:pPr>
        <w:spacing w:line="360" w:lineRule="auto"/>
        <w:ind w:firstLine="600" w:firstLineChars="200"/>
        <w:jc w:val="left"/>
        <w:rPr>
          <w:rFonts w:eastAsia="仿宋_GB2312"/>
          <w:color w:val="auto"/>
          <w:sz w:val="30"/>
          <w:szCs w:val="32"/>
          <w:highlight w:val="none"/>
          <w:u w:val="single"/>
        </w:rPr>
      </w:pPr>
      <w:r>
        <w:rPr>
          <w:rFonts w:eastAsia="仿宋_GB2312"/>
          <w:color w:val="auto"/>
          <w:kern w:val="0"/>
          <w:sz w:val="30"/>
          <w:szCs w:val="32"/>
          <w:highlight w:val="none"/>
        </w:rPr>
        <w:t>发包人未按本合同约定接收全部或部分工程的，违约金的计算方法为：</w:t>
      </w:r>
      <w:r>
        <w:rPr>
          <w:rFonts w:hint="eastAsia" w:eastAsia="仿宋_GB2312"/>
          <w:color w:val="auto"/>
          <w:sz w:val="30"/>
          <w:szCs w:val="32"/>
          <w:highlight w:val="none"/>
          <w:u w:val="single"/>
        </w:rPr>
        <w:t xml:space="preserve">由双方确定与此相关的工程照管与养护费用补偿额  </w:t>
      </w:r>
      <w:r>
        <w:rPr>
          <w:rFonts w:eastAsia="仿宋_GB2312"/>
          <w:color w:val="auto"/>
          <w:sz w:val="30"/>
          <w:szCs w:val="32"/>
          <w:highlight w:val="none"/>
          <w:u w:val="single"/>
        </w:rPr>
        <w:t xml:space="preserve">  </w:t>
      </w:r>
      <w:r>
        <w:rPr>
          <w:rFonts w:eastAsia="仿宋_GB2312"/>
          <w:color w:val="auto"/>
          <w:sz w:val="30"/>
          <w:szCs w:val="32"/>
          <w:highlight w:val="none"/>
        </w:rPr>
        <w:t>。</w:t>
      </w:r>
    </w:p>
    <w:bookmarkEnd w:id="489"/>
    <w:p w14:paraId="5D0D64E3">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承包人未按时移交工程的，违约金的计算方法为：</w:t>
      </w:r>
      <w:r>
        <w:rPr>
          <w:rFonts w:hint="eastAsia" w:eastAsia="仿宋_GB2312"/>
          <w:color w:val="auto"/>
          <w:sz w:val="30"/>
          <w:szCs w:val="32"/>
          <w:highlight w:val="none"/>
          <w:u w:val="single"/>
        </w:rPr>
        <w:t>按专用合同条款7.5.2执行</w:t>
      </w:r>
      <w:r>
        <w:rPr>
          <w:rFonts w:eastAsia="仿宋_GB2312"/>
          <w:color w:val="auto"/>
          <w:sz w:val="30"/>
          <w:szCs w:val="32"/>
          <w:highlight w:val="none"/>
          <w:u w:val="single"/>
        </w:rPr>
        <w:t xml:space="preserve">  </w:t>
      </w:r>
      <w:r>
        <w:rPr>
          <w:rFonts w:eastAsia="仿宋_GB2312"/>
          <w:color w:val="auto"/>
          <w:sz w:val="30"/>
          <w:szCs w:val="32"/>
          <w:highlight w:val="none"/>
        </w:rPr>
        <w:t>。</w:t>
      </w:r>
    </w:p>
    <w:bookmarkEnd w:id="490"/>
    <w:p w14:paraId="38F2C56D">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13.6 竣工退场</w:t>
      </w:r>
    </w:p>
    <w:p w14:paraId="0088157A">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13.6.1 竣工退场</w:t>
      </w:r>
    </w:p>
    <w:p w14:paraId="5F1EEF20">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承包人完成竣工退场的期限：</w:t>
      </w:r>
      <w:r>
        <w:rPr>
          <w:rFonts w:hint="eastAsia" w:eastAsia="仿宋_GB2312"/>
          <w:color w:val="auto"/>
          <w:sz w:val="30"/>
          <w:szCs w:val="32"/>
          <w:highlight w:val="none"/>
          <w:u w:val="single"/>
        </w:rPr>
        <w:t>颁发工程接收证书后7天内</w:t>
      </w:r>
      <w:r>
        <w:rPr>
          <w:rFonts w:eastAsia="仿宋_GB2312"/>
          <w:color w:val="auto"/>
          <w:sz w:val="30"/>
          <w:szCs w:val="32"/>
          <w:highlight w:val="none"/>
          <w:u w:val="single"/>
        </w:rPr>
        <w:t xml:space="preserve"> </w:t>
      </w:r>
      <w:r>
        <w:rPr>
          <w:rFonts w:eastAsia="仿宋_GB2312"/>
          <w:color w:val="auto"/>
          <w:kern w:val="0"/>
          <w:sz w:val="30"/>
          <w:szCs w:val="32"/>
          <w:highlight w:val="none"/>
        </w:rPr>
        <w:t>。</w:t>
      </w:r>
    </w:p>
    <w:p w14:paraId="088019DD">
      <w:pPr>
        <w:pStyle w:val="5"/>
        <w:spacing w:before="120" w:after="120" w:line="360" w:lineRule="auto"/>
        <w:rPr>
          <w:rFonts w:ascii="Times New Roman" w:hAnsi="Times New Roman" w:eastAsia="黑体"/>
          <w:b w:val="0"/>
          <w:color w:val="auto"/>
          <w:sz w:val="32"/>
          <w:szCs w:val="32"/>
          <w:highlight w:val="none"/>
        </w:rPr>
      </w:pPr>
      <w:bookmarkStart w:id="492" w:name="_Toc351203646"/>
      <w:r>
        <w:rPr>
          <w:rFonts w:ascii="Times New Roman" w:hAnsi="Times New Roman" w:eastAsia="黑体"/>
          <w:b w:val="0"/>
          <w:color w:val="auto"/>
          <w:sz w:val="32"/>
          <w:szCs w:val="32"/>
          <w:highlight w:val="none"/>
        </w:rPr>
        <w:t>14. 竣工结算</w:t>
      </w:r>
      <w:bookmarkEnd w:id="492"/>
    </w:p>
    <w:p w14:paraId="48B5649E">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14.1 竣工</w:t>
      </w:r>
      <w:r>
        <w:rPr>
          <w:rFonts w:hint="eastAsia" w:eastAsia="黑体"/>
          <w:color w:val="auto"/>
          <w:sz w:val="30"/>
          <w:szCs w:val="32"/>
          <w:highlight w:val="none"/>
        </w:rPr>
        <w:t>结算</w:t>
      </w:r>
      <w:r>
        <w:rPr>
          <w:rFonts w:eastAsia="黑体"/>
          <w:color w:val="auto"/>
          <w:sz w:val="30"/>
          <w:szCs w:val="32"/>
          <w:highlight w:val="none"/>
        </w:rPr>
        <w:t>申请</w:t>
      </w:r>
    </w:p>
    <w:p w14:paraId="2B20C43A">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承包人提交竣工</w:t>
      </w:r>
      <w:r>
        <w:rPr>
          <w:rFonts w:hint="eastAsia" w:eastAsia="仿宋_GB2312"/>
          <w:color w:val="auto"/>
          <w:sz w:val="30"/>
          <w:szCs w:val="32"/>
          <w:highlight w:val="none"/>
        </w:rPr>
        <w:t>结算</w:t>
      </w:r>
      <w:r>
        <w:rPr>
          <w:rFonts w:eastAsia="仿宋_GB2312"/>
          <w:color w:val="auto"/>
          <w:sz w:val="30"/>
          <w:szCs w:val="32"/>
          <w:highlight w:val="none"/>
        </w:rPr>
        <w:t>申请单的期限：</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竣工验收合格后60日历天内</w:t>
      </w:r>
      <w:r>
        <w:rPr>
          <w:rFonts w:eastAsia="仿宋_GB2312"/>
          <w:color w:val="auto"/>
          <w:sz w:val="30"/>
          <w:szCs w:val="32"/>
          <w:highlight w:val="none"/>
          <w:u w:val="single"/>
        </w:rPr>
        <w:t xml:space="preserve">  </w:t>
      </w:r>
      <w:r>
        <w:rPr>
          <w:rFonts w:eastAsia="仿宋_GB2312"/>
          <w:color w:val="auto"/>
          <w:sz w:val="30"/>
          <w:szCs w:val="32"/>
          <w:highlight w:val="none"/>
        </w:rPr>
        <w:t>。</w:t>
      </w:r>
    </w:p>
    <w:p w14:paraId="232CF925">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承包人提交竣工付款申请单的份数：</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三份</w:t>
      </w:r>
      <w:r>
        <w:rPr>
          <w:rFonts w:eastAsia="仿宋_GB2312"/>
          <w:color w:val="auto"/>
          <w:sz w:val="30"/>
          <w:szCs w:val="32"/>
          <w:highlight w:val="none"/>
          <w:u w:val="single"/>
        </w:rPr>
        <w:t xml:space="preserve">      </w:t>
      </w:r>
      <w:r>
        <w:rPr>
          <w:rFonts w:eastAsia="仿宋_GB2312"/>
          <w:color w:val="auto"/>
          <w:sz w:val="30"/>
          <w:szCs w:val="32"/>
          <w:highlight w:val="none"/>
        </w:rPr>
        <w:t>。</w:t>
      </w:r>
    </w:p>
    <w:p w14:paraId="73A6FA1B">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竣工</w:t>
      </w:r>
      <w:r>
        <w:rPr>
          <w:rFonts w:hint="eastAsia" w:eastAsia="仿宋_GB2312"/>
          <w:color w:val="auto"/>
          <w:sz w:val="30"/>
          <w:szCs w:val="32"/>
          <w:highlight w:val="none"/>
        </w:rPr>
        <w:t>结算</w:t>
      </w:r>
      <w:r>
        <w:rPr>
          <w:rFonts w:eastAsia="仿宋_GB2312"/>
          <w:color w:val="auto"/>
          <w:sz w:val="30"/>
          <w:szCs w:val="32"/>
          <w:highlight w:val="none"/>
        </w:rPr>
        <w:t>申请单应包括的内容：</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(1)竣工结算合同价格。(2)发包人已支付承包人的款项。(3)应扣留的质量保证金，已缴纳履约保证金的或提供其他工程质量担保方式的除外。(4)发包人应支付承包人的合同价款</w:t>
      </w:r>
      <w:r>
        <w:rPr>
          <w:rFonts w:eastAsia="仿宋_GB2312"/>
          <w:color w:val="auto"/>
          <w:sz w:val="30"/>
          <w:szCs w:val="32"/>
          <w:highlight w:val="none"/>
          <w:u w:val="single"/>
        </w:rPr>
        <w:t xml:space="preserve"> </w:t>
      </w:r>
      <w:r>
        <w:rPr>
          <w:rFonts w:eastAsia="仿宋_GB2312"/>
          <w:color w:val="auto"/>
          <w:sz w:val="30"/>
          <w:szCs w:val="32"/>
          <w:highlight w:val="none"/>
        </w:rPr>
        <w:t>。</w:t>
      </w:r>
    </w:p>
    <w:p w14:paraId="7BD443FE">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承包人须向发包人一次性递交完整的竣工结算资料，并以发包人一次性签收的竣工结算资料办理竣工结算，承包人此后补交的任何竣工结算资料发包人均拒绝接受。在递交完整竣工结算资料时承包人应提供发包人和承包人双方签认的《交接验收证书》，否则发包人有权拒绝接收竣工结算资料。</w:t>
      </w:r>
    </w:p>
    <w:p w14:paraId="7315CF52">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14.2 竣工结算审核</w:t>
      </w:r>
    </w:p>
    <w:p w14:paraId="3C197818">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1、竣工验收合格后，发包人收到承包人提交的完整的竣工结算报告及结算资料后</w:t>
      </w:r>
      <w:r>
        <w:rPr>
          <w:rFonts w:hint="eastAsia" w:eastAsia="仿宋_GB2312"/>
          <w:color w:val="auto"/>
          <w:kern w:val="0"/>
          <w:sz w:val="30"/>
          <w:szCs w:val="32"/>
          <w:highlight w:val="none"/>
          <w:lang w:val="en-US" w:eastAsia="zh-CN"/>
        </w:rPr>
        <w:t>28</w:t>
      </w:r>
      <w:r>
        <w:rPr>
          <w:rFonts w:hint="eastAsia" w:eastAsia="仿宋_GB2312"/>
          <w:color w:val="auto"/>
          <w:sz w:val="30"/>
          <w:szCs w:val="32"/>
          <w:highlight w:val="none"/>
        </w:rPr>
        <w:t>天内进行核实，给予确认或者提出修改意见 ；</w:t>
      </w:r>
    </w:p>
    <w:p w14:paraId="1C2A9BA0">
      <w:pPr>
        <w:spacing w:line="360" w:lineRule="auto"/>
        <w:ind w:firstLine="600" w:firstLineChars="200"/>
        <w:jc w:val="left"/>
        <w:rPr>
          <w:rFonts w:hint="eastAsia" w:eastAsia="仿宋_GB2312"/>
          <w:color w:val="auto"/>
          <w:sz w:val="30"/>
          <w:szCs w:val="32"/>
          <w:highlight w:val="none"/>
          <w:lang w:eastAsia="zh-CN"/>
        </w:rPr>
      </w:pPr>
      <w:r>
        <w:rPr>
          <w:rFonts w:hint="eastAsia" w:eastAsia="仿宋_GB2312"/>
          <w:color w:val="auto"/>
          <w:sz w:val="30"/>
          <w:szCs w:val="32"/>
          <w:highlight w:val="none"/>
        </w:rPr>
        <w:t>2、自工程竣工验收合格之日起60天内，承包人未能向发包人提交竣工结算报告及完整的结算资料，逾期提交一天，承包人承担2000元违约金；或虽提交了完整的结算资料，承包人的相关人员未按时配合发包人及造价咨询机构完成结算审核，造成工程竣工结算不能正常进行或工程竣工结算价款不能及时支付，发包人不承担相应责任，并经发包人书面通知催告后仍未配合，自发出书面通知催告七日后，每逾期一日，承包人承担2000元违约金</w:t>
      </w:r>
      <w:r>
        <w:rPr>
          <w:rFonts w:hint="eastAsia" w:eastAsia="仿宋_GB2312"/>
          <w:color w:val="auto"/>
          <w:sz w:val="30"/>
          <w:szCs w:val="32"/>
          <w:highlight w:val="none"/>
          <w:lang w:eastAsia="zh-CN"/>
        </w:rPr>
        <w:t>。</w:t>
      </w:r>
      <w:r>
        <w:rPr>
          <w:rFonts w:hint="eastAsia" w:ascii="Times New Roman" w:hAnsi="Times New Roman" w:eastAsia="仿宋_GB2312" w:cs="Times New Roman"/>
          <w:color w:val="auto"/>
          <w:sz w:val="30"/>
          <w:szCs w:val="32"/>
          <w:highlight w:val="none"/>
        </w:rPr>
        <w:t>发包人及造价咨询机构完成结算审核并向承包人反馈审核结果后 30 日内，双方未签署结算定案表且承包人未提出书面异议的，发包人向承包人发送书面催告；承包人收到催告文件后 15 日内仍未提出异议的，视为认可发包人及造价咨询机构出具的结算审核金额，催告期限届满之次日，视为结算定案表已签订</w:t>
      </w:r>
      <w:r>
        <w:rPr>
          <w:rFonts w:hint="eastAsia" w:eastAsia="仿宋_GB2312"/>
          <w:color w:val="auto"/>
          <w:sz w:val="30"/>
          <w:szCs w:val="32"/>
          <w:highlight w:val="none"/>
          <w:lang w:eastAsia="zh-CN"/>
        </w:rPr>
        <w:t>；</w:t>
      </w:r>
    </w:p>
    <w:p w14:paraId="498BFC88">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3、</w:t>
      </w:r>
      <w:bookmarkStart w:id="493" w:name="auto_fouce_21"/>
      <w:r>
        <w:rPr>
          <w:rFonts w:eastAsia="仿宋_GB2312"/>
          <w:color w:val="auto"/>
          <w:sz w:val="30"/>
          <w:szCs w:val="32"/>
          <w:highlight w:val="none"/>
        </w:rPr>
        <w:t>发包人在收到承包人提交</w:t>
      </w:r>
      <w:r>
        <w:rPr>
          <w:rFonts w:hint="eastAsia" w:eastAsia="仿宋_GB2312"/>
          <w:color w:val="auto"/>
          <w:sz w:val="30"/>
          <w:szCs w:val="32"/>
          <w:highlight w:val="none"/>
          <w:lang w:eastAsia="zh-CN"/>
        </w:rPr>
        <w:t>的完整</w:t>
      </w:r>
      <w:r>
        <w:rPr>
          <w:rFonts w:eastAsia="仿宋_GB2312"/>
          <w:color w:val="auto"/>
          <w:sz w:val="30"/>
          <w:szCs w:val="32"/>
          <w:highlight w:val="none"/>
        </w:rPr>
        <w:t>竣工结算</w:t>
      </w:r>
      <w:r>
        <w:rPr>
          <w:rFonts w:hint="eastAsia" w:eastAsia="仿宋_GB2312"/>
          <w:color w:val="auto"/>
          <w:sz w:val="30"/>
          <w:szCs w:val="32"/>
          <w:highlight w:val="none"/>
        </w:rPr>
        <w:t>报告及结算资料</w:t>
      </w:r>
      <w:r>
        <w:rPr>
          <w:rFonts w:eastAsia="仿宋_GB2312"/>
          <w:color w:val="auto"/>
          <w:sz w:val="30"/>
          <w:szCs w:val="32"/>
          <w:highlight w:val="none"/>
        </w:rPr>
        <w:t>后</w:t>
      </w:r>
      <w:r>
        <w:rPr>
          <w:rFonts w:hint="eastAsia" w:eastAsia="仿宋_GB2312"/>
          <w:color w:val="auto"/>
          <w:sz w:val="30"/>
          <w:szCs w:val="32"/>
          <w:highlight w:val="none"/>
          <w:lang w:val="en-US" w:eastAsia="zh-CN"/>
        </w:rPr>
        <w:t>29</w:t>
      </w:r>
      <w:r>
        <w:rPr>
          <w:rFonts w:eastAsia="仿宋_GB2312"/>
          <w:color w:val="auto"/>
          <w:sz w:val="30"/>
          <w:szCs w:val="32"/>
          <w:highlight w:val="none"/>
        </w:rPr>
        <w:t>天未完成审核</w:t>
      </w:r>
      <w:r>
        <w:rPr>
          <w:rFonts w:hint="eastAsia" w:eastAsia="仿宋_GB2312"/>
          <w:color w:val="auto"/>
          <w:sz w:val="30"/>
          <w:szCs w:val="32"/>
          <w:highlight w:val="none"/>
        </w:rPr>
        <w:t>又</w:t>
      </w:r>
      <w:r>
        <w:rPr>
          <w:rFonts w:eastAsia="仿宋_GB2312"/>
          <w:color w:val="auto"/>
          <w:sz w:val="30"/>
          <w:szCs w:val="32"/>
          <w:highlight w:val="none"/>
        </w:rPr>
        <w:t>未提出异议的，</w:t>
      </w:r>
      <w:r>
        <w:rPr>
          <w:rFonts w:hint="eastAsia" w:eastAsia="仿宋_GB2312"/>
          <w:color w:val="auto"/>
          <w:sz w:val="30"/>
          <w:szCs w:val="32"/>
          <w:highlight w:val="none"/>
          <w:lang w:eastAsia="zh-CN"/>
        </w:rPr>
        <w:t>承</w:t>
      </w:r>
      <w:r>
        <w:rPr>
          <w:rFonts w:eastAsia="仿宋_GB2312"/>
          <w:color w:val="auto"/>
          <w:sz w:val="30"/>
          <w:szCs w:val="32"/>
          <w:highlight w:val="none"/>
        </w:rPr>
        <w:t>包人</w:t>
      </w:r>
      <w:r>
        <w:rPr>
          <w:rFonts w:hint="eastAsia" w:eastAsia="仿宋_GB2312"/>
          <w:color w:val="auto"/>
          <w:sz w:val="30"/>
          <w:szCs w:val="32"/>
          <w:highlight w:val="none"/>
          <w:lang w:eastAsia="zh-CN"/>
        </w:rPr>
        <w:t>应向发</w:t>
      </w:r>
      <w:r>
        <w:rPr>
          <w:rFonts w:eastAsia="仿宋_GB2312"/>
          <w:color w:val="auto"/>
          <w:sz w:val="30"/>
          <w:szCs w:val="32"/>
          <w:highlight w:val="none"/>
        </w:rPr>
        <w:t>包人</w:t>
      </w:r>
      <w:r>
        <w:rPr>
          <w:rFonts w:hint="eastAsia" w:eastAsia="仿宋_GB2312"/>
          <w:color w:val="auto"/>
          <w:sz w:val="30"/>
          <w:szCs w:val="32"/>
          <w:highlight w:val="none"/>
          <w:lang w:eastAsia="zh-CN"/>
        </w:rPr>
        <w:t>发出书面催</w:t>
      </w:r>
      <w:r>
        <w:rPr>
          <w:rFonts w:hint="eastAsia" w:eastAsia="仿宋_GB2312"/>
          <w:color w:val="auto"/>
          <w:sz w:val="30"/>
          <w:szCs w:val="32"/>
          <w:highlight w:val="none"/>
        </w:rPr>
        <w:t>告</w:t>
      </w:r>
      <w:r>
        <w:rPr>
          <w:rFonts w:eastAsia="仿宋_GB2312"/>
          <w:color w:val="auto"/>
          <w:sz w:val="30"/>
          <w:szCs w:val="32"/>
          <w:highlight w:val="none"/>
        </w:rPr>
        <w:t>，发包人收到</w:t>
      </w:r>
      <w:r>
        <w:rPr>
          <w:rFonts w:hint="eastAsia" w:eastAsia="仿宋_GB2312"/>
          <w:color w:val="auto"/>
          <w:sz w:val="30"/>
          <w:szCs w:val="32"/>
          <w:highlight w:val="none"/>
          <w:lang w:eastAsia="zh-CN"/>
        </w:rPr>
        <w:t>催告后</w:t>
      </w:r>
      <w:r>
        <w:rPr>
          <w:rFonts w:hint="eastAsia" w:eastAsia="仿宋_GB2312"/>
          <w:color w:val="auto"/>
          <w:sz w:val="30"/>
          <w:szCs w:val="32"/>
          <w:highlight w:val="none"/>
          <w:lang w:val="en-US" w:eastAsia="zh-CN"/>
        </w:rPr>
        <w:t>7</w:t>
      </w:r>
      <w:r>
        <w:rPr>
          <w:rFonts w:hint="eastAsia" w:eastAsia="仿宋_GB2312"/>
          <w:color w:val="auto"/>
          <w:sz w:val="30"/>
          <w:szCs w:val="32"/>
          <w:highlight w:val="none"/>
          <w:lang w:eastAsia="zh-CN"/>
        </w:rPr>
        <w:t>天仍未完成审核且未提出异议的，视为认可</w:t>
      </w:r>
      <w:r>
        <w:rPr>
          <w:rFonts w:eastAsia="仿宋_GB2312"/>
          <w:color w:val="auto"/>
          <w:sz w:val="30"/>
          <w:szCs w:val="32"/>
          <w:highlight w:val="none"/>
        </w:rPr>
        <w:t>承包人提交的竣工结算</w:t>
      </w:r>
      <w:r>
        <w:rPr>
          <w:rFonts w:hint="eastAsia" w:eastAsia="仿宋_GB2312"/>
          <w:color w:val="auto"/>
          <w:sz w:val="30"/>
          <w:szCs w:val="32"/>
          <w:highlight w:val="none"/>
        </w:rPr>
        <w:t>报告</w:t>
      </w:r>
      <w:r>
        <w:rPr>
          <w:rFonts w:hint="eastAsia" w:eastAsia="仿宋_GB2312"/>
          <w:color w:val="auto"/>
          <w:sz w:val="30"/>
          <w:szCs w:val="32"/>
          <w:highlight w:val="none"/>
          <w:lang w:eastAsia="zh-CN"/>
        </w:rPr>
        <w:t>，自催告期满次日</w:t>
      </w:r>
      <w:r>
        <w:rPr>
          <w:rFonts w:eastAsia="仿宋_GB2312"/>
          <w:color w:val="auto"/>
          <w:sz w:val="30"/>
          <w:szCs w:val="32"/>
          <w:highlight w:val="none"/>
        </w:rPr>
        <w:t>起视为已</w:t>
      </w:r>
      <w:r>
        <w:rPr>
          <w:rFonts w:hint="eastAsia" w:eastAsia="仿宋_GB2312"/>
          <w:color w:val="auto"/>
          <w:sz w:val="30"/>
          <w:szCs w:val="32"/>
          <w:highlight w:val="none"/>
        </w:rPr>
        <w:t>签订结算定案表；</w:t>
      </w:r>
      <w:bookmarkEnd w:id="493"/>
    </w:p>
    <w:p w14:paraId="4AC5E6DC">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4、</w:t>
      </w:r>
      <w:r>
        <w:rPr>
          <w:rFonts w:eastAsia="仿宋_GB2312"/>
          <w:color w:val="auto"/>
          <w:sz w:val="30"/>
          <w:szCs w:val="32"/>
          <w:highlight w:val="none"/>
        </w:rPr>
        <w:t>发包人应在</w:t>
      </w:r>
      <w:r>
        <w:rPr>
          <w:rFonts w:hint="eastAsia" w:eastAsia="仿宋_GB2312"/>
          <w:color w:val="auto"/>
          <w:sz w:val="30"/>
          <w:szCs w:val="32"/>
          <w:highlight w:val="none"/>
        </w:rPr>
        <w:t>签订一审结算定案表</w:t>
      </w:r>
      <w:r>
        <w:rPr>
          <w:rFonts w:eastAsia="仿宋_GB2312"/>
          <w:color w:val="auto"/>
          <w:sz w:val="30"/>
          <w:szCs w:val="32"/>
          <w:highlight w:val="none"/>
        </w:rPr>
        <w:t>后的</w:t>
      </w:r>
      <w:r>
        <w:rPr>
          <w:rFonts w:hint="eastAsia" w:eastAsia="仿宋_GB2312"/>
          <w:color w:val="auto"/>
          <w:sz w:val="30"/>
          <w:szCs w:val="32"/>
          <w:highlight w:val="none"/>
        </w:rPr>
        <w:t>28</w:t>
      </w:r>
      <w:r>
        <w:rPr>
          <w:rFonts w:eastAsia="仿宋_GB2312"/>
          <w:color w:val="auto"/>
          <w:sz w:val="30"/>
          <w:szCs w:val="32"/>
          <w:highlight w:val="none"/>
        </w:rPr>
        <w:t xml:space="preserve"> 天内，</w:t>
      </w:r>
      <w:r>
        <w:rPr>
          <w:rFonts w:hint="eastAsia" w:eastAsia="仿宋_GB2312"/>
          <w:color w:val="auto"/>
          <w:sz w:val="30"/>
          <w:szCs w:val="32"/>
          <w:highlight w:val="none"/>
        </w:rPr>
        <w:t>累计支付至一审竣工结算价款的8</w:t>
      </w:r>
      <w:r>
        <w:rPr>
          <w:rFonts w:eastAsia="仿宋_GB2312"/>
          <w:color w:val="auto"/>
          <w:sz w:val="30"/>
          <w:szCs w:val="32"/>
          <w:highlight w:val="none"/>
        </w:rPr>
        <w:t>5</w:t>
      </w:r>
      <w:r>
        <w:rPr>
          <w:rFonts w:hint="eastAsia" w:eastAsia="仿宋_GB2312"/>
          <w:color w:val="auto"/>
          <w:sz w:val="30"/>
          <w:szCs w:val="32"/>
          <w:highlight w:val="none"/>
        </w:rPr>
        <w:t>%，承包人按合同约定配合发包人完成联合验收全部手续后，支付至一审竣工结算价款的9</w:t>
      </w:r>
      <w:r>
        <w:rPr>
          <w:rFonts w:eastAsia="仿宋_GB2312"/>
          <w:color w:val="auto"/>
          <w:sz w:val="30"/>
          <w:szCs w:val="32"/>
          <w:highlight w:val="none"/>
        </w:rPr>
        <w:t>0%,待本工程报经审计部门</w:t>
      </w:r>
      <w:r>
        <w:rPr>
          <w:rFonts w:hint="eastAsia" w:eastAsia="仿宋_GB2312"/>
          <w:color w:val="auto"/>
          <w:sz w:val="30"/>
          <w:szCs w:val="32"/>
          <w:highlight w:val="none"/>
        </w:rPr>
        <w:t>完成二次</w:t>
      </w:r>
      <w:r>
        <w:rPr>
          <w:rFonts w:eastAsia="仿宋_GB2312"/>
          <w:color w:val="auto"/>
          <w:sz w:val="30"/>
          <w:szCs w:val="32"/>
          <w:highlight w:val="none"/>
        </w:rPr>
        <w:t>审计后付至工程</w:t>
      </w:r>
      <w:r>
        <w:rPr>
          <w:rFonts w:hint="eastAsia" w:eastAsia="仿宋_GB2312"/>
          <w:color w:val="auto"/>
          <w:sz w:val="30"/>
          <w:szCs w:val="32"/>
          <w:highlight w:val="none"/>
        </w:rPr>
        <w:t>二审</w:t>
      </w:r>
      <w:r>
        <w:rPr>
          <w:rFonts w:eastAsia="仿宋_GB2312"/>
          <w:color w:val="auto"/>
          <w:sz w:val="30"/>
          <w:szCs w:val="32"/>
          <w:highlight w:val="none"/>
        </w:rPr>
        <w:t>结算造价的97%，余3%</w:t>
      </w:r>
      <w:r>
        <w:rPr>
          <w:rFonts w:hint="eastAsia" w:eastAsia="仿宋_GB2312"/>
          <w:color w:val="auto"/>
          <w:sz w:val="30"/>
          <w:szCs w:val="32"/>
          <w:highlight w:val="none"/>
        </w:rPr>
        <w:t>质保</w:t>
      </w:r>
      <w:r>
        <w:rPr>
          <w:rFonts w:eastAsia="仿宋_GB2312"/>
          <w:color w:val="auto"/>
          <w:sz w:val="30"/>
          <w:szCs w:val="32"/>
          <w:highlight w:val="none"/>
        </w:rPr>
        <w:t>金，待</w:t>
      </w:r>
      <w:r>
        <w:rPr>
          <w:rFonts w:hint="eastAsia" w:eastAsia="仿宋_GB2312"/>
          <w:color w:val="auto"/>
          <w:sz w:val="30"/>
          <w:szCs w:val="32"/>
          <w:highlight w:val="none"/>
        </w:rPr>
        <w:t>缺陷责任期</w:t>
      </w:r>
      <w:r>
        <w:rPr>
          <w:rFonts w:eastAsia="仿宋_GB2312"/>
          <w:color w:val="auto"/>
          <w:sz w:val="30"/>
          <w:szCs w:val="32"/>
          <w:highlight w:val="none"/>
        </w:rPr>
        <w:t>满后一次性付清。</w:t>
      </w:r>
    </w:p>
    <w:p w14:paraId="58FE2450">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14.4 最终结清</w:t>
      </w:r>
    </w:p>
    <w:p w14:paraId="3E2ECD7D">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14.4.1 最终结清申请单</w:t>
      </w:r>
    </w:p>
    <w:p w14:paraId="4AC7F768">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承包人提交最终结清申请单的份数：</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三份</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w:t>
      </w:r>
      <w:r>
        <w:rPr>
          <w:rFonts w:eastAsia="仿宋_GB2312"/>
          <w:color w:val="auto"/>
          <w:sz w:val="30"/>
          <w:szCs w:val="32"/>
          <w:highlight w:val="none"/>
          <w:u w:val="single"/>
        </w:rPr>
        <w:t xml:space="preserve">    </w:t>
      </w:r>
      <w:r>
        <w:rPr>
          <w:rFonts w:eastAsia="仿宋_GB2312"/>
          <w:color w:val="auto"/>
          <w:sz w:val="30"/>
          <w:szCs w:val="32"/>
          <w:highlight w:val="none"/>
        </w:rPr>
        <w:t>。</w:t>
      </w:r>
    </w:p>
    <w:p w14:paraId="21A84153">
      <w:pPr>
        <w:spacing w:line="360" w:lineRule="auto"/>
        <w:ind w:firstLine="600" w:firstLineChars="200"/>
        <w:jc w:val="left"/>
        <w:rPr>
          <w:rFonts w:eastAsia="仿宋_GB2312"/>
          <w:color w:val="auto"/>
          <w:sz w:val="30"/>
          <w:szCs w:val="32"/>
          <w:highlight w:val="none"/>
        </w:rPr>
      </w:pPr>
      <w:r>
        <w:rPr>
          <w:rFonts w:eastAsia="仿宋_GB2312"/>
          <w:color w:val="auto"/>
          <w:kern w:val="0"/>
          <w:sz w:val="30"/>
          <w:szCs w:val="32"/>
          <w:highlight w:val="none"/>
        </w:rPr>
        <w:t>承包人提交最终结算申请单的期限：</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承包人应在缺陷责任期终止证书颁发后7天内，向发包人提交最终结清申请单，并提供相关证明材料</w:t>
      </w:r>
      <w:r>
        <w:rPr>
          <w:rFonts w:eastAsia="仿宋_GB2312"/>
          <w:color w:val="auto"/>
          <w:sz w:val="30"/>
          <w:szCs w:val="32"/>
          <w:highlight w:val="none"/>
        </w:rPr>
        <w:t xml:space="preserve">。 </w:t>
      </w:r>
    </w:p>
    <w:p w14:paraId="546155B7">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14.4.2 最终结清证书和支付</w:t>
      </w:r>
    </w:p>
    <w:p w14:paraId="5AA3F749">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（1）发包人完成最终结清申请单的</w:t>
      </w:r>
      <w:r>
        <w:rPr>
          <w:rFonts w:hint="eastAsia" w:eastAsia="仿宋_GB2312"/>
          <w:color w:val="auto"/>
          <w:sz w:val="30"/>
          <w:szCs w:val="32"/>
          <w:highlight w:val="none"/>
        </w:rPr>
        <w:t>审批</w:t>
      </w:r>
      <w:r>
        <w:rPr>
          <w:rFonts w:eastAsia="仿宋_GB2312"/>
          <w:color w:val="auto"/>
          <w:sz w:val="30"/>
          <w:szCs w:val="32"/>
          <w:highlight w:val="none"/>
        </w:rPr>
        <w:t>并颁发最终结清证书的期限：</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发包人应在收到承包人提交的最终结清申请单后14天内完成审批并向承包颁发最终结清证书 </w:t>
      </w:r>
      <w:r>
        <w:rPr>
          <w:rFonts w:eastAsia="仿宋_GB2312"/>
          <w:color w:val="auto"/>
          <w:sz w:val="30"/>
          <w:szCs w:val="32"/>
          <w:highlight w:val="none"/>
          <w:u w:val="single"/>
        </w:rPr>
        <w:t xml:space="preserve">    </w:t>
      </w:r>
      <w:r>
        <w:rPr>
          <w:rFonts w:eastAsia="仿宋_GB2312"/>
          <w:color w:val="auto"/>
          <w:sz w:val="30"/>
          <w:szCs w:val="32"/>
          <w:highlight w:val="none"/>
        </w:rPr>
        <w:t>。</w:t>
      </w:r>
    </w:p>
    <w:p w14:paraId="2C568773">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（2）发包人完成支付的期限：</w:t>
      </w:r>
      <w:r>
        <w:rPr>
          <w:rFonts w:eastAsia="仿宋_GB2312"/>
          <w:color w:val="auto"/>
          <w:sz w:val="30"/>
          <w:szCs w:val="32"/>
          <w:highlight w:val="none"/>
          <w:u w:val="single"/>
        </w:rPr>
        <w:t xml:space="preserve">   在颁发最终结清证书后28天内完成支付  </w:t>
      </w:r>
      <w:r>
        <w:rPr>
          <w:rFonts w:eastAsia="仿宋_GB2312"/>
          <w:color w:val="auto"/>
          <w:sz w:val="30"/>
          <w:szCs w:val="32"/>
          <w:highlight w:val="none"/>
        </w:rPr>
        <w:t>。</w:t>
      </w:r>
    </w:p>
    <w:p w14:paraId="3CD2EE93">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14.5</w:t>
      </w:r>
      <w:r>
        <w:rPr>
          <w:rFonts w:hint="eastAsia" w:eastAsia="仿宋_GB2312"/>
          <w:color w:val="auto"/>
          <w:sz w:val="30"/>
          <w:szCs w:val="32"/>
          <w:highlight w:val="none"/>
        </w:rPr>
        <w:t>竣工结算办理依据</w:t>
      </w:r>
    </w:p>
    <w:p w14:paraId="10CD2CB6">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 xml:space="preserve">1. 结算总价=分部分项工程量清单结算价±分部分项工程量清单新增或变更等引起的增（减）子项结算价±主要材料调差引起的增（减）结算价+措施费±其他项目费±规费±税金；    </w:t>
      </w:r>
    </w:p>
    <w:p w14:paraId="19A2C71A">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2.增减（变更）工程结算：</w:t>
      </w:r>
    </w:p>
    <w:p w14:paraId="043119E1">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（1）、工程内容与已标价工程量清单中有相同的子项或类似子项，则按投标时的相同子项或类似子项的综合单价执行（类似子项的综合单价由发包人审定）；</w:t>
      </w:r>
    </w:p>
    <w:p w14:paraId="09410E74">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 xml:space="preserve"> (2)、工程内容如有与已标价工程量清单（包括技术措施项目部分）不同的子项（既无相同子项，又无类似子项），按《建设工程工程量清单计价规范》（GB50500-2013）、《重庆市建设工程工程量清单计价规则》（CQJJGZ-2013）、《重庆市建设工程工程量计算规则》（CQJLGZ-2013）、《重庆市房屋建筑与装饰工程计价定额》（CQ</w:t>
      </w:r>
      <w:r>
        <w:rPr>
          <w:rFonts w:eastAsia="仿宋_GB2312"/>
          <w:color w:val="auto"/>
          <w:sz w:val="30"/>
          <w:szCs w:val="32"/>
          <w:highlight w:val="none"/>
        </w:rPr>
        <w:t>JZZS</w:t>
      </w:r>
      <w:r>
        <w:rPr>
          <w:rFonts w:hint="eastAsia" w:eastAsia="仿宋_GB2312"/>
          <w:color w:val="auto"/>
          <w:sz w:val="30"/>
          <w:szCs w:val="32"/>
          <w:highlight w:val="none"/>
        </w:rPr>
        <w:t>DE-2018）、《重庆市市政工程计价定额》（CQSZDE-20</w:t>
      </w:r>
      <w:r>
        <w:rPr>
          <w:rFonts w:eastAsia="仿宋_GB2312"/>
          <w:color w:val="auto"/>
          <w:sz w:val="30"/>
          <w:szCs w:val="32"/>
          <w:highlight w:val="none"/>
        </w:rPr>
        <w:t>1</w:t>
      </w:r>
      <w:r>
        <w:rPr>
          <w:rFonts w:hint="eastAsia" w:eastAsia="仿宋_GB2312"/>
          <w:color w:val="auto"/>
          <w:sz w:val="30"/>
          <w:szCs w:val="32"/>
          <w:highlight w:val="none"/>
        </w:rPr>
        <w:t>8）、《重庆市通用安装工程计价定额》（CQAZDE-2018）、《重庆市房屋修缮工程计价定额》（C</w:t>
      </w:r>
      <w:r>
        <w:rPr>
          <w:rFonts w:eastAsia="仿宋_GB2312"/>
          <w:color w:val="auto"/>
          <w:sz w:val="30"/>
          <w:szCs w:val="32"/>
          <w:highlight w:val="none"/>
        </w:rPr>
        <w:t>QXSDE-2018）、《</w:t>
      </w:r>
      <w:r>
        <w:rPr>
          <w:rFonts w:hint="eastAsia" w:eastAsia="仿宋_GB2312"/>
          <w:color w:val="auto"/>
          <w:sz w:val="30"/>
          <w:szCs w:val="32"/>
          <w:highlight w:val="none"/>
        </w:rPr>
        <w:t>重庆市绿色建筑工程计价定额》（C</w:t>
      </w:r>
      <w:r>
        <w:rPr>
          <w:rFonts w:eastAsia="仿宋_GB2312"/>
          <w:color w:val="auto"/>
          <w:sz w:val="30"/>
          <w:szCs w:val="32"/>
          <w:highlight w:val="none"/>
        </w:rPr>
        <w:t>QLSJZDE-2018）、</w:t>
      </w:r>
      <w:r>
        <w:rPr>
          <w:rFonts w:hint="eastAsia" w:eastAsia="仿宋_GB2312"/>
          <w:color w:val="auto"/>
          <w:sz w:val="30"/>
          <w:szCs w:val="32"/>
          <w:highlight w:val="none"/>
        </w:rPr>
        <w:t>《重庆市建设工程费用定额》（CQFYDE-2018）、《重庆市建设工程混凝土及砂浆配合比表》（CQP</w:t>
      </w:r>
      <w:r>
        <w:rPr>
          <w:rFonts w:eastAsia="仿宋_GB2312"/>
          <w:color w:val="auto"/>
          <w:sz w:val="30"/>
          <w:szCs w:val="32"/>
          <w:highlight w:val="none"/>
        </w:rPr>
        <w:t>HBB</w:t>
      </w:r>
      <w:r>
        <w:rPr>
          <w:rFonts w:hint="eastAsia" w:eastAsia="仿宋_GB2312"/>
          <w:color w:val="auto"/>
          <w:sz w:val="30"/>
          <w:szCs w:val="32"/>
          <w:highlight w:val="none"/>
        </w:rPr>
        <w:t>-20</w:t>
      </w:r>
      <w:r>
        <w:rPr>
          <w:rFonts w:eastAsia="仿宋_GB2312"/>
          <w:color w:val="auto"/>
          <w:sz w:val="30"/>
          <w:szCs w:val="32"/>
          <w:highlight w:val="none"/>
        </w:rPr>
        <w:t>1</w:t>
      </w:r>
      <w:r>
        <w:rPr>
          <w:rFonts w:hint="eastAsia" w:eastAsia="仿宋_GB2312"/>
          <w:color w:val="auto"/>
          <w:sz w:val="30"/>
          <w:szCs w:val="32"/>
          <w:highlight w:val="none"/>
        </w:rPr>
        <w:t>8）、《重庆市建设工程施工机械台班定额》（CQ</w:t>
      </w:r>
      <w:r>
        <w:rPr>
          <w:rFonts w:eastAsia="仿宋_GB2312"/>
          <w:color w:val="auto"/>
          <w:sz w:val="30"/>
          <w:szCs w:val="32"/>
          <w:highlight w:val="none"/>
        </w:rPr>
        <w:t>JXDE</w:t>
      </w:r>
      <w:r>
        <w:rPr>
          <w:rFonts w:hint="eastAsia" w:eastAsia="仿宋_GB2312"/>
          <w:color w:val="auto"/>
          <w:sz w:val="30"/>
          <w:szCs w:val="32"/>
          <w:highlight w:val="none"/>
        </w:rPr>
        <w:t>-20</w:t>
      </w:r>
      <w:r>
        <w:rPr>
          <w:rFonts w:eastAsia="仿宋_GB2312"/>
          <w:color w:val="auto"/>
          <w:sz w:val="30"/>
          <w:szCs w:val="32"/>
          <w:highlight w:val="none"/>
        </w:rPr>
        <w:t>1</w:t>
      </w:r>
      <w:r>
        <w:rPr>
          <w:rFonts w:hint="eastAsia" w:eastAsia="仿宋_GB2312"/>
          <w:color w:val="auto"/>
          <w:sz w:val="30"/>
          <w:szCs w:val="32"/>
          <w:highlight w:val="none"/>
        </w:rPr>
        <w:t>8）、《重庆市建设工程施工仪器仪表台班定额》（CQ</w:t>
      </w:r>
      <w:r>
        <w:rPr>
          <w:rFonts w:eastAsia="仿宋_GB2312"/>
          <w:color w:val="auto"/>
          <w:sz w:val="30"/>
          <w:szCs w:val="32"/>
          <w:highlight w:val="none"/>
        </w:rPr>
        <w:t>YQYBDE</w:t>
      </w:r>
      <w:r>
        <w:rPr>
          <w:rFonts w:hint="eastAsia" w:eastAsia="仿宋_GB2312"/>
          <w:color w:val="auto"/>
          <w:sz w:val="30"/>
          <w:szCs w:val="32"/>
          <w:highlight w:val="none"/>
        </w:rPr>
        <w:t>-20</w:t>
      </w:r>
      <w:r>
        <w:rPr>
          <w:rFonts w:eastAsia="仿宋_GB2312"/>
          <w:color w:val="auto"/>
          <w:sz w:val="30"/>
          <w:szCs w:val="32"/>
          <w:highlight w:val="none"/>
        </w:rPr>
        <w:t>1</w:t>
      </w:r>
      <w:r>
        <w:rPr>
          <w:rFonts w:hint="eastAsia" w:eastAsia="仿宋_GB2312"/>
          <w:color w:val="auto"/>
          <w:sz w:val="30"/>
          <w:szCs w:val="32"/>
          <w:highlight w:val="none"/>
        </w:rPr>
        <w:t>8）及相关配套文件执行，再按承包人报价浮动费率{承包人报价浮动率=【1-（不含税中标价-甲供材-暂估价-暂列金额-安全文明施工费）/（不含税投标总报价最高限价-甲供材-暂估价-暂列金额-安全文明施工费）】×100%}进行税前下浮后结算，其中：</w:t>
      </w:r>
    </w:p>
    <w:p w14:paraId="1B700F7B">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人工工日单价按《重庆工程造价信息》公布的</w:t>
      </w:r>
      <w:r>
        <w:rPr>
          <w:rFonts w:hint="eastAsia" w:eastAsia="仿宋_GB2312"/>
          <w:color w:val="auto"/>
          <w:kern w:val="0"/>
          <w:sz w:val="30"/>
          <w:szCs w:val="32"/>
          <w:highlight w:val="none"/>
          <w:lang w:val="en-US" w:eastAsia="zh-CN"/>
        </w:rPr>
        <w:t>2026</w:t>
      </w:r>
      <w:r>
        <w:rPr>
          <w:rFonts w:hint="eastAsia" w:eastAsia="仿宋_GB2312"/>
          <w:color w:val="auto"/>
          <w:sz w:val="30"/>
          <w:szCs w:val="32"/>
          <w:highlight w:val="none"/>
        </w:rPr>
        <w:t>年第</w:t>
      </w:r>
      <w:r>
        <w:rPr>
          <w:rFonts w:hint="eastAsia" w:eastAsia="仿宋_GB2312"/>
          <w:color w:val="auto"/>
          <w:kern w:val="0"/>
          <w:sz w:val="30"/>
          <w:szCs w:val="32"/>
          <w:highlight w:val="none"/>
          <w:lang w:val="en-US" w:eastAsia="zh-CN"/>
        </w:rPr>
        <w:t>2</w:t>
      </w:r>
      <w:r>
        <w:rPr>
          <w:rFonts w:hint="eastAsia" w:eastAsia="仿宋_GB2312"/>
          <w:color w:val="auto"/>
          <w:sz w:val="30"/>
          <w:szCs w:val="32"/>
          <w:highlight w:val="none"/>
        </w:rPr>
        <w:t>季度项目所在地人工信息价计算；</w:t>
      </w:r>
    </w:p>
    <w:p w14:paraId="240FAAE1">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材料单价：</w:t>
      </w:r>
    </w:p>
    <w:p w14:paraId="1AB5AE33">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①按合同签订日期《重庆工程造价信息》发布的项目所在地的信息价（厂商推荐价格和厂商推广价格除外）执行，如所在地区县没有相关材料信息价，则按主城区信息价（综合价格信息）执行；</w:t>
      </w:r>
    </w:p>
    <w:p w14:paraId="594C2D29">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②阻燃、耐火、低烟无卤等电缆的单价在普通电缆信息价基础上按以下比例上浮，再执行合同约定的下浮费率：</w:t>
      </w:r>
    </w:p>
    <w:p w14:paraId="4689C72E">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⒈阻燃线缆在同截面普通线缆上C类加2%、B类加4.3%、A类加6.7%；</w:t>
      </w:r>
    </w:p>
    <w:p w14:paraId="7260BA7A">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⒉耐火线缆在同截面普通线缆上加15%（50mm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以上），</w:t>
      </w:r>
      <w:r>
        <w:rPr>
          <w:rFonts w:hint="eastAsia" w:eastAsia="仿宋_GB2312"/>
          <w:color w:val="auto"/>
          <w:sz w:val="30"/>
          <w:szCs w:val="32"/>
          <w:highlight w:val="none"/>
        </w:rPr>
        <w:t>19%（10mm</w:t>
      </w:r>
      <w:r>
        <w:rPr>
          <w:rFonts w:ascii="Calibri" w:hAnsi="Calibri" w:eastAsia="仿宋_GB2312" w:cs="Calibri"/>
          <w:color w:val="auto"/>
          <w:sz w:val="30"/>
          <w:szCs w:val="32"/>
          <w:highlight w:val="none"/>
        </w:rPr>
        <w:t>²</w:t>
      </w:r>
      <w:r>
        <w:rPr>
          <w:rFonts w:hint="eastAsia" w:eastAsia="仿宋_GB2312"/>
          <w:color w:val="auto"/>
          <w:sz w:val="30"/>
          <w:szCs w:val="32"/>
          <w:highlight w:val="none"/>
        </w:rPr>
        <w:t>-50mm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w:t>
      </w:r>
      <w:r>
        <w:rPr>
          <w:rFonts w:hint="eastAsia" w:eastAsia="仿宋_GB2312"/>
          <w:color w:val="auto"/>
          <w:sz w:val="30"/>
          <w:szCs w:val="32"/>
          <w:highlight w:val="none"/>
        </w:rPr>
        <w:t>28%（10mm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以下</w:t>
      </w:r>
      <w:r>
        <w:rPr>
          <w:rFonts w:hint="eastAsia" w:eastAsia="仿宋_GB2312"/>
          <w:color w:val="auto"/>
          <w:sz w:val="30"/>
          <w:szCs w:val="32"/>
          <w:highlight w:val="none"/>
        </w:rPr>
        <w:t>）；</w:t>
      </w:r>
    </w:p>
    <w:p w14:paraId="183B4F60">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⒊低烟无卤阻燃（B类）线缆在同截面普通线缆价格上加10%(50mm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以上</w:t>
      </w:r>
      <w:r>
        <w:rPr>
          <w:rFonts w:hint="eastAsia" w:eastAsia="仿宋_GB2312"/>
          <w:color w:val="auto"/>
          <w:sz w:val="30"/>
          <w:szCs w:val="32"/>
          <w:highlight w:val="none"/>
        </w:rPr>
        <w:t>)、13%（10mm</w:t>
      </w:r>
      <w:r>
        <w:rPr>
          <w:rFonts w:ascii="Calibri" w:hAnsi="Calibri" w:eastAsia="仿宋_GB2312" w:cs="Calibri"/>
          <w:color w:val="auto"/>
          <w:sz w:val="30"/>
          <w:szCs w:val="32"/>
          <w:highlight w:val="none"/>
        </w:rPr>
        <w:t>²</w:t>
      </w:r>
      <w:r>
        <w:rPr>
          <w:rFonts w:hint="eastAsia" w:eastAsia="仿宋_GB2312"/>
          <w:color w:val="auto"/>
          <w:sz w:val="30"/>
          <w:szCs w:val="32"/>
          <w:highlight w:val="none"/>
        </w:rPr>
        <w:t>-50mm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w:t>
      </w:r>
      <w:r>
        <w:rPr>
          <w:rFonts w:hint="eastAsia" w:eastAsia="仿宋_GB2312"/>
          <w:color w:val="auto"/>
          <w:sz w:val="30"/>
          <w:szCs w:val="32"/>
          <w:highlight w:val="none"/>
        </w:rPr>
        <w:t>17%（10mm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以下）；低烟无卤阻燃耐火（</w:t>
      </w:r>
      <w:r>
        <w:rPr>
          <w:rFonts w:hint="eastAsia" w:eastAsia="仿宋_GB2312"/>
          <w:color w:val="auto"/>
          <w:sz w:val="30"/>
          <w:szCs w:val="32"/>
          <w:highlight w:val="none"/>
        </w:rPr>
        <w:t>B类）线缆在同截面普通线缆价格上加22%（50mm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以上）、</w:t>
      </w:r>
      <w:r>
        <w:rPr>
          <w:rFonts w:hint="eastAsia" w:eastAsia="仿宋_GB2312"/>
          <w:color w:val="auto"/>
          <w:sz w:val="30"/>
          <w:szCs w:val="32"/>
          <w:highlight w:val="none"/>
        </w:rPr>
        <w:t>29%（10mm</w:t>
      </w:r>
      <w:r>
        <w:rPr>
          <w:rFonts w:ascii="Calibri" w:hAnsi="Calibri" w:eastAsia="仿宋_GB2312" w:cs="Calibri"/>
          <w:color w:val="auto"/>
          <w:sz w:val="30"/>
          <w:szCs w:val="32"/>
          <w:highlight w:val="none"/>
        </w:rPr>
        <w:t>²</w:t>
      </w:r>
      <w:r>
        <w:rPr>
          <w:rFonts w:hint="eastAsia" w:eastAsia="仿宋_GB2312"/>
          <w:color w:val="auto"/>
          <w:sz w:val="30"/>
          <w:szCs w:val="32"/>
          <w:highlight w:val="none"/>
        </w:rPr>
        <w:t>-50mm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w:t>
      </w:r>
      <w:r>
        <w:rPr>
          <w:rFonts w:hint="eastAsia" w:eastAsia="仿宋_GB2312"/>
          <w:color w:val="auto"/>
          <w:sz w:val="30"/>
          <w:szCs w:val="32"/>
          <w:highlight w:val="none"/>
        </w:rPr>
        <w:t>34%（10mm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以下）；低烟无卤</w:t>
      </w:r>
      <w:r>
        <w:rPr>
          <w:rFonts w:hint="eastAsia" w:eastAsia="仿宋_GB2312"/>
          <w:color w:val="auto"/>
          <w:sz w:val="30"/>
          <w:szCs w:val="32"/>
          <w:highlight w:val="none"/>
        </w:rPr>
        <w:t>A类单价按B类单价乘1.05系数，低烟无卤C类单价按B类单价乘0.93系数；</w:t>
      </w:r>
    </w:p>
    <w:p w14:paraId="338F58DE">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⒋燃烧性能B1级按低烟无卤阻燃（B类）线缆相同截面价格基础上乘1.09系数。</w:t>
      </w:r>
    </w:p>
    <w:p w14:paraId="3517E2FE">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③信息价中虽载有同类型钢材，但所刊载的具体型号、规格与工程实际使用钢材不完全一致时，按以下原则参照近似规格的信息价执行，仍须适用本合同约定的价格下浮费率：</w:t>
      </w:r>
    </w:p>
    <w:p w14:paraId="348FB1AD">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⒈实际规格低于信息价所列最小规格，按信息价中最接近的较小规格区间价格执行（示例： 槽钢实际规格低于 8# 的，参照信息价中“8–14#”区间价格执行）。</w:t>
      </w:r>
    </w:p>
    <w:p w14:paraId="03831DAB">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⒉实际规格高于信息价所列最大规格，按信息价中最接近的较大规格区间价格执行（示例： 槽钢实际规格高于 40# 的，参照信息价中“36–40#”区间价格执行）。</w:t>
      </w:r>
    </w:p>
    <w:p w14:paraId="3DB71374">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⒊其他规格差异情形参照上述原则，选择与工程实际使用钢材在性能参数、尺寸规格方面最为接近的信息价对应区间执行。</w:t>
      </w:r>
    </w:p>
    <w:p w14:paraId="651AB153">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④信息价没有的按承包人中标文件中相同材料单价的最低值执行；</w:t>
      </w:r>
    </w:p>
    <w:p w14:paraId="5AA956A2">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⑤信息价和承包人中标文件都没有的，按发包人结合市场行情认质核价确定；</w:t>
      </w:r>
    </w:p>
    <w:p w14:paraId="544F3D48">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⑥不再另行计取采保费；</w:t>
      </w:r>
    </w:p>
    <w:p w14:paraId="13F37502">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下浮基数不含安全文明施工费、认质核价的费用、甲供材、规费；</w:t>
      </w:r>
    </w:p>
    <w:p w14:paraId="62435E3C">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（3）、零星机械台班和经审批的特殊施工方案中明确的机械台班按发包人核价执行，零星材料和经审批的特殊施工方案中明确的材料按前款第（2）条中的约定执行；</w:t>
      </w:r>
    </w:p>
    <w:p w14:paraId="69C2A5E2">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4）、施工组织措施项目费：完成合同范围约定内的工作内容，则按投标时施工组织措施项目费的报价作为结算价，若有新增工作内容，施工组织措施项目费费率高于重庆市建设工程费用定额（CQFYDE-2018）规定的，结算时按定额标准计取，否则按投标报价费率计取；</w:t>
      </w:r>
    </w:p>
    <w:p w14:paraId="55FE36D9">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 xml:space="preserve">（5）、施工技术措施项目费中以项计列的项目，完成合同范围约定内的工作内容，则按投标时施工技术措施项目费的报价作为结算价；技术措施清单中以项目编码、项目名称、项目特征、工程内容、工程量及计量单位列项的项目，以中标人投标报价的综合单价乘以按《建设工程工程量清单计价规范》（GB50500-2013）约定的计量规则计算的实际变更及调整合格工程量办理结算；    </w:t>
      </w:r>
    </w:p>
    <w:p w14:paraId="102FBE59">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3．安全文明施工费：按《关于修订发布《重庆市建设工程安全文明施工费计取及使用管理规定》的通知》（渝建管〔2024〕38号）规定进行结算，即在结算时先减去投标时的暂列金额，再按渝建管〔2024〕38号结算。</w:t>
      </w:r>
    </w:p>
    <w:p w14:paraId="43D61039">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 xml:space="preserve">4. 规费按2018年重庆市建设工程费用定额规定结算。税金按《重庆市城乡建设委员会关于建筑业营业税改征增值税调整建设工程计价依据的通知》（渝建发[2016]35号）文件及《重庆市城乡建设委员会关于适用增值税新税率调整建设工程计价依据的通知》（渝建〔2019〕143 号）文件规定执行。  </w:t>
      </w:r>
    </w:p>
    <w:p w14:paraId="3ADF020C">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5. 承包人不得以工程量增减变化为由向发包人提出利润、管理费等费用索赔；</w:t>
      </w:r>
    </w:p>
    <w:p w14:paraId="71559237">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6.甲供材消耗量按投标文件对应综合单价分析表中材料损耗率计算，如无对应综合单价分析表则参照本条增减工程结算约定的计价定额中相关定额子目材料损耗率计算。承包人领取材料量大于结算材料消耗量则视为材料过剩，如非承包人原因所造成的，则承包人需将多余材料移交发包人，并完成移交手续，双方签字确认；如未完成移交手续或承包人无法证明过剩材料非承包人原因所造成，则按发包人对应材料采购合同中材料单价计算，并在结算工程款中扣除。另外，若承包人领取的单项材料量超过结算材料消耗量的10%时，超过部分材料，承包人除承担该部分材料价款外，还将按发包人采购价的50%作为承包人应承担的违约金，并在结算工程款中扣除。</w:t>
      </w:r>
    </w:p>
    <w:bookmarkEnd w:id="479"/>
    <w:bookmarkEnd w:id="480"/>
    <w:bookmarkEnd w:id="481"/>
    <w:bookmarkEnd w:id="482"/>
    <w:bookmarkEnd w:id="483"/>
    <w:bookmarkEnd w:id="484"/>
    <w:bookmarkEnd w:id="485"/>
    <w:bookmarkEnd w:id="491"/>
    <w:p w14:paraId="408B27D7">
      <w:pPr>
        <w:pStyle w:val="5"/>
        <w:spacing w:before="120" w:after="120" w:line="360" w:lineRule="auto"/>
        <w:rPr>
          <w:rFonts w:ascii="Times New Roman" w:hAnsi="Times New Roman" w:eastAsia="黑体"/>
          <w:b w:val="0"/>
          <w:color w:val="auto"/>
          <w:sz w:val="32"/>
          <w:szCs w:val="32"/>
          <w:highlight w:val="none"/>
        </w:rPr>
      </w:pPr>
      <w:bookmarkStart w:id="494" w:name="_Toc351203647"/>
      <w:bookmarkStart w:id="495" w:name="_Toc267251483"/>
      <w:bookmarkStart w:id="496" w:name="_Toc267251484"/>
      <w:bookmarkStart w:id="497" w:name="_Toc267251482"/>
      <w:bookmarkStart w:id="498" w:name="_Toc267251485"/>
      <w:bookmarkStart w:id="499" w:name="_Toc267251489"/>
      <w:bookmarkStart w:id="500" w:name="_Toc267251486"/>
      <w:bookmarkStart w:id="501" w:name="_Toc267251488"/>
      <w:bookmarkStart w:id="502" w:name="_Toc267251490"/>
      <w:bookmarkStart w:id="503" w:name="_Toc267251491"/>
      <w:bookmarkStart w:id="504" w:name="_Toc267251496"/>
      <w:bookmarkStart w:id="505" w:name="_Toc267251502"/>
      <w:bookmarkStart w:id="506" w:name="_Toc267251503"/>
      <w:bookmarkStart w:id="507" w:name="_Toc267251498"/>
      <w:bookmarkStart w:id="508" w:name="_Toc267251501"/>
      <w:bookmarkStart w:id="509" w:name="_Toc267251494"/>
      <w:bookmarkStart w:id="510" w:name="_Toc267251493"/>
      <w:bookmarkStart w:id="511" w:name="_Toc267251492"/>
      <w:bookmarkStart w:id="512" w:name="_Toc267251497"/>
      <w:bookmarkStart w:id="513" w:name="_Toc267251495"/>
      <w:bookmarkStart w:id="514" w:name="_Toc267251499"/>
      <w:bookmarkStart w:id="515" w:name="_Toc267251504"/>
      <w:bookmarkStart w:id="516" w:name="_Toc267251507"/>
      <w:bookmarkStart w:id="517" w:name="_Toc267251506"/>
      <w:bookmarkStart w:id="518" w:name="_Toc267251508"/>
      <w:bookmarkStart w:id="519" w:name="_Toc267251514"/>
      <w:bookmarkStart w:id="520" w:name="_Toc267251510"/>
      <w:bookmarkStart w:id="521" w:name="_Toc267251509"/>
      <w:bookmarkStart w:id="522" w:name="_Toc267251515"/>
      <w:bookmarkStart w:id="523" w:name="_Toc267251511"/>
      <w:bookmarkStart w:id="524" w:name="_Toc267251513"/>
      <w:r>
        <w:rPr>
          <w:rFonts w:ascii="Times New Roman" w:hAnsi="Times New Roman" w:eastAsia="黑体"/>
          <w:b w:val="0"/>
          <w:color w:val="auto"/>
          <w:sz w:val="32"/>
          <w:szCs w:val="32"/>
          <w:highlight w:val="none"/>
        </w:rPr>
        <w:t>15. 缺陷责任期与保修</w:t>
      </w:r>
      <w:bookmarkEnd w:id="494"/>
    </w:p>
    <w:p w14:paraId="2558CC56">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15.2缺陷责任期</w:t>
      </w:r>
      <w:bookmarkEnd w:id="495"/>
    </w:p>
    <w:p w14:paraId="6A1FA68C">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缺陷责任期的具体期限：</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自工程通过竣工验收之日起计算24个月</w:t>
      </w:r>
      <w:r>
        <w:rPr>
          <w:rFonts w:eastAsia="仿宋_GB2312"/>
          <w:color w:val="auto"/>
          <w:sz w:val="30"/>
          <w:szCs w:val="32"/>
          <w:highlight w:val="none"/>
          <w:u w:val="single"/>
        </w:rPr>
        <w:t xml:space="preserve">  </w:t>
      </w:r>
      <w:r>
        <w:rPr>
          <w:rFonts w:eastAsia="仿宋_GB2312"/>
          <w:color w:val="auto"/>
          <w:sz w:val="30"/>
          <w:szCs w:val="32"/>
          <w:highlight w:val="none"/>
        </w:rPr>
        <w:t>。</w:t>
      </w:r>
    </w:p>
    <w:p w14:paraId="43B4226C">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15.3 质量保证金</w:t>
      </w:r>
    </w:p>
    <w:p w14:paraId="2FB6E609">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关于是否扣留质量保证金的约定：</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是</w:t>
      </w:r>
      <w:r>
        <w:rPr>
          <w:rFonts w:eastAsia="仿宋_GB2312"/>
          <w:color w:val="auto"/>
          <w:sz w:val="30"/>
          <w:szCs w:val="32"/>
          <w:highlight w:val="none"/>
          <w:u w:val="single"/>
        </w:rPr>
        <w:t xml:space="preserve">  </w:t>
      </w:r>
      <w:r>
        <w:rPr>
          <w:rFonts w:eastAsia="仿宋_GB2312"/>
          <w:color w:val="auto"/>
          <w:sz w:val="30"/>
          <w:szCs w:val="32"/>
          <w:highlight w:val="none"/>
        </w:rPr>
        <w:t>。</w:t>
      </w:r>
    </w:p>
    <w:p w14:paraId="65CD5BD7">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在工程项目竣工前，承包人按专用合同条款第3.7条提供履约担保的，发包人不得同时预留工程质量保证金。</w:t>
      </w:r>
    </w:p>
    <w:p w14:paraId="0CD5966D">
      <w:pPr>
        <w:spacing w:line="360" w:lineRule="auto"/>
        <w:ind w:firstLine="600" w:firstLineChars="200"/>
        <w:jc w:val="left"/>
        <w:outlineLvl w:val="0"/>
        <w:rPr>
          <w:rFonts w:eastAsia="仿宋_GB2312"/>
          <w:color w:val="auto"/>
          <w:sz w:val="30"/>
          <w:szCs w:val="32"/>
          <w:highlight w:val="none"/>
        </w:rPr>
      </w:pPr>
      <w:r>
        <w:rPr>
          <w:rFonts w:eastAsia="仿宋_GB2312"/>
          <w:color w:val="auto"/>
          <w:sz w:val="30"/>
          <w:szCs w:val="32"/>
          <w:highlight w:val="none"/>
        </w:rPr>
        <w:t xml:space="preserve">15.3.1 </w:t>
      </w:r>
      <w:r>
        <w:rPr>
          <w:rFonts w:hint="eastAsia" w:eastAsia="仿宋_GB2312"/>
          <w:color w:val="auto"/>
          <w:sz w:val="30"/>
          <w:szCs w:val="32"/>
          <w:highlight w:val="none"/>
        </w:rPr>
        <w:t>承包人提供</w:t>
      </w:r>
      <w:r>
        <w:rPr>
          <w:rFonts w:eastAsia="仿宋_GB2312"/>
          <w:color w:val="auto"/>
          <w:sz w:val="30"/>
          <w:szCs w:val="32"/>
          <w:highlight w:val="none"/>
        </w:rPr>
        <w:t>质量保证金的</w:t>
      </w:r>
      <w:r>
        <w:rPr>
          <w:rFonts w:hint="eastAsia" w:eastAsia="仿宋_GB2312"/>
          <w:color w:val="auto"/>
          <w:sz w:val="30"/>
          <w:szCs w:val="32"/>
          <w:highlight w:val="none"/>
        </w:rPr>
        <w:t>方</w:t>
      </w:r>
      <w:r>
        <w:rPr>
          <w:rFonts w:eastAsia="仿宋_GB2312"/>
          <w:color w:val="auto"/>
          <w:sz w:val="30"/>
          <w:szCs w:val="32"/>
          <w:highlight w:val="none"/>
        </w:rPr>
        <w:t>式</w:t>
      </w:r>
    </w:p>
    <w:p w14:paraId="3A45FBF3">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质量保证金采用以下第</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2</w:t>
      </w:r>
      <w:r>
        <w:rPr>
          <w:rFonts w:eastAsia="仿宋_GB2312"/>
          <w:color w:val="auto"/>
          <w:sz w:val="30"/>
          <w:szCs w:val="32"/>
          <w:highlight w:val="none"/>
          <w:u w:val="single"/>
        </w:rPr>
        <w:t xml:space="preserve">  </w:t>
      </w:r>
      <w:r>
        <w:rPr>
          <w:rFonts w:eastAsia="仿宋_GB2312"/>
          <w:color w:val="auto"/>
          <w:sz w:val="30"/>
          <w:szCs w:val="32"/>
          <w:highlight w:val="none"/>
        </w:rPr>
        <w:t>种方式：</w:t>
      </w:r>
    </w:p>
    <w:p w14:paraId="2468F247">
      <w:pPr>
        <w:autoSpaceDE w:val="0"/>
        <w:autoSpaceDN w:val="0"/>
        <w:adjustRightInd w:val="0"/>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（1）质量保证金保函，保证金额为：</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 xml:space="preserve">     </w:t>
      </w:r>
      <w:r>
        <w:rPr>
          <w:rFonts w:eastAsia="仿宋_GB2312"/>
          <w:color w:val="auto"/>
          <w:kern w:val="0"/>
          <w:sz w:val="30"/>
          <w:szCs w:val="32"/>
          <w:highlight w:val="none"/>
        </w:rPr>
        <w:t xml:space="preserve">； </w:t>
      </w:r>
    </w:p>
    <w:p w14:paraId="40768419">
      <w:pPr>
        <w:autoSpaceDE w:val="0"/>
        <w:autoSpaceDN w:val="0"/>
        <w:adjustRightInd w:val="0"/>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（2）</w:t>
      </w:r>
      <w:r>
        <w:rPr>
          <w:rFonts w:eastAsia="仿宋_GB2312"/>
          <w:color w:val="auto"/>
          <w:kern w:val="0"/>
          <w:sz w:val="30"/>
          <w:szCs w:val="32"/>
          <w:highlight w:val="none"/>
          <w:u w:val="single"/>
        </w:rPr>
        <w:t xml:space="preserve">  3  </w:t>
      </w:r>
      <w:r>
        <w:rPr>
          <w:rFonts w:eastAsia="仿宋_GB2312"/>
          <w:color w:val="auto"/>
          <w:kern w:val="0"/>
          <w:sz w:val="30"/>
          <w:szCs w:val="32"/>
          <w:highlight w:val="none"/>
        </w:rPr>
        <w:t>%的工程款；</w:t>
      </w:r>
    </w:p>
    <w:p w14:paraId="41AB86E1">
      <w:pPr>
        <w:autoSpaceDE w:val="0"/>
        <w:autoSpaceDN w:val="0"/>
        <w:adjustRightInd w:val="0"/>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（3）其他</w:t>
      </w:r>
      <w:r>
        <w:rPr>
          <w:rFonts w:hint="eastAsia" w:eastAsia="仿宋_GB2312"/>
          <w:color w:val="auto"/>
          <w:kern w:val="0"/>
          <w:sz w:val="30"/>
          <w:szCs w:val="32"/>
          <w:highlight w:val="none"/>
        </w:rPr>
        <w:t>方</w:t>
      </w:r>
      <w:r>
        <w:rPr>
          <w:rFonts w:eastAsia="仿宋_GB2312"/>
          <w:color w:val="auto"/>
          <w:kern w:val="0"/>
          <w:sz w:val="30"/>
          <w:szCs w:val="32"/>
          <w:highlight w:val="none"/>
        </w:rPr>
        <w:t>式:</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0106C58D">
      <w:pPr>
        <w:spacing w:line="360" w:lineRule="auto"/>
        <w:ind w:firstLine="600" w:firstLineChars="200"/>
        <w:jc w:val="left"/>
        <w:outlineLvl w:val="0"/>
        <w:rPr>
          <w:rFonts w:eastAsia="仿宋_GB2312"/>
          <w:color w:val="auto"/>
          <w:sz w:val="30"/>
          <w:szCs w:val="32"/>
          <w:highlight w:val="none"/>
        </w:rPr>
      </w:pPr>
      <w:r>
        <w:rPr>
          <w:rFonts w:eastAsia="仿宋_GB2312"/>
          <w:color w:val="auto"/>
          <w:sz w:val="30"/>
          <w:szCs w:val="32"/>
          <w:highlight w:val="none"/>
        </w:rPr>
        <w:t xml:space="preserve">15.3.2 质量保证金的扣留 </w:t>
      </w:r>
    </w:p>
    <w:p w14:paraId="01F9F2BD">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质量保证金的扣留采取以下第</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2</w:t>
      </w:r>
      <w:r>
        <w:rPr>
          <w:rFonts w:eastAsia="仿宋_GB2312"/>
          <w:color w:val="auto"/>
          <w:sz w:val="30"/>
          <w:szCs w:val="32"/>
          <w:highlight w:val="none"/>
          <w:u w:val="single"/>
        </w:rPr>
        <w:t xml:space="preserve">  </w:t>
      </w:r>
      <w:r>
        <w:rPr>
          <w:rFonts w:eastAsia="仿宋_GB2312"/>
          <w:color w:val="auto"/>
          <w:sz w:val="30"/>
          <w:szCs w:val="32"/>
          <w:highlight w:val="none"/>
        </w:rPr>
        <w:t>种方式：</w:t>
      </w:r>
    </w:p>
    <w:p w14:paraId="7FF7A5FB">
      <w:pPr>
        <w:autoSpaceDE w:val="0"/>
        <w:autoSpaceDN w:val="0"/>
        <w:adjustRightInd w:val="0"/>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（1）在支付工程进度款时逐次扣留，在此情形下，质量保证金的计算基数不包括预付款的支付、扣回以及价格调整的金额；</w:t>
      </w:r>
    </w:p>
    <w:p w14:paraId="5D225AA0">
      <w:pPr>
        <w:autoSpaceDE w:val="0"/>
        <w:autoSpaceDN w:val="0"/>
        <w:adjustRightInd w:val="0"/>
        <w:spacing w:line="360" w:lineRule="auto"/>
        <w:ind w:firstLine="600" w:firstLineChars="200"/>
        <w:jc w:val="left"/>
        <w:outlineLvl w:val="0"/>
        <w:rPr>
          <w:rFonts w:eastAsia="仿宋_GB2312"/>
          <w:color w:val="auto"/>
          <w:kern w:val="0"/>
          <w:sz w:val="30"/>
          <w:szCs w:val="32"/>
          <w:highlight w:val="none"/>
        </w:rPr>
      </w:pPr>
      <w:r>
        <w:rPr>
          <w:rFonts w:eastAsia="仿宋_GB2312"/>
          <w:color w:val="auto"/>
          <w:kern w:val="0"/>
          <w:sz w:val="30"/>
          <w:szCs w:val="32"/>
          <w:highlight w:val="none"/>
        </w:rPr>
        <w:t>（2）工程竣工结算时一次性扣留质量保证金；</w:t>
      </w:r>
    </w:p>
    <w:p w14:paraId="72F7CBDB">
      <w:pPr>
        <w:autoSpaceDE w:val="0"/>
        <w:autoSpaceDN w:val="0"/>
        <w:adjustRightInd w:val="0"/>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（3）其他扣留方式:</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 xml:space="preserve">   </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4B83977E">
      <w:pPr>
        <w:spacing w:line="360" w:lineRule="auto"/>
        <w:ind w:firstLine="600" w:firstLineChars="200"/>
        <w:jc w:val="left"/>
        <w:rPr>
          <w:rFonts w:eastAsia="仿宋_GB2312"/>
          <w:color w:val="auto"/>
          <w:kern w:val="0"/>
          <w:sz w:val="30"/>
          <w:szCs w:val="32"/>
          <w:highlight w:val="none"/>
          <w:u w:val="single"/>
        </w:rPr>
      </w:pPr>
      <w:r>
        <w:rPr>
          <w:rFonts w:eastAsia="仿宋_GB2312"/>
          <w:color w:val="auto"/>
          <w:sz w:val="30"/>
          <w:szCs w:val="32"/>
          <w:highlight w:val="none"/>
        </w:rPr>
        <w:t>关于质量保证金的补充约定：</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 xml:space="preserve">发包人退还质量保证金时仅退还本金，不另计利息   </w:t>
      </w:r>
      <w:r>
        <w:rPr>
          <w:rFonts w:eastAsia="仿宋_GB2312"/>
          <w:color w:val="auto"/>
          <w:kern w:val="0"/>
          <w:sz w:val="30"/>
          <w:szCs w:val="32"/>
          <w:highlight w:val="none"/>
        </w:rPr>
        <w:t>。</w:t>
      </w:r>
    </w:p>
    <w:bookmarkEnd w:id="496"/>
    <w:bookmarkEnd w:id="497"/>
    <w:p w14:paraId="060D13DC">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15.4保修</w:t>
      </w:r>
    </w:p>
    <w:bookmarkEnd w:id="498"/>
    <w:p w14:paraId="15582F35">
      <w:pPr>
        <w:spacing w:line="360" w:lineRule="auto"/>
        <w:ind w:firstLine="585" w:firstLineChars="195"/>
        <w:jc w:val="left"/>
        <w:rPr>
          <w:rFonts w:eastAsia="仿宋_GB2312"/>
          <w:color w:val="auto"/>
          <w:sz w:val="30"/>
          <w:szCs w:val="32"/>
          <w:highlight w:val="none"/>
        </w:rPr>
      </w:pPr>
      <w:r>
        <w:rPr>
          <w:rFonts w:eastAsia="仿宋_GB2312"/>
          <w:color w:val="auto"/>
          <w:sz w:val="30"/>
          <w:szCs w:val="32"/>
          <w:highlight w:val="none"/>
        </w:rPr>
        <w:t>15.4.1 保修责任</w:t>
      </w:r>
    </w:p>
    <w:p w14:paraId="63EE8EB9">
      <w:pPr>
        <w:ind w:firstLine="600" w:firstLineChars="200"/>
        <w:rPr>
          <w:rFonts w:eastAsia="仿宋_GB2312"/>
          <w:color w:val="auto"/>
          <w:sz w:val="30"/>
          <w:szCs w:val="32"/>
          <w:highlight w:val="none"/>
        </w:rPr>
      </w:pPr>
      <w:r>
        <w:rPr>
          <w:rFonts w:eastAsia="仿宋_GB2312"/>
          <w:color w:val="auto"/>
          <w:sz w:val="30"/>
          <w:szCs w:val="32"/>
          <w:highlight w:val="none"/>
        </w:rPr>
        <w:t>工程保修期为：</w:t>
      </w:r>
    </w:p>
    <w:p w14:paraId="1D839402">
      <w:pPr>
        <w:ind w:firstLine="600" w:firstLineChars="200"/>
        <w:rPr>
          <w:rFonts w:ascii="仿宋_GB2312" w:eastAsia="仿宋_GB2312"/>
          <w:color w:val="auto"/>
          <w:sz w:val="30"/>
          <w:szCs w:val="30"/>
          <w:highlight w:val="none"/>
        </w:rPr>
      </w:pPr>
      <w:r>
        <w:rPr>
          <w:rFonts w:hint="eastAsia" w:eastAsia="仿宋_GB2312"/>
          <w:color w:val="auto"/>
          <w:sz w:val="30"/>
          <w:szCs w:val="30"/>
          <w:highlight w:val="none"/>
        </w:rPr>
        <w:t>（1）．</w:t>
      </w:r>
      <w:r>
        <w:rPr>
          <w:rFonts w:hint="eastAsia" w:ascii="仿宋_GB2312" w:eastAsia="仿宋_GB2312"/>
          <w:color w:val="auto"/>
          <w:sz w:val="30"/>
          <w:szCs w:val="30"/>
          <w:highlight w:val="none"/>
        </w:rPr>
        <w:t>地基基础工程和主体结构工程为设计文件规定的工程合理使用年限；</w:t>
      </w:r>
    </w:p>
    <w:p w14:paraId="09A48A7B">
      <w:pPr>
        <w:spacing w:line="360" w:lineRule="auto"/>
        <w:ind w:firstLine="600" w:firstLineChars="200"/>
        <w:rPr>
          <w:rFonts w:eastAsia="仿宋_GB2312"/>
          <w:color w:val="auto"/>
          <w:sz w:val="30"/>
          <w:szCs w:val="30"/>
          <w:highlight w:val="none"/>
        </w:rPr>
      </w:pPr>
      <w:r>
        <w:rPr>
          <w:rFonts w:hint="eastAsia" w:ascii="仿宋_GB2312" w:eastAsia="仿宋_GB2312"/>
          <w:color w:val="auto"/>
          <w:sz w:val="30"/>
          <w:szCs w:val="30"/>
          <w:highlight w:val="none"/>
        </w:rPr>
        <w:t>（2）．</w:t>
      </w:r>
      <w:r>
        <w:rPr>
          <w:rFonts w:eastAsia="仿宋_GB2312"/>
          <w:color w:val="auto"/>
          <w:sz w:val="30"/>
          <w:szCs w:val="30"/>
          <w:highlight w:val="none"/>
        </w:rPr>
        <w:t>屋面防水工程、有防水要求的卫生间、房间和外墙面的防渗</w:t>
      </w:r>
      <w:r>
        <w:rPr>
          <w:rFonts w:hint="eastAsia" w:eastAsia="仿宋_GB2312"/>
          <w:color w:val="auto"/>
          <w:sz w:val="30"/>
          <w:szCs w:val="30"/>
          <w:highlight w:val="none"/>
        </w:rPr>
        <w:t>为</w:t>
      </w:r>
      <w:r>
        <w:rPr>
          <w:rFonts w:hint="eastAsia" w:eastAsia="仿宋_GB2312"/>
          <w:color w:val="auto"/>
          <w:sz w:val="30"/>
          <w:szCs w:val="30"/>
          <w:highlight w:val="none"/>
          <w:u w:val="single"/>
        </w:rPr>
        <w:t xml:space="preserve">5  </w:t>
      </w:r>
      <w:r>
        <w:rPr>
          <w:rFonts w:eastAsia="仿宋_GB2312"/>
          <w:color w:val="auto"/>
          <w:sz w:val="30"/>
          <w:szCs w:val="30"/>
          <w:highlight w:val="none"/>
        </w:rPr>
        <w:t>年；</w:t>
      </w:r>
    </w:p>
    <w:p w14:paraId="30949CC6">
      <w:pPr>
        <w:spacing w:line="360" w:lineRule="auto"/>
        <w:ind w:left="420" w:leftChars="200" w:firstLine="150" w:firstLineChars="50"/>
        <w:rPr>
          <w:rFonts w:eastAsia="仿宋_GB2312"/>
          <w:color w:val="auto"/>
          <w:sz w:val="30"/>
          <w:szCs w:val="30"/>
          <w:highlight w:val="none"/>
        </w:rPr>
      </w:pPr>
      <w:r>
        <w:rPr>
          <w:rFonts w:hint="eastAsia" w:ascii="仿宋_GB2312" w:eastAsia="仿宋_GB2312"/>
          <w:color w:val="auto"/>
          <w:sz w:val="30"/>
          <w:szCs w:val="30"/>
          <w:highlight w:val="none"/>
        </w:rPr>
        <w:t>（3）．</w:t>
      </w:r>
      <w:r>
        <w:rPr>
          <w:rFonts w:eastAsia="仿宋_GB2312"/>
          <w:color w:val="auto"/>
          <w:sz w:val="30"/>
          <w:szCs w:val="30"/>
          <w:highlight w:val="none"/>
        </w:rPr>
        <w:t>装修工程为</w:t>
      </w:r>
      <w:r>
        <w:rPr>
          <w:rFonts w:eastAsia="仿宋_GB2312"/>
          <w:color w:val="auto"/>
          <w:sz w:val="30"/>
          <w:szCs w:val="30"/>
          <w:highlight w:val="none"/>
          <w:u w:val="single"/>
        </w:rPr>
        <w:t xml:space="preserve">   2  </w:t>
      </w:r>
      <w:r>
        <w:rPr>
          <w:rFonts w:eastAsia="仿宋_GB2312"/>
          <w:color w:val="auto"/>
          <w:sz w:val="30"/>
          <w:szCs w:val="30"/>
          <w:highlight w:val="none"/>
        </w:rPr>
        <w:t>年；</w:t>
      </w:r>
    </w:p>
    <w:p w14:paraId="04EE04A9">
      <w:pPr>
        <w:spacing w:line="360" w:lineRule="auto"/>
        <w:ind w:left="420" w:leftChars="200" w:firstLine="150" w:firstLineChars="50"/>
        <w:rPr>
          <w:rFonts w:eastAsia="仿宋_GB2312"/>
          <w:color w:val="auto"/>
          <w:sz w:val="30"/>
          <w:szCs w:val="30"/>
          <w:highlight w:val="none"/>
        </w:rPr>
      </w:pPr>
      <w:r>
        <w:rPr>
          <w:rFonts w:hint="eastAsia" w:ascii="仿宋_GB2312" w:eastAsia="仿宋_GB2312"/>
          <w:color w:val="auto"/>
          <w:sz w:val="30"/>
          <w:szCs w:val="30"/>
          <w:highlight w:val="none"/>
        </w:rPr>
        <w:t>（4）．</w:t>
      </w:r>
      <w:r>
        <w:rPr>
          <w:rFonts w:eastAsia="仿宋_GB2312"/>
          <w:color w:val="auto"/>
          <w:sz w:val="30"/>
          <w:szCs w:val="30"/>
          <w:highlight w:val="none"/>
        </w:rPr>
        <w:t>电气管线、给排水管道、设备安装工程为</w:t>
      </w:r>
      <w:r>
        <w:rPr>
          <w:rFonts w:eastAsia="仿宋_GB2312"/>
          <w:color w:val="auto"/>
          <w:sz w:val="30"/>
          <w:szCs w:val="30"/>
          <w:highlight w:val="none"/>
          <w:u w:val="single"/>
        </w:rPr>
        <w:t xml:space="preserve">   2  </w:t>
      </w:r>
      <w:r>
        <w:rPr>
          <w:rFonts w:eastAsia="仿宋_GB2312"/>
          <w:color w:val="auto"/>
          <w:sz w:val="30"/>
          <w:szCs w:val="30"/>
          <w:highlight w:val="none"/>
        </w:rPr>
        <w:t>年；</w:t>
      </w:r>
    </w:p>
    <w:p w14:paraId="5FA2B60C">
      <w:pPr>
        <w:spacing w:line="360" w:lineRule="auto"/>
        <w:ind w:left="420" w:leftChars="200" w:firstLine="150" w:firstLineChars="50"/>
        <w:rPr>
          <w:rFonts w:eastAsia="仿宋_GB2312"/>
          <w:color w:val="auto"/>
          <w:sz w:val="30"/>
          <w:szCs w:val="30"/>
          <w:highlight w:val="none"/>
        </w:rPr>
      </w:pPr>
      <w:r>
        <w:rPr>
          <w:rFonts w:hint="eastAsia" w:ascii="仿宋_GB2312" w:eastAsia="仿宋_GB2312"/>
          <w:color w:val="auto"/>
          <w:sz w:val="30"/>
          <w:szCs w:val="30"/>
          <w:highlight w:val="none"/>
        </w:rPr>
        <w:t>（5）．</w:t>
      </w:r>
      <w:r>
        <w:rPr>
          <w:rFonts w:eastAsia="仿宋_GB2312"/>
          <w:color w:val="auto"/>
          <w:sz w:val="30"/>
          <w:szCs w:val="30"/>
          <w:highlight w:val="none"/>
        </w:rPr>
        <w:t>供热与供冷系统为</w:t>
      </w:r>
      <w:r>
        <w:rPr>
          <w:rFonts w:eastAsia="仿宋_GB2312"/>
          <w:color w:val="auto"/>
          <w:sz w:val="30"/>
          <w:szCs w:val="30"/>
          <w:highlight w:val="none"/>
          <w:u w:val="single"/>
        </w:rPr>
        <w:t xml:space="preserve">  2  </w:t>
      </w:r>
      <w:r>
        <w:rPr>
          <w:rFonts w:eastAsia="仿宋_GB2312"/>
          <w:color w:val="auto"/>
          <w:sz w:val="30"/>
          <w:szCs w:val="30"/>
          <w:highlight w:val="none"/>
        </w:rPr>
        <w:t>个采暖期、供冷期；</w:t>
      </w:r>
    </w:p>
    <w:p w14:paraId="63E432DD">
      <w:pPr>
        <w:spacing w:line="360" w:lineRule="auto"/>
        <w:ind w:left="420" w:leftChars="200" w:firstLine="150" w:firstLineChars="50"/>
        <w:rPr>
          <w:color w:val="auto"/>
          <w:highlight w:val="none"/>
        </w:rPr>
      </w:pPr>
      <w:r>
        <w:rPr>
          <w:rFonts w:hint="eastAsia" w:ascii="仿宋_GB2312" w:eastAsia="仿宋_GB2312"/>
          <w:color w:val="auto"/>
          <w:sz w:val="30"/>
          <w:szCs w:val="30"/>
          <w:highlight w:val="none"/>
        </w:rPr>
        <w:t>（6）．</w:t>
      </w:r>
      <w:r>
        <w:rPr>
          <w:rFonts w:hint="eastAsia" w:eastAsia="仿宋_GB2312"/>
          <w:color w:val="auto"/>
          <w:sz w:val="30"/>
          <w:szCs w:val="30"/>
          <w:highlight w:val="none"/>
        </w:rPr>
        <w:t>厂区</w:t>
      </w:r>
      <w:r>
        <w:rPr>
          <w:rFonts w:eastAsia="仿宋_GB2312"/>
          <w:color w:val="auto"/>
          <w:sz w:val="30"/>
          <w:szCs w:val="30"/>
          <w:highlight w:val="none"/>
        </w:rPr>
        <w:t>内的给排水设施、道路等配套工程为</w:t>
      </w:r>
      <w:r>
        <w:rPr>
          <w:rFonts w:eastAsia="仿宋_GB2312"/>
          <w:color w:val="auto"/>
          <w:sz w:val="30"/>
          <w:szCs w:val="30"/>
          <w:highlight w:val="none"/>
          <w:u w:val="single"/>
        </w:rPr>
        <w:t xml:space="preserve">  2  </w:t>
      </w:r>
      <w:r>
        <w:rPr>
          <w:rFonts w:eastAsia="仿宋_GB2312"/>
          <w:color w:val="auto"/>
          <w:sz w:val="30"/>
          <w:szCs w:val="30"/>
          <w:highlight w:val="none"/>
        </w:rPr>
        <w:t>年；</w:t>
      </w:r>
    </w:p>
    <w:p w14:paraId="70A2C60C">
      <w:pPr>
        <w:spacing w:line="360" w:lineRule="auto"/>
        <w:ind w:firstLine="585" w:firstLineChars="195"/>
        <w:jc w:val="left"/>
        <w:rPr>
          <w:rFonts w:eastAsia="仿宋_GB2312"/>
          <w:color w:val="auto"/>
          <w:sz w:val="30"/>
          <w:szCs w:val="32"/>
          <w:highlight w:val="none"/>
        </w:rPr>
      </w:pPr>
      <w:r>
        <w:rPr>
          <w:rFonts w:eastAsia="仿宋_GB2312"/>
          <w:color w:val="auto"/>
          <w:sz w:val="30"/>
          <w:szCs w:val="32"/>
          <w:highlight w:val="none"/>
        </w:rPr>
        <w:t>15.4.3 修复通知</w:t>
      </w:r>
    </w:p>
    <w:p w14:paraId="14E7DD6A">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承包人收到保修通知并到达工程现场的合理时间：</w:t>
      </w:r>
      <w:r>
        <w:rPr>
          <w:rFonts w:eastAsia="仿宋_GB2312"/>
          <w:color w:val="auto"/>
          <w:kern w:val="0"/>
          <w:sz w:val="30"/>
          <w:szCs w:val="32"/>
          <w:highlight w:val="none"/>
          <w:u w:val="single"/>
        </w:rPr>
        <w:t xml:space="preserve">  24</w:t>
      </w:r>
      <w:r>
        <w:rPr>
          <w:rFonts w:hint="eastAsia" w:eastAsia="仿宋_GB2312"/>
          <w:color w:val="auto"/>
          <w:kern w:val="0"/>
          <w:sz w:val="30"/>
          <w:szCs w:val="32"/>
          <w:highlight w:val="none"/>
          <w:u w:val="single"/>
        </w:rPr>
        <w:t>小时内</w:t>
      </w:r>
      <w:r>
        <w:rPr>
          <w:rFonts w:eastAsia="仿宋_GB2312"/>
          <w:color w:val="auto"/>
          <w:kern w:val="0"/>
          <w:sz w:val="30"/>
          <w:szCs w:val="32"/>
          <w:highlight w:val="none"/>
          <w:u w:val="single"/>
        </w:rPr>
        <w:t xml:space="preserve"> </w:t>
      </w:r>
      <w:r>
        <w:rPr>
          <w:rFonts w:eastAsia="仿宋_GB2312"/>
          <w:color w:val="auto"/>
          <w:kern w:val="0"/>
          <w:sz w:val="30"/>
          <w:szCs w:val="32"/>
          <w:highlight w:val="none"/>
        </w:rPr>
        <w:t>。</w:t>
      </w:r>
    </w:p>
    <w:bookmarkEnd w:id="499"/>
    <w:bookmarkEnd w:id="500"/>
    <w:bookmarkEnd w:id="501"/>
    <w:bookmarkEnd w:id="502"/>
    <w:p w14:paraId="6DD9D8C7">
      <w:pPr>
        <w:pStyle w:val="5"/>
        <w:spacing w:before="120" w:after="120" w:line="360" w:lineRule="auto"/>
        <w:rPr>
          <w:rFonts w:ascii="Times New Roman" w:hAnsi="Times New Roman" w:eastAsia="黑体"/>
          <w:b w:val="0"/>
          <w:color w:val="auto"/>
          <w:sz w:val="32"/>
          <w:szCs w:val="32"/>
          <w:highlight w:val="none"/>
        </w:rPr>
      </w:pPr>
      <w:bookmarkStart w:id="525" w:name="_Toc351203648"/>
      <w:bookmarkStart w:id="526" w:name="_Toc280868717"/>
      <w:bookmarkStart w:id="527" w:name="_Toc280868718"/>
      <w:r>
        <w:rPr>
          <w:rFonts w:ascii="Times New Roman" w:hAnsi="Times New Roman" w:eastAsia="黑体"/>
          <w:b w:val="0"/>
          <w:color w:val="auto"/>
          <w:sz w:val="32"/>
          <w:szCs w:val="32"/>
          <w:highlight w:val="none"/>
        </w:rPr>
        <w:t>16. 违约</w:t>
      </w:r>
      <w:bookmarkEnd w:id="525"/>
    </w:p>
    <w:p w14:paraId="0DF0E20B">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16.1 发包人违约</w:t>
      </w:r>
    </w:p>
    <w:p w14:paraId="25C36C66">
      <w:pPr>
        <w:spacing w:line="360" w:lineRule="auto"/>
        <w:ind w:left="1500" w:hanging="1500" w:hangingChars="500"/>
        <w:jc w:val="left"/>
        <w:rPr>
          <w:rFonts w:eastAsia="仿宋_GB2312"/>
          <w:color w:val="auto"/>
          <w:kern w:val="0"/>
          <w:sz w:val="30"/>
          <w:szCs w:val="32"/>
          <w:highlight w:val="none"/>
        </w:rPr>
      </w:pPr>
      <w:r>
        <w:rPr>
          <w:rFonts w:eastAsia="仿宋_GB2312"/>
          <w:color w:val="auto"/>
          <w:kern w:val="0"/>
          <w:sz w:val="30"/>
          <w:szCs w:val="32"/>
          <w:highlight w:val="none"/>
        </w:rPr>
        <w:t xml:space="preserve">    16.1.2 发包人违约的责任</w:t>
      </w:r>
    </w:p>
    <w:p w14:paraId="3F1D1158">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发包人违约责任的承担方式和计算方法：</w:t>
      </w:r>
    </w:p>
    <w:p w14:paraId="266D8BA4">
      <w:pPr>
        <w:spacing w:line="360" w:lineRule="auto"/>
        <w:ind w:firstLine="600" w:firstLineChars="200"/>
        <w:jc w:val="left"/>
        <w:rPr>
          <w:rFonts w:eastAsia="仿宋_GB2312"/>
          <w:color w:val="auto"/>
          <w:kern w:val="0"/>
          <w:sz w:val="30"/>
          <w:szCs w:val="32"/>
          <w:highlight w:val="none"/>
          <w:u w:val="single"/>
        </w:rPr>
      </w:pPr>
      <w:r>
        <w:rPr>
          <w:rFonts w:eastAsia="仿宋_GB2312"/>
          <w:color w:val="auto"/>
          <w:kern w:val="0"/>
          <w:sz w:val="30"/>
          <w:szCs w:val="32"/>
          <w:highlight w:val="none"/>
        </w:rPr>
        <w:t>（1）因发包人原因未能在计划开工日期前7天内下达开工通知的违约责任：</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 xml:space="preserve">相关风险已包含在合同金额内，发包人不再承担违约责任 </w:t>
      </w:r>
      <w:r>
        <w:rPr>
          <w:rFonts w:eastAsia="仿宋_GB2312"/>
          <w:color w:val="auto"/>
          <w:kern w:val="0"/>
          <w:sz w:val="30"/>
          <w:szCs w:val="32"/>
          <w:highlight w:val="none"/>
        </w:rPr>
        <w:t>。</w:t>
      </w:r>
    </w:p>
    <w:p w14:paraId="64C96F1B">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（2）因发包人原因未能按合同约定支付合同价款的违约责任：</w:t>
      </w:r>
      <w:r>
        <w:rPr>
          <w:rFonts w:eastAsia="仿宋_GB2312"/>
          <w:color w:val="auto"/>
          <w:kern w:val="0"/>
          <w:sz w:val="30"/>
          <w:szCs w:val="32"/>
          <w:highlight w:val="none"/>
          <w:u w:val="single"/>
        </w:rPr>
        <w:t xml:space="preserve">  按照中国人民银行发布的同期</w:t>
      </w:r>
      <w:r>
        <w:rPr>
          <w:rFonts w:hint="eastAsia" w:eastAsia="仿宋_GB2312"/>
          <w:color w:val="auto"/>
          <w:kern w:val="0"/>
          <w:sz w:val="30"/>
          <w:szCs w:val="32"/>
          <w:highlight w:val="none"/>
          <w:u w:val="single"/>
        </w:rPr>
        <w:t>、同类贷款基准利率</w:t>
      </w:r>
      <w:r>
        <w:rPr>
          <w:rFonts w:eastAsia="仿宋_GB2312"/>
          <w:color w:val="auto"/>
          <w:kern w:val="0"/>
          <w:sz w:val="30"/>
          <w:szCs w:val="32"/>
          <w:highlight w:val="none"/>
          <w:u w:val="single"/>
        </w:rPr>
        <w:t xml:space="preserve">支付违约金 </w:t>
      </w:r>
      <w:r>
        <w:rPr>
          <w:rFonts w:eastAsia="仿宋_GB2312"/>
          <w:color w:val="auto"/>
          <w:kern w:val="0"/>
          <w:sz w:val="30"/>
          <w:szCs w:val="32"/>
          <w:highlight w:val="none"/>
        </w:rPr>
        <w:t>。</w:t>
      </w:r>
    </w:p>
    <w:p w14:paraId="4F402820">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（3）发包人违反第10.1款</w:t>
      </w:r>
      <w:r>
        <w:rPr>
          <w:rFonts w:hint="eastAsia" w:eastAsia="仿宋_GB2312"/>
          <w:color w:val="auto"/>
          <w:kern w:val="0"/>
          <w:sz w:val="30"/>
          <w:szCs w:val="32"/>
          <w:highlight w:val="none"/>
        </w:rPr>
        <w:t>〔</w:t>
      </w:r>
      <w:r>
        <w:rPr>
          <w:rFonts w:eastAsia="仿宋_GB2312"/>
          <w:color w:val="auto"/>
          <w:kern w:val="0"/>
          <w:sz w:val="30"/>
          <w:szCs w:val="32"/>
          <w:highlight w:val="none"/>
        </w:rPr>
        <w:t>变更的范围</w:t>
      </w:r>
      <w:r>
        <w:rPr>
          <w:rFonts w:hint="eastAsia" w:eastAsia="仿宋_GB2312"/>
          <w:color w:val="auto"/>
          <w:kern w:val="0"/>
          <w:sz w:val="30"/>
          <w:szCs w:val="32"/>
          <w:highlight w:val="none"/>
        </w:rPr>
        <w:t>〕</w:t>
      </w:r>
      <w:r>
        <w:rPr>
          <w:rFonts w:eastAsia="仿宋_GB2312"/>
          <w:color w:val="auto"/>
          <w:kern w:val="0"/>
          <w:sz w:val="30"/>
          <w:szCs w:val="32"/>
          <w:highlight w:val="none"/>
        </w:rPr>
        <w:t>第（2）项约定，自行实施被取消的工作或转由他人实施的违约责任：</w:t>
      </w:r>
      <w:r>
        <w:rPr>
          <w:rFonts w:hint="eastAsia" w:eastAsia="仿宋_GB2312"/>
          <w:color w:val="auto"/>
          <w:kern w:val="0"/>
          <w:sz w:val="30"/>
          <w:szCs w:val="32"/>
          <w:highlight w:val="none"/>
          <w:u w:val="single"/>
        </w:rPr>
        <w:t xml:space="preserve">应支付承包人相应工作的合理利润 </w:t>
      </w:r>
      <w:r>
        <w:rPr>
          <w:rFonts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57CA3080">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（4）发包人提供的材料、工程设备的规格、数量或质量不符合合同约定，或因发包人原因导致交货日期延误或交货地点变更等情况的违约责任：</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相应工期顺延</w:t>
      </w:r>
      <w:r>
        <w:rPr>
          <w:rFonts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22A1C874">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（7）</w:t>
      </w:r>
      <w:r>
        <w:rPr>
          <w:rFonts w:hint="eastAsia" w:eastAsia="仿宋_GB2312"/>
          <w:color w:val="auto"/>
          <w:kern w:val="0"/>
          <w:sz w:val="30"/>
          <w:szCs w:val="32"/>
          <w:highlight w:val="none"/>
        </w:rPr>
        <w:t>其他：</w:t>
      </w:r>
      <w:r>
        <w:rPr>
          <w:rFonts w:hint="eastAsia" w:eastAsia="仿宋_GB2312"/>
          <w:color w:val="auto"/>
          <w:kern w:val="0"/>
          <w:sz w:val="30"/>
          <w:szCs w:val="32"/>
          <w:highlight w:val="none"/>
          <w:u w:val="single"/>
        </w:rPr>
        <w:t>因发包人违约给承包人造成的损失，发包人只对直接损失给予赔偿，对间接损失不予任何费用赔偿</w:t>
      </w:r>
      <w:r>
        <w:rPr>
          <w:rFonts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1AB3DA4D">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16.2 承包人违约</w:t>
      </w:r>
    </w:p>
    <w:p w14:paraId="0966B8DC">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16.2.2承包人违约的责任</w:t>
      </w:r>
    </w:p>
    <w:p w14:paraId="0B46D02D">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1、承包人在施工中没有领会发包人意图或不明确施工要求而又不向发包人求证明确，致使施工不能达到发包人要求的，发包人有权要求承包人返工并由承包人承担返工损失，工期不得顺延；</w:t>
      </w:r>
    </w:p>
    <w:p w14:paraId="1D9AE815">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2、承包人不能因为任何原因拖欠农民工工资，由此引发的任何责任由承包人承担；出现拖欠农民工工资行为，发包人有权从承包人工程进度款中扣减直接支付给农民工，并处每次二十万元整的违约金；承包人不能因为任何原因拖欠包含但不限于承包人材料供应商及施工机具租赁方任何费用，由此引发的任何责任由承包人承担；出现拖欠包含但不限于材料费及机具租赁费等行为，发包人有权暂停支付工程进度款直至承包人支付完成为止，并处每次二十万元整的违约金。</w:t>
      </w:r>
    </w:p>
    <w:p w14:paraId="29B85A8F">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3、承包人派往施工现场的项目经理、技术负责人、其他管理人员每周在现场的时间不少于6天，未经发包人批准擅自离岗的支付违约金每人500元/天；如任一管理人员擅自离岗累计超出5天后，则按超出天数支付违约金</w:t>
      </w:r>
      <w:r>
        <w:rPr>
          <w:rFonts w:eastAsia="仿宋_GB2312"/>
          <w:color w:val="auto"/>
          <w:kern w:val="0"/>
          <w:sz w:val="30"/>
          <w:szCs w:val="32"/>
          <w:highlight w:val="none"/>
        </w:rPr>
        <w:t>1</w:t>
      </w:r>
      <w:r>
        <w:rPr>
          <w:rFonts w:hint="eastAsia" w:eastAsia="仿宋_GB2312"/>
          <w:color w:val="auto"/>
          <w:kern w:val="0"/>
          <w:sz w:val="30"/>
          <w:szCs w:val="32"/>
          <w:highlight w:val="none"/>
        </w:rPr>
        <w:t>000元/天；如任一管理人员擅自离岗累计超出10天，</w:t>
      </w:r>
      <w:r>
        <w:rPr>
          <w:rFonts w:hint="eastAsia" w:eastAsia="仿宋_GB2312"/>
          <w:color w:val="auto"/>
          <w:sz w:val="30"/>
          <w:szCs w:val="32"/>
          <w:highlight w:val="none"/>
        </w:rPr>
        <w:t>发包人有权单方解除合同，不承担违约责任。承包人应于发包人解除合同之日起5日内向发包人支付违约金五十万元。逾期支付，承包人应额外向发包人支付未付金额0.5‰/天的逾期违约金直至完全支付时</w:t>
      </w:r>
      <w:r>
        <w:rPr>
          <w:rFonts w:hint="eastAsia" w:eastAsia="仿宋_GB2312"/>
          <w:color w:val="auto"/>
          <w:kern w:val="0"/>
          <w:sz w:val="30"/>
          <w:szCs w:val="32"/>
          <w:highlight w:val="none"/>
        </w:rPr>
        <w:t>。</w:t>
      </w:r>
    </w:p>
    <w:p w14:paraId="7E0D24BD">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4、承包人进场人员必须严格按照合同及相关文件中所报项目经理、技术负责人及其他管理人员配备，不得更换。如承包人未经监理和发包人审查同意，更换填报的任一项目经理、技术负责人及其他管理人员，处以每人次五万元的违约金，并限期予以纠正；</w:t>
      </w:r>
      <w:r>
        <w:rPr>
          <w:rFonts w:hint="eastAsia" w:eastAsia="仿宋_GB2312"/>
          <w:color w:val="auto"/>
          <w:sz w:val="30"/>
          <w:szCs w:val="32"/>
          <w:highlight w:val="none"/>
        </w:rPr>
        <w:t>逾期未纠正，发包人有权单方解除合同，不承担违约责任。承包人应于发包人解除合同之日起5日内向发包人支付违约金五十万元。逾期支付，承包人应额外向发包人支付未付金额0.5‰/天的逾期违约金直至完全支付时。</w:t>
      </w:r>
    </w:p>
    <w:p w14:paraId="369D4912">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5、承包人有以下情况发生，属违约行为，应承担的违约责任：按十万元/次支付违约金并继续履行合同；在指定期限内拒不整改的，发包人有权解除合同，并要求承包人承担严重违约责任。</w:t>
      </w:r>
    </w:p>
    <w:p w14:paraId="49F1AAD0">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（1）承包人违反合同约定进行转包或违法分包的；</w:t>
      </w:r>
    </w:p>
    <w:p w14:paraId="2B5EE1F9">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（2）承包人违反合同约定采购和使用不合格的材料和工程设备的；</w:t>
      </w:r>
    </w:p>
    <w:p w14:paraId="5045E415">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6、承包人有以下情况发生，属违约行为，应承担的违约责任：支付违约金三千元/次 。</w:t>
      </w:r>
    </w:p>
    <w:p w14:paraId="065F0A8B">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（1）因承包人原因导致工程质量不符合合同要求的</w:t>
      </w:r>
      <w:r>
        <w:rPr>
          <w:rFonts w:hint="eastAsia" w:eastAsia="仿宋_GB2312"/>
          <w:color w:val="auto"/>
          <w:kern w:val="0"/>
          <w:sz w:val="30"/>
          <w:szCs w:val="32"/>
          <w:highlight w:val="none"/>
        </w:rPr>
        <w:t>，由承包人负责返工，直到达到约定标准，其耽误的工期由承包人自负</w:t>
      </w:r>
      <w:r>
        <w:rPr>
          <w:rFonts w:eastAsia="仿宋_GB2312"/>
          <w:color w:val="auto"/>
          <w:kern w:val="0"/>
          <w:sz w:val="30"/>
          <w:szCs w:val="32"/>
          <w:highlight w:val="none"/>
        </w:rPr>
        <w:t>；</w:t>
      </w:r>
    </w:p>
    <w:p w14:paraId="7138B89A">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（2）</w:t>
      </w:r>
      <w:r>
        <w:rPr>
          <w:rFonts w:hint="eastAsia" w:eastAsia="仿宋_GB2312"/>
          <w:color w:val="auto"/>
          <w:kern w:val="0"/>
          <w:sz w:val="30"/>
          <w:szCs w:val="32"/>
          <w:highlight w:val="none"/>
        </w:rPr>
        <w:t>关键工作或发包人特别要求完成的主要工程未按计划完成</w:t>
      </w:r>
      <w:r>
        <w:rPr>
          <w:rFonts w:eastAsia="仿宋_GB2312"/>
          <w:color w:val="auto"/>
          <w:kern w:val="0"/>
          <w:sz w:val="30"/>
          <w:szCs w:val="32"/>
          <w:highlight w:val="none"/>
        </w:rPr>
        <w:t xml:space="preserve">； </w:t>
      </w:r>
    </w:p>
    <w:p w14:paraId="11B1D043">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w:t>
      </w:r>
      <w:r>
        <w:rPr>
          <w:rFonts w:hint="eastAsia" w:eastAsia="仿宋_GB2312"/>
          <w:color w:val="auto"/>
          <w:kern w:val="0"/>
          <w:sz w:val="30"/>
          <w:szCs w:val="32"/>
          <w:highlight w:val="none"/>
        </w:rPr>
        <w:t>3</w:t>
      </w:r>
      <w:r>
        <w:rPr>
          <w:rFonts w:eastAsia="仿宋_GB2312"/>
          <w:color w:val="auto"/>
          <w:kern w:val="0"/>
          <w:sz w:val="30"/>
          <w:szCs w:val="32"/>
          <w:highlight w:val="none"/>
        </w:rPr>
        <w:t>）</w:t>
      </w:r>
      <w:r>
        <w:rPr>
          <w:rFonts w:hint="eastAsia" w:eastAsia="仿宋_GB2312"/>
          <w:color w:val="auto"/>
          <w:kern w:val="0"/>
          <w:sz w:val="30"/>
          <w:szCs w:val="32"/>
          <w:highlight w:val="none"/>
        </w:rPr>
        <w:t>施工过程中不按国家相关施工规范组织施工；</w:t>
      </w:r>
    </w:p>
    <w:p w14:paraId="062E1EAA">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w:t>
      </w:r>
      <w:r>
        <w:rPr>
          <w:rFonts w:hint="eastAsia" w:eastAsia="仿宋_GB2312"/>
          <w:color w:val="auto"/>
          <w:kern w:val="0"/>
          <w:sz w:val="30"/>
          <w:szCs w:val="32"/>
          <w:highlight w:val="none"/>
        </w:rPr>
        <w:t>4</w:t>
      </w:r>
      <w:r>
        <w:rPr>
          <w:rFonts w:eastAsia="仿宋_GB2312"/>
          <w:color w:val="auto"/>
          <w:kern w:val="0"/>
          <w:sz w:val="30"/>
          <w:szCs w:val="32"/>
          <w:highlight w:val="none"/>
        </w:rPr>
        <w:t>）</w:t>
      </w:r>
      <w:r>
        <w:rPr>
          <w:rFonts w:hint="eastAsia" w:eastAsia="仿宋_GB2312"/>
          <w:color w:val="auto"/>
          <w:kern w:val="0"/>
          <w:sz w:val="30"/>
          <w:szCs w:val="32"/>
          <w:highlight w:val="none"/>
        </w:rPr>
        <w:t>重要部位不按施工程序自检、报验和发包人签字审核，擅自施工；</w:t>
      </w:r>
    </w:p>
    <w:p w14:paraId="0B8E833C">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w:t>
      </w:r>
      <w:r>
        <w:rPr>
          <w:rFonts w:hint="eastAsia" w:eastAsia="仿宋_GB2312"/>
          <w:color w:val="auto"/>
          <w:kern w:val="0"/>
          <w:sz w:val="30"/>
          <w:szCs w:val="32"/>
          <w:highlight w:val="none"/>
        </w:rPr>
        <w:t>5</w:t>
      </w:r>
      <w:r>
        <w:rPr>
          <w:rFonts w:eastAsia="仿宋_GB2312"/>
          <w:color w:val="auto"/>
          <w:kern w:val="0"/>
          <w:sz w:val="30"/>
          <w:szCs w:val="32"/>
          <w:highlight w:val="none"/>
        </w:rPr>
        <w:t xml:space="preserve">）未经批准，私自将已按照合同约定进入施工现场的材料或设备撤离施工现场的 </w:t>
      </w:r>
      <w:r>
        <w:rPr>
          <w:rFonts w:hint="eastAsia" w:eastAsia="仿宋_GB2312"/>
          <w:color w:val="auto"/>
          <w:kern w:val="0"/>
          <w:sz w:val="30"/>
          <w:szCs w:val="32"/>
          <w:highlight w:val="none"/>
        </w:rPr>
        <w:t>；</w:t>
      </w:r>
    </w:p>
    <w:p w14:paraId="6851F3A9">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w:t>
      </w:r>
      <w:r>
        <w:rPr>
          <w:rFonts w:hint="eastAsia" w:eastAsia="仿宋_GB2312"/>
          <w:color w:val="auto"/>
          <w:kern w:val="0"/>
          <w:sz w:val="30"/>
          <w:szCs w:val="32"/>
          <w:highlight w:val="none"/>
        </w:rPr>
        <w:t>6</w:t>
      </w:r>
      <w:r>
        <w:rPr>
          <w:rFonts w:eastAsia="仿宋_GB2312"/>
          <w:color w:val="auto"/>
          <w:kern w:val="0"/>
          <w:sz w:val="30"/>
          <w:szCs w:val="32"/>
          <w:highlight w:val="none"/>
        </w:rPr>
        <w:t>）承包人在缺陷责任期及保修期内，未能在合理期限对工程缺陷进行修复，或拒绝按发包人要求进行修复的</w:t>
      </w:r>
      <w:r>
        <w:rPr>
          <w:rFonts w:hint="eastAsia" w:eastAsia="仿宋_GB2312"/>
          <w:color w:val="auto"/>
          <w:kern w:val="0"/>
          <w:sz w:val="30"/>
          <w:szCs w:val="32"/>
          <w:highlight w:val="none"/>
        </w:rPr>
        <w:t xml:space="preserve"> 。</w:t>
      </w:r>
      <w:r>
        <w:rPr>
          <w:rFonts w:eastAsia="仿宋_GB2312"/>
          <w:color w:val="auto"/>
          <w:kern w:val="0"/>
          <w:sz w:val="30"/>
          <w:szCs w:val="32"/>
          <w:highlight w:val="none"/>
        </w:rPr>
        <w:t xml:space="preserve">  </w:t>
      </w:r>
    </w:p>
    <w:p w14:paraId="69664B47">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 xml:space="preserve"> </w:t>
      </w:r>
      <w:r>
        <w:rPr>
          <w:rFonts w:hint="eastAsia" w:eastAsia="仿宋_GB2312"/>
          <w:color w:val="auto"/>
          <w:kern w:val="0"/>
          <w:sz w:val="30"/>
          <w:szCs w:val="32"/>
          <w:highlight w:val="none"/>
        </w:rPr>
        <w:t xml:space="preserve">7、承包人提交的工程竣工资料必须字迹清楚、资料完全、图物相符、数据准确、竣工图纸完整，如不符合要求则应承担违约金三千元/处；隐蔽工程验收单缺失则应承担违约金五千元/项。 </w:t>
      </w:r>
    </w:p>
    <w:p w14:paraId="555C8AA4">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 xml:space="preserve"> </w:t>
      </w:r>
      <w:r>
        <w:rPr>
          <w:rFonts w:eastAsia="仿宋_GB2312"/>
          <w:color w:val="auto"/>
          <w:kern w:val="0"/>
          <w:sz w:val="30"/>
          <w:szCs w:val="32"/>
          <w:highlight w:val="none"/>
        </w:rPr>
        <w:t>8、</w:t>
      </w:r>
      <w:r>
        <w:rPr>
          <w:rFonts w:hint="eastAsia" w:eastAsia="仿宋_GB2312"/>
          <w:color w:val="auto"/>
          <w:kern w:val="0"/>
          <w:sz w:val="30"/>
          <w:szCs w:val="32"/>
          <w:highlight w:val="none"/>
        </w:rPr>
        <w:t>发包人有权根据工程进度情况要求承包人增加施工人员和更换施工班组，若承包人未按发包人要求执行，一次性扣违约金五万元。</w:t>
      </w:r>
    </w:p>
    <w:p w14:paraId="67CEB2B9">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 xml:space="preserve"> 9、承包人逾期支付上述违约金额时，承包人应额外向发包人支付未付金额0.5‰/天的逾期违约金直至完全支付为止。发包人有权单方解除合同，不承担违约责任。  </w:t>
      </w:r>
    </w:p>
    <w:p w14:paraId="76DBFA85">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10、实际施工中，如有增减工程内容的情形（包括合同范围以外的新增工作内容），发包人有权对工程内容进行增减调整，承包人必须按发包人发出的指令执行，承包人拒不履行的，发包人有权一次性扣违约金五万元，经催告后仍不执行的，发包人有权单方解除合同，不承担违约责任。</w:t>
      </w:r>
    </w:p>
    <w:p w14:paraId="0E71354E">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11、</w:t>
      </w:r>
      <w:r>
        <w:rPr>
          <w:rFonts w:hint="eastAsia" w:eastAsia="仿宋_GB2312"/>
          <w:color w:val="auto"/>
          <w:kern w:val="0"/>
          <w:sz w:val="30"/>
          <w:szCs w:val="32"/>
          <w:highlight w:val="none"/>
        </w:rPr>
        <w:t>由发包人组织的工程会议或监理组织的每周工地例会，承包人项目经理和技术负责人必须出席（经发包人批准除外），每缺席一次按500元/人.次扣除违约金。若发包人通知承包人纠正，承包人拒绝或超过48小时未纠正的，发包人有权单方解除合同，因此造成的一切损失由承包人承担。</w:t>
      </w:r>
    </w:p>
    <w:p w14:paraId="1BE73ECE">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12、</w:t>
      </w:r>
      <w:r>
        <w:rPr>
          <w:rFonts w:hint="eastAsia" w:eastAsia="仿宋_GB2312"/>
          <w:color w:val="auto"/>
          <w:kern w:val="0"/>
          <w:sz w:val="30"/>
          <w:szCs w:val="32"/>
          <w:highlight w:val="none"/>
        </w:rPr>
        <w:t>工程保修期内发现质量不合格，承包人必须在规定的期限返工并达到合同约定的质量等级，并按该不合格项目所处分项工程造价5%计算向发包人承担支付违约金的责任。</w:t>
      </w:r>
    </w:p>
    <w:p w14:paraId="20F987BF">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13、</w:t>
      </w:r>
      <w:r>
        <w:rPr>
          <w:rFonts w:hint="eastAsia" w:eastAsia="仿宋_GB2312"/>
          <w:color w:val="auto"/>
          <w:kern w:val="0"/>
          <w:sz w:val="30"/>
          <w:szCs w:val="32"/>
          <w:highlight w:val="none"/>
        </w:rPr>
        <w:t>竣工结算办理时如承包人送交的正式结算资料（包含但不限于竣工图、签证单等资料）经发包人查实与工程实际不符，竣工资料应予修改，并且承包人须向发包人支付双倍差额的违约金。</w:t>
      </w:r>
    </w:p>
    <w:p w14:paraId="3EF0F60B">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14、</w:t>
      </w:r>
      <w:r>
        <w:rPr>
          <w:rFonts w:hint="eastAsia" w:eastAsia="仿宋_GB2312"/>
          <w:color w:val="auto"/>
          <w:kern w:val="0"/>
          <w:sz w:val="30"/>
          <w:szCs w:val="32"/>
          <w:highlight w:val="none"/>
        </w:rPr>
        <w:t>在施工过程中如出现各类资料、测量工器具（含设备）等弄虚作假的情况，处以违约金5万元/次，发包人有权单方解除合同，因此造成的相应损失由承包人承担。</w:t>
      </w:r>
    </w:p>
    <w:p w14:paraId="556D6545">
      <w:pPr>
        <w:pStyle w:val="8"/>
        <w:ind w:left="63" w:right="63"/>
        <w:jc w:val="left"/>
        <w:rPr>
          <w:color w:val="auto"/>
          <w:highlight w:val="none"/>
        </w:rPr>
      </w:pPr>
      <w:r>
        <w:rPr>
          <w:rFonts w:hint="eastAsia"/>
          <w:color w:val="auto"/>
          <w:highlight w:val="none"/>
        </w:rPr>
        <w:t xml:space="preserve"> </w:t>
      </w:r>
      <w:r>
        <w:rPr>
          <w:color w:val="auto"/>
          <w:highlight w:val="none"/>
        </w:rPr>
        <w:t xml:space="preserve">     </w:t>
      </w:r>
      <w:r>
        <w:rPr>
          <w:rFonts w:eastAsia="仿宋_GB2312"/>
          <w:color w:val="auto"/>
          <w:sz w:val="30"/>
          <w:szCs w:val="32"/>
          <w:highlight w:val="none"/>
        </w:rPr>
        <w:t>15、</w:t>
      </w:r>
      <w:r>
        <w:rPr>
          <w:rFonts w:hint="eastAsia" w:eastAsia="仿宋_GB2312"/>
          <w:color w:val="auto"/>
          <w:sz w:val="30"/>
          <w:szCs w:val="32"/>
          <w:highlight w:val="none"/>
        </w:rPr>
        <w:t>每期</w:t>
      </w:r>
      <w:r>
        <w:rPr>
          <w:rFonts w:eastAsia="仿宋_GB2312"/>
          <w:color w:val="auto"/>
          <w:sz w:val="30"/>
          <w:szCs w:val="32"/>
          <w:highlight w:val="none"/>
        </w:rPr>
        <w:t>施工单位</w:t>
      </w:r>
      <w:r>
        <w:rPr>
          <w:rFonts w:hint="eastAsia" w:eastAsia="仿宋_GB2312"/>
          <w:color w:val="auto"/>
          <w:sz w:val="30"/>
          <w:szCs w:val="32"/>
          <w:highlight w:val="none"/>
        </w:rPr>
        <w:t>报送</w:t>
      </w:r>
      <w:r>
        <w:rPr>
          <w:rFonts w:eastAsia="仿宋_GB2312"/>
          <w:color w:val="auto"/>
          <w:sz w:val="30"/>
          <w:szCs w:val="32"/>
          <w:highlight w:val="none"/>
        </w:rPr>
        <w:t>的</w:t>
      </w:r>
      <w:r>
        <w:rPr>
          <w:rFonts w:hint="eastAsia" w:eastAsia="仿宋_GB2312"/>
          <w:color w:val="auto"/>
          <w:sz w:val="30"/>
          <w:szCs w:val="32"/>
          <w:highlight w:val="none"/>
        </w:rPr>
        <w:t>施工进度报审金额超过施工进度审核金额的</w:t>
      </w:r>
      <w:r>
        <w:rPr>
          <w:rFonts w:eastAsia="仿宋_GB2312"/>
          <w:color w:val="auto"/>
          <w:sz w:val="30"/>
          <w:szCs w:val="32"/>
          <w:highlight w:val="none"/>
        </w:rPr>
        <w:t>20%时，每次扣除</w:t>
      </w:r>
      <w:r>
        <w:rPr>
          <w:rFonts w:eastAsia="仿宋_GB2312"/>
          <w:color w:val="auto"/>
          <w:sz w:val="30"/>
          <w:szCs w:val="32"/>
          <w:highlight w:val="none"/>
          <w:u w:val="single"/>
        </w:rPr>
        <w:t xml:space="preserve">   20000   </w:t>
      </w:r>
      <w:r>
        <w:rPr>
          <w:rFonts w:hint="eastAsia" w:eastAsia="仿宋_GB2312"/>
          <w:color w:val="auto"/>
          <w:sz w:val="30"/>
          <w:szCs w:val="32"/>
          <w:highlight w:val="none"/>
        </w:rPr>
        <w:t>元违约金。</w:t>
      </w:r>
    </w:p>
    <w:p w14:paraId="67833067">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16.2.3 因承包人违约解除合同</w:t>
      </w:r>
    </w:p>
    <w:p w14:paraId="5C8263FF">
      <w:pPr>
        <w:spacing w:line="360" w:lineRule="auto"/>
        <w:ind w:firstLine="600" w:firstLineChars="200"/>
        <w:jc w:val="left"/>
        <w:rPr>
          <w:rFonts w:eastAsia="仿宋_GB2312"/>
          <w:color w:val="auto"/>
          <w:kern w:val="0"/>
          <w:sz w:val="30"/>
          <w:szCs w:val="32"/>
          <w:highlight w:val="none"/>
          <w:u w:val="single"/>
        </w:rPr>
      </w:pPr>
      <w:r>
        <w:rPr>
          <w:rFonts w:eastAsia="仿宋_GB2312"/>
          <w:color w:val="auto"/>
          <w:kern w:val="0"/>
          <w:sz w:val="30"/>
          <w:szCs w:val="32"/>
          <w:highlight w:val="none"/>
        </w:rPr>
        <w:t>关于承包人违约解除合同的特别约定：</w:t>
      </w:r>
    </w:p>
    <w:p w14:paraId="34C2AE03">
      <w:pPr>
        <w:spacing w:line="360" w:lineRule="auto"/>
        <w:ind w:firstLine="600" w:firstLineChars="200"/>
        <w:jc w:val="left"/>
        <w:rPr>
          <w:rFonts w:eastAsia="仿宋_GB2312"/>
          <w:color w:val="auto"/>
          <w:kern w:val="0"/>
          <w:sz w:val="30"/>
          <w:szCs w:val="32"/>
          <w:highlight w:val="none"/>
          <w:u w:val="single"/>
        </w:rPr>
      </w:pPr>
      <w:r>
        <w:rPr>
          <w:rFonts w:hint="eastAsia" w:eastAsia="仿宋_GB2312"/>
          <w:color w:val="auto"/>
          <w:kern w:val="0"/>
          <w:sz w:val="30"/>
          <w:szCs w:val="32"/>
          <w:highlight w:val="none"/>
          <w:u w:val="single"/>
        </w:rPr>
        <w:t>1、承包人接到通知后，必须在2天内停止工程施工，并在10天内将机械、材料、物件、人员从施工现场撤离。停工3天内，发包人将会同承包人对已完成工程量进行清点：只承认已完工且符合质量验收标准的部分工程，对于已订货而未到现场或在现场未使用的材料、设备等不予承认，由承包人自行处理；对于承包人已开工但经检验不合格的工程，承包人必须在限期内拆除，并清运出工地，由此带来的相应损失由承包人承担；</w:t>
      </w:r>
    </w:p>
    <w:p w14:paraId="50F0DA03">
      <w:pPr>
        <w:spacing w:line="360" w:lineRule="auto"/>
        <w:ind w:firstLine="600" w:firstLineChars="200"/>
        <w:jc w:val="left"/>
        <w:rPr>
          <w:rFonts w:eastAsia="仿宋_GB2312"/>
          <w:color w:val="auto"/>
          <w:kern w:val="0"/>
          <w:sz w:val="30"/>
          <w:szCs w:val="32"/>
          <w:highlight w:val="none"/>
          <w:u w:val="single"/>
        </w:rPr>
      </w:pPr>
      <w:r>
        <w:rPr>
          <w:rFonts w:hint="eastAsia" w:eastAsia="仿宋_GB2312"/>
          <w:color w:val="auto"/>
          <w:kern w:val="0"/>
          <w:sz w:val="30"/>
          <w:szCs w:val="32"/>
          <w:highlight w:val="none"/>
          <w:u w:val="single"/>
        </w:rPr>
        <w:t>2、承包人未在规定期限内离场的，发包人有权将其留在现场的材料、设备和其他物件临时转运到其它堆放处，由此产生的搬运、保管费用应由承包人负责，在此过程中出现的任何非发包人主观故意引起的损坏、遗失由承包人自行负责，处理费用由承包人承担。由于合同解除引致发包人工期延误及其它方面的损失，由承包人负责赔偿；</w:t>
      </w:r>
    </w:p>
    <w:p w14:paraId="679B6C42">
      <w:pPr>
        <w:spacing w:line="360" w:lineRule="auto"/>
        <w:ind w:firstLine="600" w:firstLineChars="200"/>
        <w:jc w:val="left"/>
        <w:rPr>
          <w:rFonts w:eastAsia="仿宋_GB2312"/>
          <w:color w:val="auto"/>
          <w:kern w:val="0"/>
          <w:sz w:val="30"/>
          <w:szCs w:val="32"/>
          <w:highlight w:val="none"/>
          <w:u w:val="single"/>
        </w:rPr>
      </w:pPr>
      <w:r>
        <w:rPr>
          <w:rFonts w:hint="eastAsia" w:eastAsia="仿宋_GB2312"/>
          <w:color w:val="auto"/>
          <w:kern w:val="0"/>
          <w:sz w:val="30"/>
          <w:szCs w:val="32"/>
          <w:highlight w:val="none"/>
          <w:u w:val="single"/>
        </w:rPr>
        <w:t>3、承包人在部分解除合同或解除合同后，还必须在规定期限内作好已施工技术资料和实物的交底、移交工作，并配合发包人重新确定施工单位。承包人因未履行上述义务而给发包人带来工期延误和其它损失的，应赔偿发包人的实际损失；</w:t>
      </w:r>
    </w:p>
    <w:p w14:paraId="3F8EC3A4">
      <w:pPr>
        <w:spacing w:line="360" w:lineRule="auto"/>
        <w:ind w:firstLine="600" w:firstLineChars="200"/>
        <w:jc w:val="left"/>
        <w:rPr>
          <w:rFonts w:eastAsia="仿宋_GB2312"/>
          <w:color w:val="auto"/>
          <w:kern w:val="0"/>
          <w:sz w:val="30"/>
          <w:szCs w:val="32"/>
          <w:highlight w:val="none"/>
          <w:u w:val="single"/>
        </w:rPr>
      </w:pPr>
      <w:r>
        <w:rPr>
          <w:rFonts w:hint="eastAsia" w:eastAsia="仿宋_GB2312"/>
          <w:color w:val="auto"/>
          <w:kern w:val="0"/>
          <w:sz w:val="30"/>
          <w:szCs w:val="32"/>
          <w:highlight w:val="none"/>
          <w:u w:val="single"/>
        </w:rPr>
        <w:t>4、合同解除后，不影响双方在合同中约定的结算和清理尾款的效力，亦不能免除承包人对已完工项目的保修责任</w:t>
      </w:r>
      <w:r>
        <w:rPr>
          <w:rFonts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4CA27A68">
      <w:pPr>
        <w:spacing w:before="120" w:after="120"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发包人</w:t>
      </w:r>
      <w:r>
        <w:rPr>
          <w:rFonts w:hint="eastAsia" w:eastAsia="仿宋_GB2312"/>
          <w:color w:val="auto"/>
          <w:kern w:val="0"/>
          <w:sz w:val="30"/>
          <w:szCs w:val="32"/>
          <w:highlight w:val="none"/>
        </w:rPr>
        <w:t>继续</w:t>
      </w:r>
      <w:r>
        <w:rPr>
          <w:rFonts w:eastAsia="仿宋_GB2312"/>
          <w:color w:val="auto"/>
          <w:kern w:val="0"/>
          <w:sz w:val="30"/>
          <w:szCs w:val="32"/>
          <w:highlight w:val="none"/>
        </w:rPr>
        <w:t>使用承包人在施工现场的材料、设备、临时工程、承包人文件和由承包人或以其名义编制的其他文件</w:t>
      </w:r>
      <w:r>
        <w:rPr>
          <w:rFonts w:hint="eastAsia" w:eastAsia="仿宋_GB2312"/>
          <w:color w:val="auto"/>
          <w:kern w:val="0"/>
          <w:sz w:val="30"/>
          <w:szCs w:val="32"/>
          <w:highlight w:val="none"/>
        </w:rPr>
        <w:t>的费用承担方式</w:t>
      </w:r>
      <w:r>
        <w:rPr>
          <w:rFonts w:eastAsia="仿宋_GB2312"/>
          <w:color w:val="auto"/>
          <w:kern w:val="0"/>
          <w:sz w:val="30"/>
          <w:szCs w:val="32"/>
          <w:highlight w:val="none"/>
        </w:rPr>
        <w:t>：</w:t>
      </w:r>
      <w:r>
        <w:rPr>
          <w:rFonts w:hint="eastAsia" w:eastAsia="仿宋_GB2312"/>
          <w:color w:val="auto"/>
          <w:kern w:val="0"/>
          <w:sz w:val="30"/>
          <w:szCs w:val="32"/>
          <w:highlight w:val="none"/>
          <w:u w:val="single"/>
        </w:rPr>
        <w:t>发包人继续使用施工现场的材料、设备、临时工程</w:t>
      </w:r>
      <w:r>
        <w:rPr>
          <w:rFonts w:eastAsia="仿宋_GB2312"/>
          <w:color w:val="auto"/>
          <w:kern w:val="0"/>
          <w:sz w:val="30"/>
          <w:szCs w:val="32"/>
          <w:highlight w:val="none"/>
          <w:u w:val="single"/>
        </w:rPr>
        <w:t>按</w:t>
      </w:r>
      <w:r>
        <w:rPr>
          <w:rFonts w:hint="eastAsia" w:eastAsia="仿宋_GB2312"/>
          <w:color w:val="auto"/>
          <w:kern w:val="0"/>
          <w:sz w:val="30"/>
          <w:szCs w:val="32"/>
          <w:highlight w:val="none"/>
          <w:u w:val="single"/>
        </w:rPr>
        <w:t>通用合同条款</w:t>
      </w:r>
      <w:r>
        <w:rPr>
          <w:rFonts w:eastAsia="仿宋_GB2312"/>
          <w:color w:val="auto"/>
          <w:kern w:val="0"/>
          <w:sz w:val="30"/>
          <w:szCs w:val="32"/>
          <w:highlight w:val="none"/>
          <w:u w:val="single"/>
        </w:rPr>
        <w:t>第4.4款</w:t>
      </w:r>
      <w:r>
        <w:rPr>
          <w:rFonts w:hint="eastAsia" w:eastAsia="仿宋_GB2312"/>
          <w:color w:val="auto"/>
          <w:kern w:val="0"/>
          <w:sz w:val="30"/>
          <w:szCs w:val="32"/>
          <w:highlight w:val="none"/>
          <w:u w:val="single"/>
        </w:rPr>
        <w:t>〔</w:t>
      </w:r>
      <w:r>
        <w:rPr>
          <w:rFonts w:eastAsia="仿宋_GB2312"/>
          <w:color w:val="auto"/>
          <w:kern w:val="0"/>
          <w:sz w:val="30"/>
          <w:szCs w:val="32"/>
          <w:highlight w:val="none"/>
          <w:u w:val="single"/>
        </w:rPr>
        <w:t>商定或确定</w:t>
      </w:r>
      <w:r>
        <w:rPr>
          <w:rFonts w:hint="eastAsia" w:eastAsia="仿宋_GB2312"/>
          <w:color w:val="auto"/>
          <w:kern w:val="0"/>
          <w:sz w:val="30"/>
          <w:szCs w:val="32"/>
          <w:highlight w:val="none"/>
          <w:u w:val="single"/>
        </w:rPr>
        <w:t>〕</w:t>
      </w:r>
      <w:r>
        <w:rPr>
          <w:rFonts w:eastAsia="仿宋_GB2312"/>
          <w:color w:val="auto"/>
          <w:kern w:val="0"/>
          <w:sz w:val="30"/>
          <w:szCs w:val="32"/>
          <w:highlight w:val="none"/>
          <w:u w:val="single"/>
        </w:rPr>
        <w:t>商定或确定</w:t>
      </w:r>
      <w:r>
        <w:rPr>
          <w:rFonts w:hint="eastAsia" w:eastAsia="仿宋_GB2312"/>
          <w:color w:val="auto"/>
          <w:kern w:val="0"/>
          <w:sz w:val="30"/>
          <w:szCs w:val="32"/>
          <w:highlight w:val="none"/>
          <w:u w:val="single"/>
        </w:rPr>
        <w:t>；承包人文件和由承包人或以其名义编制的其他文件无偿提供给发包人使用</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rPr>
        <w:t>。</w:t>
      </w:r>
    </w:p>
    <w:p w14:paraId="4013C152">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16.4</w:t>
      </w:r>
      <w:r>
        <w:rPr>
          <w:rFonts w:hint="eastAsia" w:eastAsia="仿宋_GB2312"/>
          <w:color w:val="auto"/>
          <w:kern w:val="0"/>
          <w:sz w:val="30"/>
          <w:szCs w:val="32"/>
          <w:highlight w:val="none"/>
        </w:rPr>
        <w:t>承包人应在发包人发出支付违约金通知之日起7日内支付违约金，超出7日则视为逾期支付违约金。</w:t>
      </w:r>
    </w:p>
    <w:p w14:paraId="2AE2D1BC">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16.5本合同约定的违约金条款均可同时适用，当约定的违约金低于发包人实际损失（包括直接损失、间接损失及维权成本），发包人有权要求承包人按实际损失赔偿。实际损失包括但不限于可得利益损失、替代交易价差、停产损失、维权律师费及差旅费。发包人有权直接从应付款项或保证金中扣除违约金、赔偿金，无需承包人同意。</w:t>
      </w:r>
    </w:p>
    <w:p w14:paraId="4E679483">
      <w:pPr>
        <w:pStyle w:val="5"/>
        <w:spacing w:before="120" w:after="120" w:line="360" w:lineRule="auto"/>
        <w:rPr>
          <w:rFonts w:ascii="Times New Roman" w:hAnsi="Times New Roman" w:eastAsia="黑体"/>
          <w:b w:val="0"/>
          <w:color w:val="auto"/>
          <w:sz w:val="32"/>
          <w:szCs w:val="32"/>
          <w:highlight w:val="none"/>
        </w:rPr>
      </w:pPr>
      <w:bookmarkStart w:id="528" w:name="_Toc351203649"/>
      <w:r>
        <w:rPr>
          <w:rFonts w:ascii="Times New Roman" w:hAnsi="Times New Roman" w:eastAsia="黑体"/>
          <w:b w:val="0"/>
          <w:color w:val="auto"/>
          <w:sz w:val="32"/>
          <w:szCs w:val="32"/>
          <w:highlight w:val="none"/>
        </w:rPr>
        <w:t>17. 不可抗力</w:t>
      </w:r>
      <w:bookmarkEnd w:id="528"/>
      <w:r>
        <w:rPr>
          <w:rFonts w:ascii="Times New Roman" w:hAnsi="Times New Roman" w:eastAsia="黑体"/>
          <w:b w:val="0"/>
          <w:color w:val="auto"/>
          <w:sz w:val="32"/>
          <w:szCs w:val="32"/>
          <w:highlight w:val="none"/>
        </w:rPr>
        <w:t xml:space="preserve"> </w:t>
      </w:r>
      <w:bookmarkEnd w:id="526"/>
    </w:p>
    <w:p w14:paraId="4A308FF3">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17.1 不可抗力的确认</w:t>
      </w:r>
    </w:p>
    <w:p w14:paraId="7680EBD7">
      <w:pPr>
        <w:spacing w:line="360" w:lineRule="auto"/>
        <w:ind w:firstLine="600" w:firstLineChars="200"/>
        <w:jc w:val="left"/>
        <w:rPr>
          <w:rFonts w:eastAsia="仿宋_GB2312"/>
          <w:color w:val="auto"/>
          <w:kern w:val="0"/>
          <w:sz w:val="30"/>
          <w:szCs w:val="32"/>
          <w:highlight w:val="none"/>
        </w:rPr>
      </w:pPr>
      <w:r>
        <w:rPr>
          <w:rFonts w:eastAsia="仿宋_GB2312"/>
          <w:color w:val="auto"/>
          <w:sz w:val="30"/>
          <w:szCs w:val="32"/>
          <w:highlight w:val="none"/>
        </w:rPr>
        <w:t xml:space="preserve">除通用合同条款约定的不可抗力事件之外，视为不可抗力的其他情形： </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 xml:space="preserve">空中飞行物坠落或非发包人、承包人责任造成的爆炸、火灾以及百年一遇以上等级的风、雨、雪、洪水、高温自然灾害 </w:t>
      </w:r>
      <w:r>
        <w:rPr>
          <w:rFonts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6FBC3FCF">
      <w:pPr>
        <w:spacing w:line="360" w:lineRule="auto"/>
        <w:ind w:firstLine="600" w:firstLineChars="200"/>
        <w:jc w:val="left"/>
        <w:rPr>
          <w:rFonts w:eastAsia="黑体"/>
          <w:color w:val="auto"/>
          <w:sz w:val="30"/>
          <w:szCs w:val="32"/>
          <w:highlight w:val="none"/>
        </w:rPr>
      </w:pPr>
      <w:r>
        <w:rPr>
          <w:rFonts w:eastAsia="仿宋_GB2312"/>
          <w:color w:val="auto"/>
          <w:kern w:val="0"/>
          <w:sz w:val="30"/>
          <w:szCs w:val="32"/>
          <w:highlight w:val="none"/>
        </w:rPr>
        <w:t>17.3</w:t>
      </w:r>
      <w:r>
        <w:rPr>
          <w:rFonts w:eastAsia="黑体"/>
          <w:color w:val="auto"/>
          <w:sz w:val="30"/>
          <w:szCs w:val="32"/>
          <w:highlight w:val="none"/>
        </w:rPr>
        <w:t>不可抗力后果的承担</w:t>
      </w:r>
    </w:p>
    <w:p w14:paraId="164ED6B6">
      <w:pPr>
        <w:spacing w:line="360" w:lineRule="auto"/>
        <w:ind w:firstLine="600" w:firstLineChars="200"/>
        <w:jc w:val="left"/>
        <w:rPr>
          <w:rFonts w:eastAsia="仿宋_GB2312"/>
          <w:color w:val="auto"/>
          <w:sz w:val="30"/>
          <w:szCs w:val="32"/>
          <w:highlight w:val="none"/>
        </w:rPr>
      </w:pPr>
      <w:r>
        <w:rPr>
          <w:rFonts w:hint="eastAsia" w:eastAsia="仿宋_GB2312"/>
          <w:color w:val="auto"/>
          <w:kern w:val="0"/>
          <w:sz w:val="30"/>
          <w:szCs w:val="32"/>
          <w:highlight w:val="none"/>
        </w:rPr>
        <w:t>17.3.2</w:t>
      </w:r>
      <w:r>
        <w:rPr>
          <w:rFonts w:eastAsia="仿宋_GB2312"/>
          <w:color w:val="auto"/>
          <w:sz w:val="30"/>
          <w:szCs w:val="32"/>
          <w:highlight w:val="none"/>
        </w:rPr>
        <w:t>不可抗力导致的人员伤亡、财产损失、费用增加和（或）工期延误等后果，由合同当事人按以下原则承担：</w:t>
      </w:r>
    </w:p>
    <w:p w14:paraId="6683E6CD">
      <w:pPr>
        <w:spacing w:line="360" w:lineRule="auto"/>
        <w:ind w:firstLine="600" w:firstLineChars="200"/>
        <w:jc w:val="left"/>
        <w:rPr>
          <w:rFonts w:eastAsia="仿宋_GB2312"/>
          <w:color w:val="auto"/>
          <w:sz w:val="30"/>
          <w:szCs w:val="32"/>
          <w:highlight w:val="none"/>
        </w:rPr>
      </w:pPr>
      <w:r>
        <w:rPr>
          <w:rFonts w:eastAsia="仿宋_GB2312"/>
          <w:color w:val="auto"/>
          <w:kern w:val="0"/>
          <w:sz w:val="30"/>
          <w:szCs w:val="32"/>
          <w:highlight w:val="none"/>
        </w:rPr>
        <w:t>（4</w:t>
      </w:r>
      <w:r>
        <w:rPr>
          <w:rFonts w:eastAsia="仿宋_GB2312"/>
          <w:color w:val="auto"/>
          <w:sz w:val="30"/>
          <w:szCs w:val="32"/>
          <w:highlight w:val="none"/>
        </w:rPr>
        <w:t>）因不可抗力影响承包人履行合同约定的义务，由此导致承包人停工的费用损失由承包人</w:t>
      </w:r>
      <w:r>
        <w:rPr>
          <w:rFonts w:hint="eastAsia" w:eastAsia="仿宋_GB2312"/>
          <w:color w:val="auto"/>
          <w:sz w:val="30"/>
          <w:szCs w:val="32"/>
          <w:highlight w:val="none"/>
        </w:rPr>
        <w:t>承担</w:t>
      </w:r>
      <w:r>
        <w:rPr>
          <w:rFonts w:eastAsia="仿宋_GB2312"/>
          <w:color w:val="auto"/>
          <w:sz w:val="30"/>
          <w:szCs w:val="32"/>
          <w:highlight w:val="none"/>
        </w:rPr>
        <w:t>，停工期间必须支付的工人工资由</w:t>
      </w:r>
      <w:r>
        <w:rPr>
          <w:rFonts w:hint="eastAsia" w:eastAsia="仿宋_GB2312"/>
          <w:color w:val="auto"/>
          <w:sz w:val="30"/>
          <w:szCs w:val="32"/>
          <w:highlight w:val="none"/>
        </w:rPr>
        <w:t>承包</w:t>
      </w:r>
      <w:r>
        <w:rPr>
          <w:rFonts w:eastAsia="仿宋_GB2312"/>
          <w:color w:val="auto"/>
          <w:sz w:val="30"/>
          <w:szCs w:val="32"/>
          <w:highlight w:val="none"/>
        </w:rPr>
        <w:t>人承担。</w:t>
      </w:r>
    </w:p>
    <w:p w14:paraId="399ACFBF">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17.4 因不可抗力解除合同</w:t>
      </w:r>
    </w:p>
    <w:p w14:paraId="7F902B61">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合同解除后，发包人应在商定或确定发包人应支付款项后</w:t>
      </w:r>
      <w:r>
        <w:rPr>
          <w:rFonts w:eastAsia="仿宋_GB2312"/>
          <w:color w:val="auto"/>
          <w:sz w:val="30"/>
          <w:szCs w:val="32"/>
          <w:highlight w:val="none"/>
          <w:u w:val="single"/>
        </w:rPr>
        <w:t xml:space="preserve"> 28 </w:t>
      </w:r>
      <w:r>
        <w:rPr>
          <w:rFonts w:eastAsia="仿宋_GB2312"/>
          <w:color w:val="auto"/>
          <w:sz w:val="30"/>
          <w:szCs w:val="32"/>
          <w:highlight w:val="none"/>
        </w:rPr>
        <w:t>天内完成款项的支付。</w:t>
      </w:r>
    </w:p>
    <w:p w14:paraId="6B24929C">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承包人撤离施工现场以及遣散承包人人员的费用</w:t>
      </w:r>
      <w:r>
        <w:rPr>
          <w:rFonts w:hint="eastAsia" w:eastAsia="仿宋_GB2312"/>
          <w:color w:val="auto"/>
          <w:sz w:val="30"/>
          <w:szCs w:val="32"/>
          <w:highlight w:val="none"/>
        </w:rPr>
        <w:t>由承包人自行承担。</w:t>
      </w:r>
    </w:p>
    <w:p w14:paraId="6BFCB127">
      <w:pPr>
        <w:pStyle w:val="5"/>
        <w:spacing w:before="120" w:after="120" w:line="360" w:lineRule="auto"/>
        <w:rPr>
          <w:rFonts w:ascii="Times New Roman" w:hAnsi="Times New Roman" w:eastAsia="黑体"/>
          <w:b w:val="0"/>
          <w:color w:val="auto"/>
          <w:sz w:val="32"/>
          <w:szCs w:val="32"/>
          <w:highlight w:val="none"/>
        </w:rPr>
      </w:pPr>
      <w:bookmarkStart w:id="529" w:name="_Toc351203650"/>
      <w:r>
        <w:rPr>
          <w:rFonts w:ascii="Times New Roman" w:hAnsi="Times New Roman" w:eastAsia="黑体"/>
          <w:b w:val="0"/>
          <w:color w:val="auto"/>
          <w:sz w:val="32"/>
          <w:szCs w:val="32"/>
          <w:highlight w:val="none"/>
        </w:rPr>
        <w:t>18. 保险</w:t>
      </w:r>
      <w:bookmarkEnd w:id="529"/>
    </w:p>
    <w:bookmarkEnd w:id="527"/>
    <w:p w14:paraId="18116EA2">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18.1 工程保险</w:t>
      </w:r>
    </w:p>
    <w:p w14:paraId="09DDA38E">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关于工程保险的特别约定：</w:t>
      </w:r>
      <w:r>
        <w:rPr>
          <w:rFonts w:hint="eastAsia" w:eastAsia="仿宋_GB2312"/>
          <w:color w:val="auto"/>
          <w:kern w:val="0"/>
          <w:sz w:val="30"/>
          <w:szCs w:val="32"/>
          <w:highlight w:val="none"/>
          <w:u w:val="single"/>
        </w:rPr>
        <w:t>承包人须以发包人和承包人的名义向双方同意的保险人投保建筑安装工程一切险及第三方责任险，此项费用由承包人承担，如承包人未按约定购买，导致发包人未能得到足额赔偿，由承包人负责补足。承包人应当按照劳动法有关规定为所有入场人员办理工伤保险，并在合同签订后7天内向发包人提交保险证明材料。承包人必须要为其所有作业人员购买人身伤害保险,发生身故情况的保险赔偿金额不低于 200 万元，并为施工场地内自有人员生命财产和施工机械设备办理保险，支付保险费用。</w:t>
      </w:r>
    </w:p>
    <w:bookmarkEnd w:id="503"/>
    <w:bookmarkEnd w:id="504"/>
    <w:bookmarkEnd w:id="505"/>
    <w:bookmarkEnd w:id="506"/>
    <w:bookmarkEnd w:id="507"/>
    <w:bookmarkEnd w:id="508"/>
    <w:bookmarkEnd w:id="509"/>
    <w:bookmarkEnd w:id="510"/>
    <w:bookmarkEnd w:id="511"/>
    <w:bookmarkEnd w:id="512"/>
    <w:bookmarkEnd w:id="513"/>
    <w:bookmarkEnd w:id="514"/>
    <w:p w14:paraId="3D0C45BC">
      <w:pPr>
        <w:pStyle w:val="5"/>
        <w:spacing w:before="120" w:after="120" w:line="360" w:lineRule="auto"/>
        <w:rPr>
          <w:rFonts w:ascii="Times New Roman" w:hAnsi="Times New Roman" w:eastAsia="黑体"/>
          <w:b w:val="0"/>
          <w:color w:val="auto"/>
          <w:sz w:val="32"/>
          <w:szCs w:val="32"/>
          <w:highlight w:val="none"/>
        </w:rPr>
      </w:pPr>
      <w:bookmarkStart w:id="530" w:name="_Toc351203651"/>
      <w:r>
        <w:rPr>
          <w:rFonts w:ascii="Times New Roman" w:hAnsi="Times New Roman" w:eastAsia="黑体"/>
          <w:b w:val="0"/>
          <w:color w:val="auto"/>
          <w:sz w:val="32"/>
          <w:szCs w:val="32"/>
          <w:highlight w:val="none"/>
        </w:rPr>
        <w:t>20. 争议解决</w:t>
      </w:r>
      <w:bookmarkEnd w:id="530"/>
    </w:p>
    <w:bookmarkEnd w:id="515"/>
    <w:bookmarkEnd w:id="516"/>
    <w:bookmarkEnd w:id="517"/>
    <w:p w14:paraId="6380431C">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20.4仲裁或诉讼</w:t>
      </w:r>
      <w:bookmarkEnd w:id="518"/>
    </w:p>
    <w:p w14:paraId="258E4877">
      <w:pPr>
        <w:spacing w:after="120" w:line="360" w:lineRule="auto"/>
        <w:ind w:firstLine="600" w:firstLineChars="200"/>
        <w:rPr>
          <w:rFonts w:eastAsia="黑体"/>
          <w:color w:val="auto"/>
          <w:sz w:val="30"/>
          <w:szCs w:val="32"/>
          <w:highlight w:val="none"/>
        </w:rPr>
      </w:pPr>
      <w:r>
        <w:rPr>
          <w:rFonts w:eastAsia="仿宋_GB2312"/>
          <w:color w:val="auto"/>
          <w:sz w:val="30"/>
          <w:szCs w:val="32"/>
          <w:highlight w:val="none"/>
        </w:rPr>
        <w:t>因合同及合同有关事项发生的争议，按下列第</w:t>
      </w:r>
      <w:r>
        <w:rPr>
          <w:rFonts w:eastAsia="仿宋_GB2312"/>
          <w:color w:val="auto"/>
          <w:sz w:val="30"/>
          <w:szCs w:val="32"/>
          <w:highlight w:val="none"/>
          <w:u w:val="single"/>
        </w:rPr>
        <w:t xml:space="preserve">  2  </w:t>
      </w:r>
      <w:r>
        <w:rPr>
          <w:rFonts w:eastAsia="仿宋_GB2312"/>
          <w:color w:val="auto"/>
          <w:sz w:val="30"/>
          <w:szCs w:val="32"/>
          <w:highlight w:val="none"/>
        </w:rPr>
        <w:t>种方式</w:t>
      </w:r>
      <w:r>
        <w:rPr>
          <w:rFonts w:hint="eastAsia" w:eastAsia="仿宋_GB2312"/>
          <w:color w:val="auto"/>
          <w:sz w:val="30"/>
          <w:szCs w:val="32"/>
          <w:highlight w:val="none"/>
        </w:rPr>
        <w:t>解</w:t>
      </w:r>
      <w:r>
        <w:rPr>
          <w:rFonts w:eastAsia="仿宋_GB2312"/>
          <w:color w:val="auto"/>
          <w:sz w:val="30"/>
          <w:szCs w:val="32"/>
          <w:highlight w:val="none"/>
        </w:rPr>
        <w:t>决：</w:t>
      </w:r>
    </w:p>
    <w:p w14:paraId="56EE994F">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（1）向</w:t>
      </w:r>
      <w:r>
        <w:rPr>
          <w:rFonts w:eastAsia="仿宋_GB2312"/>
          <w:color w:val="auto"/>
          <w:sz w:val="30"/>
          <w:szCs w:val="32"/>
          <w:highlight w:val="none"/>
          <w:u w:val="single"/>
        </w:rPr>
        <w:t xml:space="preserve">                     </w:t>
      </w:r>
      <w:r>
        <w:rPr>
          <w:rFonts w:eastAsia="仿宋_GB2312"/>
          <w:color w:val="auto"/>
          <w:sz w:val="30"/>
          <w:szCs w:val="32"/>
          <w:highlight w:val="none"/>
        </w:rPr>
        <w:t>仲裁委员会申请仲裁；</w:t>
      </w:r>
    </w:p>
    <w:p w14:paraId="4FE3CF11">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（2）向</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发包人所在地   </w:t>
      </w:r>
      <w:r>
        <w:rPr>
          <w:rFonts w:eastAsia="仿宋_GB2312"/>
          <w:color w:val="auto"/>
          <w:sz w:val="30"/>
          <w:szCs w:val="32"/>
          <w:highlight w:val="none"/>
          <w:u w:val="single"/>
        </w:rPr>
        <w:t xml:space="preserve">  </w:t>
      </w:r>
      <w:r>
        <w:rPr>
          <w:rFonts w:eastAsia="仿宋_GB2312"/>
          <w:color w:val="auto"/>
          <w:sz w:val="30"/>
          <w:szCs w:val="32"/>
          <w:highlight w:val="none"/>
        </w:rPr>
        <w:t>人民法院起诉。</w:t>
      </w:r>
      <w:bookmarkEnd w:id="519"/>
      <w:bookmarkEnd w:id="520"/>
      <w:bookmarkEnd w:id="521"/>
      <w:bookmarkEnd w:id="522"/>
      <w:bookmarkEnd w:id="523"/>
      <w:bookmarkEnd w:id="524"/>
    </w:p>
    <w:p w14:paraId="2CB50234">
      <w:pPr>
        <w:pStyle w:val="5"/>
        <w:spacing w:before="120" w:after="120" w:line="360" w:lineRule="auto"/>
        <w:rPr>
          <w:rFonts w:ascii="Times New Roman" w:hAnsi="Times New Roman" w:eastAsia="黑体"/>
          <w:b w:val="0"/>
          <w:color w:val="auto"/>
          <w:sz w:val="32"/>
          <w:szCs w:val="32"/>
          <w:highlight w:val="none"/>
        </w:rPr>
      </w:pPr>
      <w:r>
        <w:rPr>
          <w:rFonts w:ascii="Times New Roman" w:hAnsi="Times New Roman" w:eastAsia="黑体"/>
          <w:b w:val="0"/>
          <w:color w:val="auto"/>
          <w:sz w:val="32"/>
          <w:szCs w:val="32"/>
          <w:highlight w:val="none"/>
        </w:rPr>
        <w:t xml:space="preserve">21. </w:t>
      </w:r>
      <w:r>
        <w:rPr>
          <w:rFonts w:hint="eastAsia" w:ascii="Times New Roman" w:hAnsi="Times New Roman" w:eastAsia="黑体"/>
          <w:b w:val="0"/>
          <w:color w:val="auto"/>
          <w:sz w:val="32"/>
          <w:szCs w:val="32"/>
          <w:highlight w:val="none"/>
        </w:rPr>
        <w:t>其他未尽事宜补充约定</w:t>
      </w:r>
    </w:p>
    <w:p w14:paraId="49BDB9B1">
      <w:pPr>
        <w:spacing w:after="120" w:line="360" w:lineRule="auto"/>
        <w:ind w:firstLine="600" w:firstLineChars="200"/>
        <w:outlineLvl w:val="0"/>
        <w:rPr>
          <w:rFonts w:eastAsia="仿宋_GB2312"/>
          <w:color w:val="auto"/>
          <w:sz w:val="30"/>
          <w:szCs w:val="32"/>
          <w:highlight w:val="none"/>
        </w:rPr>
      </w:pPr>
      <w:r>
        <w:rPr>
          <w:rFonts w:eastAsia="黑体"/>
          <w:color w:val="auto"/>
          <w:sz w:val="30"/>
          <w:szCs w:val="32"/>
          <w:highlight w:val="none"/>
        </w:rPr>
        <w:t>21.1</w:t>
      </w:r>
      <w:r>
        <w:rPr>
          <w:rFonts w:hint="eastAsia" w:eastAsia="仿宋_GB2312"/>
          <w:color w:val="auto"/>
          <w:sz w:val="30"/>
          <w:szCs w:val="32"/>
          <w:highlight w:val="none"/>
        </w:rPr>
        <w:t>本合同为乙供主材，本合同采用一般计税方法计取增值税，发包人在支付承包人工程款以前须收到承包人开具的付款金额足额的增值税专用发票，否则发包人不予支付工程款；</w:t>
      </w:r>
    </w:p>
    <w:p w14:paraId="58227777">
      <w:pPr>
        <w:spacing w:after="120" w:line="360" w:lineRule="auto"/>
        <w:ind w:firstLine="600" w:firstLineChars="200"/>
        <w:outlineLvl w:val="0"/>
        <w:rPr>
          <w:rFonts w:eastAsia="仿宋_GB2312"/>
          <w:color w:val="auto"/>
          <w:sz w:val="30"/>
          <w:szCs w:val="32"/>
          <w:highlight w:val="none"/>
        </w:rPr>
      </w:pPr>
      <w:r>
        <w:rPr>
          <w:rFonts w:eastAsia="仿宋_GB2312"/>
          <w:color w:val="auto"/>
          <w:sz w:val="30"/>
          <w:szCs w:val="32"/>
          <w:highlight w:val="none"/>
        </w:rPr>
        <w:t>21.2</w:t>
      </w:r>
      <w:r>
        <w:rPr>
          <w:rFonts w:hint="eastAsia" w:eastAsia="仿宋_GB2312"/>
          <w:color w:val="auto"/>
          <w:sz w:val="30"/>
          <w:szCs w:val="32"/>
          <w:highlight w:val="none"/>
        </w:rPr>
        <w:t>如果承包人送审的工程结算金额超过双方审定的结算总额的10%以上，超出部分的金额发包人委托造价咨询公司提供咨询服务所产生的咨询费用由承包人承担，且按超出部分金额的5%作为违约金由承包人承担。</w:t>
      </w:r>
    </w:p>
    <w:p w14:paraId="6B53E3DC">
      <w:pPr>
        <w:spacing w:after="120" w:line="360" w:lineRule="auto"/>
        <w:ind w:firstLine="600" w:firstLineChars="200"/>
        <w:outlineLvl w:val="0"/>
        <w:rPr>
          <w:rFonts w:eastAsia="仿宋_GB2312"/>
          <w:color w:val="auto"/>
          <w:sz w:val="30"/>
          <w:szCs w:val="32"/>
          <w:highlight w:val="none"/>
        </w:rPr>
      </w:pPr>
      <w:r>
        <w:rPr>
          <w:rFonts w:eastAsia="仿宋_GB2312"/>
          <w:color w:val="auto"/>
          <w:sz w:val="30"/>
          <w:szCs w:val="32"/>
          <w:highlight w:val="none"/>
        </w:rPr>
        <w:t>21.3施工现场</w:t>
      </w:r>
      <w:r>
        <w:rPr>
          <w:rFonts w:hint="eastAsia" w:eastAsia="仿宋_GB2312"/>
          <w:color w:val="auto"/>
          <w:sz w:val="30"/>
          <w:szCs w:val="32"/>
          <w:highlight w:val="none"/>
        </w:rPr>
        <w:t>临时</w:t>
      </w:r>
      <w:r>
        <w:rPr>
          <w:rFonts w:eastAsia="仿宋_GB2312"/>
          <w:color w:val="auto"/>
          <w:sz w:val="30"/>
          <w:szCs w:val="32"/>
          <w:highlight w:val="none"/>
        </w:rPr>
        <w:t>用水、电由承包人自行</w:t>
      </w:r>
      <w:r>
        <w:rPr>
          <w:rFonts w:hint="eastAsia" w:eastAsia="仿宋_GB2312"/>
          <w:color w:val="auto"/>
          <w:sz w:val="30"/>
          <w:szCs w:val="32"/>
          <w:highlight w:val="none"/>
        </w:rPr>
        <w:t>在临时用水、电搭接处</w:t>
      </w:r>
      <w:r>
        <w:rPr>
          <w:rFonts w:eastAsia="仿宋_GB2312"/>
          <w:color w:val="auto"/>
          <w:sz w:val="30"/>
          <w:szCs w:val="32"/>
          <w:highlight w:val="none"/>
        </w:rPr>
        <w:t>安装水、电表单独计量。</w:t>
      </w:r>
      <w:r>
        <w:rPr>
          <w:rFonts w:hint="eastAsia" w:eastAsia="仿宋_GB2312"/>
          <w:color w:val="auto"/>
          <w:sz w:val="30"/>
          <w:szCs w:val="32"/>
          <w:highlight w:val="none"/>
        </w:rPr>
        <w:t>每月最后一天由承包人与发包人数智化工装技术中心共同确认核实用水、电量，其中水按5元/吨，电按1元/度计算。承包人于次月5号前向发包人缴纳足额水电费，发包人向承包人开具水电费增值税专用发票，如承包人未缴纳足额水电费，则次月工程进度款将停止支付。</w:t>
      </w:r>
    </w:p>
    <w:p w14:paraId="6F7210E8">
      <w:pPr>
        <w:spacing w:after="120" w:line="360" w:lineRule="auto"/>
        <w:ind w:firstLine="600" w:firstLineChars="200"/>
        <w:outlineLvl w:val="0"/>
        <w:rPr>
          <w:rFonts w:eastAsia="仿宋_GB2312"/>
          <w:color w:val="auto"/>
          <w:sz w:val="30"/>
          <w:szCs w:val="32"/>
          <w:highlight w:val="none"/>
        </w:rPr>
      </w:pPr>
      <w:r>
        <w:rPr>
          <w:rFonts w:hint="eastAsia" w:eastAsia="仿宋_GB2312"/>
          <w:color w:val="auto"/>
          <w:sz w:val="30"/>
          <w:szCs w:val="32"/>
          <w:highlight w:val="none"/>
        </w:rPr>
        <w:t>21.4承包人拆除的钢筋混凝土构件中的钢筋、预埋铁件等，由承包人自行处理并清理外运。</w:t>
      </w:r>
    </w:p>
    <w:p w14:paraId="12DDBEEB">
      <w:pPr>
        <w:spacing w:after="120" w:line="360" w:lineRule="auto"/>
        <w:ind w:firstLine="600" w:firstLineChars="200"/>
        <w:outlineLvl w:val="0"/>
        <w:rPr>
          <w:rFonts w:eastAsia="仿宋_GB2312"/>
          <w:color w:val="auto"/>
          <w:sz w:val="30"/>
          <w:szCs w:val="32"/>
          <w:highlight w:val="none"/>
        </w:rPr>
      </w:pPr>
      <w:r>
        <w:rPr>
          <w:rFonts w:hint="eastAsia" w:eastAsia="仿宋_GB2312"/>
          <w:color w:val="auto"/>
          <w:sz w:val="30"/>
          <w:szCs w:val="32"/>
          <w:highlight w:val="none"/>
        </w:rPr>
        <w:t>21.5承包人应向发包人开具增值税专用发票，收到承包人开具的9%税率的增值税专用发票后发包人再进行支付工程款，开票信息如下：</w:t>
      </w:r>
    </w:p>
    <w:p w14:paraId="366C9BB6">
      <w:pPr>
        <w:spacing w:after="120" w:line="360" w:lineRule="auto"/>
        <w:ind w:firstLine="600" w:firstLineChars="200"/>
        <w:outlineLvl w:val="0"/>
        <w:rPr>
          <w:rFonts w:eastAsia="仿宋_GB2312"/>
          <w:color w:val="auto"/>
          <w:sz w:val="30"/>
          <w:szCs w:val="32"/>
          <w:highlight w:val="none"/>
        </w:rPr>
      </w:pPr>
      <w:r>
        <w:rPr>
          <w:rFonts w:hint="eastAsia" w:eastAsia="仿宋_GB2312"/>
          <w:color w:val="auto"/>
          <w:sz w:val="30"/>
          <w:szCs w:val="32"/>
          <w:highlight w:val="none"/>
        </w:rPr>
        <w:t>单位名称： 重庆国际复合材料股份有限公司长寿分公司</w:t>
      </w:r>
    </w:p>
    <w:p w14:paraId="2393165A">
      <w:pPr>
        <w:spacing w:after="120" w:line="360" w:lineRule="auto"/>
        <w:ind w:firstLine="600" w:firstLineChars="200"/>
        <w:outlineLvl w:val="0"/>
        <w:rPr>
          <w:rFonts w:eastAsia="仿宋_GB2312"/>
          <w:color w:val="auto"/>
          <w:sz w:val="30"/>
          <w:szCs w:val="32"/>
          <w:highlight w:val="none"/>
        </w:rPr>
      </w:pPr>
      <w:r>
        <w:rPr>
          <w:rFonts w:hint="eastAsia" w:eastAsia="仿宋_GB2312"/>
          <w:color w:val="auto"/>
          <w:sz w:val="30"/>
          <w:szCs w:val="32"/>
          <w:highlight w:val="none"/>
        </w:rPr>
        <w:t>纳税人识别号：91500115781577477H</w:t>
      </w:r>
    </w:p>
    <w:p w14:paraId="7E0A5820">
      <w:pPr>
        <w:spacing w:after="120" w:line="360" w:lineRule="auto"/>
        <w:ind w:firstLine="600" w:firstLineChars="200"/>
        <w:outlineLvl w:val="0"/>
        <w:rPr>
          <w:rFonts w:eastAsia="仿宋_GB2312"/>
          <w:color w:val="auto"/>
          <w:sz w:val="30"/>
          <w:szCs w:val="32"/>
          <w:highlight w:val="none"/>
        </w:rPr>
      </w:pPr>
      <w:r>
        <w:rPr>
          <w:rFonts w:hint="eastAsia" w:eastAsia="仿宋_GB2312"/>
          <w:color w:val="auto"/>
          <w:sz w:val="30"/>
          <w:szCs w:val="32"/>
          <w:highlight w:val="none"/>
        </w:rPr>
        <w:t>单位地址： 重庆市长寿区晏家工业园</w:t>
      </w:r>
    </w:p>
    <w:p w14:paraId="4BF445E0">
      <w:pPr>
        <w:spacing w:after="120" w:line="360" w:lineRule="auto"/>
        <w:ind w:firstLine="600" w:firstLineChars="200"/>
        <w:outlineLvl w:val="0"/>
        <w:rPr>
          <w:rFonts w:eastAsia="仿宋_GB2312"/>
          <w:color w:val="auto"/>
          <w:sz w:val="30"/>
          <w:szCs w:val="32"/>
          <w:highlight w:val="none"/>
        </w:rPr>
      </w:pPr>
      <w:r>
        <w:rPr>
          <w:rFonts w:hint="eastAsia" w:eastAsia="仿宋_GB2312"/>
          <w:color w:val="auto"/>
          <w:sz w:val="30"/>
          <w:szCs w:val="32"/>
          <w:highlight w:val="none"/>
        </w:rPr>
        <w:t>联系电话：023-68157845</w:t>
      </w:r>
    </w:p>
    <w:p w14:paraId="1198FD4A">
      <w:pPr>
        <w:spacing w:after="120" w:line="360" w:lineRule="auto"/>
        <w:ind w:firstLine="600" w:firstLineChars="200"/>
        <w:outlineLvl w:val="0"/>
        <w:rPr>
          <w:rFonts w:eastAsia="仿宋_GB2312"/>
          <w:color w:val="auto"/>
          <w:sz w:val="30"/>
          <w:szCs w:val="32"/>
          <w:highlight w:val="none"/>
        </w:rPr>
      </w:pPr>
      <w:r>
        <w:rPr>
          <w:rFonts w:hint="eastAsia" w:eastAsia="仿宋_GB2312"/>
          <w:color w:val="auto"/>
          <w:sz w:val="30"/>
          <w:szCs w:val="32"/>
          <w:highlight w:val="none"/>
        </w:rPr>
        <w:t>开户行：中国银行重庆晏家支行</w:t>
      </w:r>
    </w:p>
    <w:p w14:paraId="7F71C7A1">
      <w:pPr>
        <w:pStyle w:val="8"/>
        <w:ind w:left="63" w:right="63" w:firstLine="600" w:firstLineChars="200"/>
        <w:jc w:val="both"/>
        <w:rPr>
          <w:rFonts w:eastAsia="仿宋_GB2312"/>
          <w:color w:val="auto"/>
          <w:sz w:val="30"/>
          <w:szCs w:val="32"/>
          <w:highlight w:val="none"/>
        </w:rPr>
      </w:pPr>
      <w:r>
        <w:rPr>
          <w:rFonts w:hint="eastAsia" w:eastAsia="仿宋_GB2312"/>
          <w:color w:val="auto"/>
          <w:sz w:val="30"/>
          <w:szCs w:val="32"/>
          <w:highlight w:val="none"/>
        </w:rPr>
        <w:t>账号：108808685536</w:t>
      </w:r>
    </w:p>
    <w:p w14:paraId="2CC8CA2B">
      <w:pPr>
        <w:rPr>
          <w:rFonts w:eastAsia="仿宋_GB2312"/>
          <w:color w:val="auto"/>
          <w:sz w:val="30"/>
          <w:szCs w:val="32"/>
          <w:highlight w:val="none"/>
        </w:rPr>
      </w:pPr>
      <w:r>
        <w:rPr>
          <w:rFonts w:hint="eastAsia" w:eastAsia="仿宋_GB2312"/>
          <w:color w:val="auto"/>
          <w:sz w:val="30"/>
          <w:szCs w:val="32"/>
          <w:highlight w:val="none"/>
        </w:rPr>
        <w:br w:type="page"/>
      </w:r>
    </w:p>
    <w:p w14:paraId="7301387C">
      <w:pPr>
        <w:pStyle w:val="8"/>
        <w:ind w:left="63" w:right="63" w:firstLine="600" w:firstLineChars="200"/>
        <w:jc w:val="both"/>
        <w:rPr>
          <w:rFonts w:eastAsia="仿宋_GB2312"/>
          <w:color w:val="auto"/>
          <w:sz w:val="30"/>
          <w:szCs w:val="32"/>
          <w:highlight w:val="none"/>
        </w:rPr>
      </w:pPr>
    </w:p>
    <w:p w14:paraId="51173859">
      <w:pPr>
        <w:spacing w:line="360" w:lineRule="auto"/>
        <w:jc w:val="left"/>
        <w:rPr>
          <w:rFonts w:eastAsia="仿宋_GB2312"/>
          <w:color w:val="auto"/>
          <w:sz w:val="30"/>
          <w:szCs w:val="32"/>
          <w:highlight w:val="none"/>
        </w:rPr>
      </w:pPr>
      <w:r>
        <w:rPr>
          <w:rFonts w:hint="eastAsia" w:eastAsia="仿宋_GB2312"/>
          <w:color w:val="auto"/>
          <w:sz w:val="30"/>
          <w:szCs w:val="32"/>
          <w:highlight w:val="none"/>
        </w:rPr>
        <w:t>专用合同条款附件：</w:t>
      </w:r>
    </w:p>
    <w:p w14:paraId="2885E5C9">
      <w:pPr>
        <w:spacing w:line="360" w:lineRule="auto"/>
        <w:jc w:val="left"/>
        <w:rPr>
          <w:rFonts w:eastAsia="仿宋_GB2312"/>
          <w:color w:val="auto"/>
          <w:sz w:val="30"/>
          <w:szCs w:val="32"/>
          <w:highlight w:val="none"/>
        </w:rPr>
      </w:pPr>
      <w:r>
        <w:rPr>
          <w:rFonts w:eastAsia="仿宋_GB2312"/>
          <w:color w:val="auto"/>
          <w:sz w:val="30"/>
          <w:szCs w:val="32"/>
          <w:highlight w:val="none"/>
        </w:rPr>
        <w:t>附件1：工程质量保修书</w:t>
      </w:r>
    </w:p>
    <w:p w14:paraId="4F61487D">
      <w:pPr>
        <w:spacing w:line="360" w:lineRule="auto"/>
        <w:jc w:val="left"/>
        <w:rPr>
          <w:rFonts w:eastAsia="仿宋_GB2312"/>
          <w:color w:val="auto"/>
          <w:sz w:val="30"/>
          <w:szCs w:val="32"/>
          <w:highlight w:val="none"/>
        </w:rPr>
      </w:pPr>
      <w:r>
        <w:rPr>
          <w:rFonts w:eastAsia="仿宋_GB2312"/>
          <w:color w:val="auto"/>
          <w:sz w:val="30"/>
          <w:szCs w:val="32"/>
          <w:highlight w:val="none"/>
        </w:rPr>
        <w:t>附件2：</w:t>
      </w:r>
      <w:r>
        <w:rPr>
          <w:rFonts w:hint="eastAsia" w:eastAsia="仿宋_GB2312"/>
          <w:color w:val="auto"/>
          <w:sz w:val="30"/>
          <w:szCs w:val="32"/>
          <w:highlight w:val="none"/>
        </w:rPr>
        <w:t>廉政协议</w:t>
      </w:r>
    </w:p>
    <w:p w14:paraId="6F4141B7">
      <w:pPr>
        <w:spacing w:line="360" w:lineRule="auto"/>
        <w:jc w:val="left"/>
        <w:rPr>
          <w:rFonts w:eastAsia="仿宋_GB2312"/>
          <w:color w:val="auto"/>
          <w:sz w:val="30"/>
          <w:szCs w:val="32"/>
          <w:highlight w:val="none"/>
        </w:rPr>
      </w:pPr>
      <w:r>
        <w:rPr>
          <w:rFonts w:hint="eastAsia" w:eastAsia="仿宋_GB2312"/>
          <w:color w:val="auto"/>
          <w:sz w:val="30"/>
          <w:szCs w:val="32"/>
          <w:highlight w:val="none"/>
        </w:rPr>
        <w:t>附件3：安全环保协议</w:t>
      </w:r>
    </w:p>
    <w:p w14:paraId="7C15D209">
      <w:pPr>
        <w:spacing w:line="360" w:lineRule="auto"/>
        <w:jc w:val="left"/>
        <w:rPr>
          <w:rFonts w:eastAsia="仿宋_GB2312"/>
          <w:color w:val="auto"/>
          <w:sz w:val="30"/>
          <w:szCs w:val="32"/>
          <w:highlight w:val="none"/>
        </w:rPr>
      </w:pPr>
      <w:r>
        <w:rPr>
          <w:rFonts w:hint="eastAsia" w:eastAsia="仿宋_GB2312"/>
          <w:color w:val="auto"/>
          <w:sz w:val="30"/>
          <w:szCs w:val="32"/>
          <w:highlight w:val="none"/>
        </w:rPr>
        <w:t>附件4：工程经济资料管理办法</w:t>
      </w:r>
    </w:p>
    <w:p w14:paraId="63395E33">
      <w:pPr>
        <w:spacing w:line="360" w:lineRule="auto"/>
        <w:jc w:val="left"/>
        <w:rPr>
          <w:rFonts w:eastAsia="仿宋_GB2312"/>
          <w:color w:val="auto"/>
          <w:sz w:val="30"/>
          <w:szCs w:val="32"/>
          <w:highlight w:val="none"/>
        </w:rPr>
      </w:pPr>
      <w:r>
        <w:rPr>
          <w:rFonts w:hint="eastAsia" w:eastAsia="仿宋_GB2312"/>
          <w:color w:val="auto"/>
          <w:sz w:val="30"/>
          <w:szCs w:val="32"/>
          <w:highlight w:val="none"/>
        </w:rPr>
        <w:t>附件5：工程项目质量管理考核细则</w:t>
      </w:r>
    </w:p>
    <w:p w14:paraId="54385FCB">
      <w:pPr>
        <w:pStyle w:val="8"/>
        <w:ind w:left="0" w:leftChars="0" w:right="63"/>
        <w:jc w:val="both"/>
        <w:rPr>
          <w:rFonts w:eastAsia="仿宋_GB2312"/>
          <w:color w:val="auto"/>
          <w:sz w:val="30"/>
          <w:szCs w:val="32"/>
          <w:highlight w:val="none"/>
        </w:rPr>
      </w:pPr>
      <w:r>
        <w:rPr>
          <w:rFonts w:hint="eastAsia" w:eastAsia="仿宋_GB2312"/>
          <w:color w:val="auto"/>
          <w:sz w:val="30"/>
          <w:szCs w:val="32"/>
          <w:highlight w:val="none"/>
        </w:rPr>
        <w:t>附件</w:t>
      </w:r>
      <w:r>
        <w:rPr>
          <w:rFonts w:eastAsia="仿宋_GB2312"/>
          <w:color w:val="auto"/>
          <w:sz w:val="30"/>
          <w:szCs w:val="32"/>
          <w:highlight w:val="none"/>
        </w:rPr>
        <w:t>6</w:t>
      </w:r>
      <w:r>
        <w:rPr>
          <w:rFonts w:hint="eastAsia" w:eastAsia="仿宋_GB2312"/>
          <w:color w:val="auto"/>
          <w:sz w:val="30"/>
          <w:szCs w:val="32"/>
          <w:highlight w:val="none"/>
        </w:rPr>
        <w:t>：工程项目设计变更管理办法</w:t>
      </w:r>
    </w:p>
    <w:p w14:paraId="0067825F">
      <w:pPr>
        <w:rPr>
          <w:color w:val="auto"/>
          <w:highlight w:val="none"/>
        </w:rPr>
      </w:pPr>
      <w:r>
        <w:rPr>
          <w:rFonts w:hint="eastAsia" w:eastAsia="仿宋_GB2312"/>
          <w:color w:val="auto"/>
          <w:sz w:val="30"/>
          <w:szCs w:val="32"/>
          <w:highlight w:val="none"/>
        </w:rPr>
        <w:t>附件</w:t>
      </w:r>
      <w:r>
        <w:rPr>
          <w:rFonts w:eastAsia="仿宋_GB2312"/>
          <w:color w:val="auto"/>
          <w:sz w:val="30"/>
          <w:szCs w:val="32"/>
          <w:highlight w:val="none"/>
        </w:rPr>
        <w:t>7</w:t>
      </w:r>
      <w:r>
        <w:rPr>
          <w:rFonts w:hint="eastAsia" w:eastAsia="仿宋_GB2312"/>
          <w:color w:val="auto"/>
          <w:sz w:val="30"/>
          <w:szCs w:val="32"/>
          <w:highlight w:val="none"/>
        </w:rPr>
        <w:t>：履约保函示范文本</w:t>
      </w:r>
    </w:p>
    <w:p w14:paraId="43EDF22D">
      <w:pPr>
        <w:spacing w:line="360" w:lineRule="auto"/>
        <w:jc w:val="left"/>
        <w:rPr>
          <w:rFonts w:ascii="仿宋_GB2312" w:eastAsia="仿宋_GB2312"/>
          <w:color w:val="auto"/>
          <w:sz w:val="30"/>
          <w:szCs w:val="30"/>
          <w:highlight w:val="none"/>
        </w:rPr>
      </w:pPr>
      <w:r>
        <w:rPr>
          <w:rFonts w:eastAsia="仿宋_GB2312"/>
          <w:color w:val="auto"/>
          <w:sz w:val="30"/>
          <w:szCs w:val="32"/>
          <w:highlight w:val="none"/>
        </w:rPr>
        <w:br w:type="page"/>
      </w:r>
      <w:r>
        <w:rPr>
          <w:rFonts w:hint="eastAsia" w:ascii="仿宋_GB2312" w:eastAsia="仿宋_GB2312"/>
          <w:color w:val="auto"/>
          <w:sz w:val="30"/>
          <w:szCs w:val="30"/>
          <w:highlight w:val="none"/>
        </w:rPr>
        <w:t>附件1：</w:t>
      </w:r>
    </w:p>
    <w:p w14:paraId="743E3959">
      <w:pPr>
        <w:spacing w:before="156" w:beforeLines="50" w:after="156" w:afterLines="50" w:line="440" w:lineRule="exact"/>
        <w:jc w:val="center"/>
        <w:rPr>
          <w:rFonts w:eastAsia="黑体"/>
          <w:color w:val="auto"/>
          <w:sz w:val="30"/>
          <w:szCs w:val="30"/>
          <w:highlight w:val="none"/>
        </w:rPr>
      </w:pPr>
      <w:r>
        <w:rPr>
          <w:rFonts w:eastAsia="黑体"/>
          <w:color w:val="auto"/>
          <w:sz w:val="30"/>
          <w:szCs w:val="30"/>
          <w:highlight w:val="none"/>
        </w:rPr>
        <w:t>工程质量保修书</w:t>
      </w:r>
    </w:p>
    <w:p w14:paraId="5AB17BC4">
      <w:pPr>
        <w:spacing w:line="440" w:lineRule="exact"/>
        <w:ind w:firstLine="600" w:firstLineChars="200"/>
        <w:rPr>
          <w:rFonts w:eastAsia="仿宋_GB2312"/>
          <w:color w:val="auto"/>
          <w:sz w:val="30"/>
          <w:szCs w:val="30"/>
          <w:highlight w:val="none"/>
        </w:rPr>
      </w:pPr>
      <w:r>
        <w:rPr>
          <w:rFonts w:eastAsia="仿宋_GB2312"/>
          <w:color w:val="auto"/>
          <w:sz w:val="30"/>
          <w:szCs w:val="30"/>
          <w:highlight w:val="none"/>
        </w:rPr>
        <w:t>发包人（全称）：</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p>
    <w:p w14:paraId="54B72C97">
      <w:pPr>
        <w:spacing w:line="440" w:lineRule="exact"/>
        <w:rPr>
          <w:rFonts w:eastAsia="仿宋_GB2312"/>
          <w:color w:val="auto"/>
          <w:sz w:val="30"/>
          <w:szCs w:val="30"/>
          <w:highlight w:val="none"/>
        </w:rPr>
      </w:pPr>
      <w:r>
        <w:rPr>
          <w:rFonts w:eastAsia="仿宋_GB2312"/>
          <w:color w:val="auto"/>
          <w:sz w:val="30"/>
          <w:szCs w:val="30"/>
          <w:highlight w:val="none"/>
        </w:rPr>
        <w:t>　　承包人（全称）：</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p>
    <w:p w14:paraId="35199EC6">
      <w:pPr>
        <w:spacing w:line="440" w:lineRule="exact"/>
        <w:rPr>
          <w:rFonts w:eastAsia="仿宋_GB2312"/>
          <w:color w:val="auto"/>
          <w:sz w:val="30"/>
          <w:szCs w:val="30"/>
          <w:highlight w:val="none"/>
        </w:rPr>
      </w:pPr>
    </w:p>
    <w:p w14:paraId="76308D2D">
      <w:pPr>
        <w:spacing w:line="360" w:lineRule="auto"/>
        <w:rPr>
          <w:rFonts w:eastAsia="仿宋_GB2312"/>
          <w:color w:val="auto"/>
          <w:sz w:val="30"/>
          <w:szCs w:val="30"/>
          <w:highlight w:val="none"/>
        </w:rPr>
      </w:pPr>
      <w:r>
        <w:rPr>
          <w:rFonts w:eastAsia="仿宋_GB2312"/>
          <w:color w:val="auto"/>
          <w:sz w:val="30"/>
          <w:szCs w:val="30"/>
          <w:highlight w:val="none"/>
        </w:rPr>
        <w:t>　　发包人和承包人根据《中华人民共和国建筑法》和《建设工程质量管理条例》，经协商一致就</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（工程全称）签订工程质量保修书。</w:t>
      </w:r>
    </w:p>
    <w:p w14:paraId="3E0EAA3F">
      <w:pPr>
        <w:spacing w:line="360" w:lineRule="auto"/>
        <w:outlineLvl w:val="0"/>
        <w:rPr>
          <w:rFonts w:eastAsia="黑体"/>
          <w:color w:val="auto"/>
          <w:sz w:val="30"/>
          <w:szCs w:val="30"/>
          <w:highlight w:val="none"/>
        </w:rPr>
      </w:pPr>
      <w:r>
        <w:rPr>
          <w:rFonts w:eastAsia="黑体"/>
          <w:color w:val="auto"/>
          <w:sz w:val="30"/>
          <w:szCs w:val="30"/>
          <w:highlight w:val="none"/>
        </w:rPr>
        <w:t>　　一、工程质量保修范围和内容</w:t>
      </w:r>
    </w:p>
    <w:p w14:paraId="46E0E387">
      <w:pPr>
        <w:spacing w:line="360" w:lineRule="auto"/>
        <w:rPr>
          <w:rFonts w:eastAsia="仿宋_GB2312"/>
          <w:color w:val="auto"/>
          <w:sz w:val="30"/>
          <w:szCs w:val="30"/>
          <w:highlight w:val="none"/>
        </w:rPr>
      </w:pPr>
      <w:r>
        <w:rPr>
          <w:rFonts w:eastAsia="仿宋_GB2312"/>
          <w:color w:val="auto"/>
          <w:sz w:val="30"/>
          <w:szCs w:val="30"/>
          <w:highlight w:val="none"/>
        </w:rPr>
        <w:t>　　承包人在质量保修期内，按照有关法律规定和合同约定，承担工程质量保修责任。</w:t>
      </w:r>
    </w:p>
    <w:p w14:paraId="2317ED53">
      <w:pPr>
        <w:spacing w:line="360" w:lineRule="auto"/>
        <w:rPr>
          <w:rFonts w:eastAsia="仿宋_GB2312"/>
          <w:color w:val="auto"/>
          <w:sz w:val="30"/>
          <w:szCs w:val="30"/>
          <w:highlight w:val="none"/>
        </w:rPr>
      </w:pPr>
      <w:r>
        <w:rPr>
          <w:rFonts w:eastAsia="仿宋_GB2312"/>
          <w:color w:val="auto"/>
          <w:sz w:val="30"/>
          <w:szCs w:val="30"/>
          <w:highlight w:val="none"/>
        </w:rPr>
        <w:t>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Pr>
          <w:rFonts w:hint="eastAsia" w:eastAsia="仿宋_GB2312"/>
          <w:color w:val="auto"/>
          <w:sz w:val="30"/>
          <w:szCs w:val="30"/>
          <w:highlight w:val="none"/>
          <w:u w:val="single"/>
        </w:rPr>
        <w:t>工程承包合同约定的承包工程内容及按约定增加的内容</w:t>
      </w:r>
      <w:r>
        <w:rPr>
          <w:rFonts w:eastAsia="仿宋_GB2312"/>
          <w:color w:val="auto"/>
          <w:sz w:val="30"/>
          <w:szCs w:val="30"/>
          <w:highlight w:val="none"/>
          <w:u w:val="single"/>
        </w:rPr>
        <w:t xml:space="preserve">    </w:t>
      </w:r>
      <w:r>
        <w:rPr>
          <w:rFonts w:eastAsia="仿宋_GB2312"/>
          <w:color w:val="auto"/>
          <w:sz w:val="30"/>
          <w:szCs w:val="30"/>
          <w:highlight w:val="none"/>
        </w:rPr>
        <w:t>。</w:t>
      </w:r>
    </w:p>
    <w:p w14:paraId="4FF0E69B">
      <w:pPr>
        <w:spacing w:line="360" w:lineRule="auto"/>
        <w:outlineLvl w:val="0"/>
        <w:rPr>
          <w:rFonts w:eastAsia="黑体"/>
          <w:color w:val="auto"/>
          <w:sz w:val="30"/>
          <w:szCs w:val="30"/>
          <w:highlight w:val="none"/>
        </w:rPr>
      </w:pPr>
      <w:r>
        <w:rPr>
          <w:rFonts w:eastAsia="仿宋_GB2312"/>
          <w:b/>
          <w:color w:val="auto"/>
          <w:sz w:val="30"/>
          <w:szCs w:val="30"/>
          <w:highlight w:val="none"/>
        </w:rPr>
        <w:t>　　</w:t>
      </w:r>
      <w:r>
        <w:rPr>
          <w:rFonts w:eastAsia="黑体"/>
          <w:color w:val="auto"/>
          <w:sz w:val="30"/>
          <w:szCs w:val="30"/>
          <w:highlight w:val="none"/>
        </w:rPr>
        <w:t>二、质量保修期</w:t>
      </w:r>
    </w:p>
    <w:p w14:paraId="3385BBF9">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根据《建设工程质量管理条例》及有关规定，工程的质量保修期如下：</w:t>
      </w:r>
    </w:p>
    <w:p w14:paraId="3023AB56">
      <w:pPr>
        <w:ind w:firstLine="600" w:firstLineChars="200"/>
        <w:rPr>
          <w:rFonts w:ascii="仿宋_GB2312" w:eastAsia="仿宋_GB2312"/>
          <w:color w:val="auto"/>
          <w:sz w:val="30"/>
          <w:szCs w:val="30"/>
          <w:highlight w:val="none"/>
        </w:rPr>
      </w:pPr>
      <w:r>
        <w:rPr>
          <w:rFonts w:hint="eastAsia" w:ascii="仿宋_GB2312" w:eastAsia="仿宋_GB2312"/>
          <w:color w:val="auto"/>
          <w:sz w:val="30"/>
          <w:szCs w:val="30"/>
          <w:highlight w:val="none"/>
        </w:rPr>
        <w:t>1</w:t>
      </w:r>
      <w:r>
        <w:rPr>
          <w:rFonts w:hint="eastAsia" w:eastAsia="仿宋_GB2312"/>
          <w:color w:val="auto"/>
          <w:sz w:val="30"/>
          <w:szCs w:val="30"/>
          <w:highlight w:val="none"/>
        </w:rPr>
        <w:t>．</w:t>
      </w:r>
      <w:r>
        <w:rPr>
          <w:rFonts w:hint="eastAsia" w:ascii="仿宋_GB2312" w:eastAsia="仿宋_GB2312"/>
          <w:color w:val="auto"/>
          <w:sz w:val="30"/>
          <w:szCs w:val="30"/>
          <w:highlight w:val="none"/>
        </w:rPr>
        <w:t>地基基础工程和主体结构工程为设计文件规定的工程合理使用年限；</w:t>
      </w:r>
    </w:p>
    <w:p w14:paraId="28306719">
      <w:pPr>
        <w:spacing w:line="360" w:lineRule="auto"/>
        <w:ind w:firstLine="600" w:firstLineChars="200"/>
        <w:rPr>
          <w:rFonts w:eastAsia="仿宋_GB2312"/>
          <w:color w:val="auto"/>
          <w:sz w:val="30"/>
          <w:szCs w:val="30"/>
          <w:highlight w:val="none"/>
        </w:rPr>
      </w:pPr>
      <w:r>
        <w:rPr>
          <w:rFonts w:hint="eastAsia" w:eastAsia="仿宋_GB2312"/>
          <w:color w:val="auto"/>
          <w:sz w:val="30"/>
          <w:szCs w:val="30"/>
          <w:highlight w:val="none"/>
        </w:rPr>
        <w:t>2</w:t>
      </w:r>
      <w:r>
        <w:rPr>
          <w:rFonts w:hint="eastAsia" w:ascii="仿宋_GB2312" w:eastAsia="仿宋_GB2312"/>
          <w:color w:val="auto"/>
          <w:sz w:val="30"/>
          <w:szCs w:val="30"/>
          <w:highlight w:val="none"/>
        </w:rPr>
        <w:t>．</w:t>
      </w:r>
      <w:r>
        <w:rPr>
          <w:rFonts w:eastAsia="仿宋_GB2312"/>
          <w:color w:val="auto"/>
          <w:sz w:val="30"/>
          <w:szCs w:val="30"/>
          <w:highlight w:val="none"/>
        </w:rPr>
        <w:t>屋面防水工程、有防水要求的卫生间、房间和外墙面的防渗</w:t>
      </w:r>
      <w:r>
        <w:rPr>
          <w:rFonts w:hint="eastAsia" w:eastAsia="仿宋_GB2312"/>
          <w:color w:val="auto"/>
          <w:sz w:val="30"/>
          <w:szCs w:val="30"/>
          <w:highlight w:val="none"/>
        </w:rPr>
        <w:t>为</w:t>
      </w:r>
      <w:r>
        <w:rPr>
          <w:rFonts w:hint="eastAsia" w:eastAsia="仿宋_GB2312"/>
          <w:color w:val="auto"/>
          <w:sz w:val="30"/>
          <w:szCs w:val="30"/>
          <w:highlight w:val="none"/>
          <w:u w:val="single"/>
        </w:rPr>
        <w:t xml:space="preserve">   5  </w:t>
      </w:r>
      <w:r>
        <w:rPr>
          <w:rFonts w:eastAsia="仿宋_GB2312"/>
          <w:color w:val="auto"/>
          <w:sz w:val="30"/>
          <w:szCs w:val="30"/>
          <w:highlight w:val="none"/>
        </w:rPr>
        <w:t>年；</w:t>
      </w:r>
    </w:p>
    <w:p w14:paraId="0CC51040">
      <w:pPr>
        <w:spacing w:line="360" w:lineRule="auto"/>
        <w:ind w:left="420" w:leftChars="200" w:firstLine="150" w:firstLineChars="50"/>
        <w:rPr>
          <w:rFonts w:eastAsia="仿宋_GB2312"/>
          <w:color w:val="auto"/>
          <w:sz w:val="30"/>
          <w:szCs w:val="30"/>
          <w:highlight w:val="none"/>
        </w:rPr>
      </w:pPr>
      <w:r>
        <w:rPr>
          <w:rFonts w:hint="eastAsia" w:eastAsia="仿宋_GB2312"/>
          <w:color w:val="auto"/>
          <w:sz w:val="30"/>
          <w:szCs w:val="30"/>
          <w:highlight w:val="none"/>
        </w:rPr>
        <w:t>3</w:t>
      </w:r>
      <w:r>
        <w:rPr>
          <w:rFonts w:hint="eastAsia" w:ascii="仿宋_GB2312" w:eastAsia="仿宋_GB2312"/>
          <w:color w:val="auto"/>
          <w:sz w:val="30"/>
          <w:szCs w:val="30"/>
          <w:highlight w:val="none"/>
        </w:rPr>
        <w:t>．</w:t>
      </w:r>
      <w:r>
        <w:rPr>
          <w:rFonts w:eastAsia="仿宋_GB2312"/>
          <w:color w:val="auto"/>
          <w:sz w:val="30"/>
          <w:szCs w:val="30"/>
          <w:highlight w:val="none"/>
        </w:rPr>
        <w:t>装修工程为</w:t>
      </w:r>
      <w:r>
        <w:rPr>
          <w:rFonts w:eastAsia="仿宋_GB2312"/>
          <w:color w:val="auto"/>
          <w:sz w:val="30"/>
          <w:szCs w:val="30"/>
          <w:highlight w:val="none"/>
          <w:u w:val="single"/>
        </w:rPr>
        <w:t xml:space="preserve">   2  </w:t>
      </w:r>
      <w:r>
        <w:rPr>
          <w:rFonts w:eastAsia="仿宋_GB2312"/>
          <w:color w:val="auto"/>
          <w:sz w:val="30"/>
          <w:szCs w:val="30"/>
          <w:highlight w:val="none"/>
        </w:rPr>
        <w:t>年；</w:t>
      </w:r>
    </w:p>
    <w:p w14:paraId="4113C39C">
      <w:pPr>
        <w:spacing w:line="360" w:lineRule="auto"/>
        <w:ind w:left="420" w:leftChars="200" w:firstLine="150" w:firstLineChars="50"/>
        <w:rPr>
          <w:rFonts w:eastAsia="仿宋_GB2312"/>
          <w:color w:val="auto"/>
          <w:sz w:val="30"/>
          <w:szCs w:val="30"/>
          <w:highlight w:val="none"/>
        </w:rPr>
      </w:pPr>
      <w:r>
        <w:rPr>
          <w:rFonts w:hint="eastAsia" w:eastAsia="仿宋_GB2312"/>
          <w:color w:val="auto"/>
          <w:sz w:val="30"/>
          <w:szCs w:val="30"/>
          <w:highlight w:val="none"/>
        </w:rPr>
        <w:t>4</w:t>
      </w:r>
      <w:r>
        <w:rPr>
          <w:rFonts w:hint="eastAsia" w:ascii="仿宋_GB2312" w:eastAsia="仿宋_GB2312"/>
          <w:color w:val="auto"/>
          <w:sz w:val="30"/>
          <w:szCs w:val="30"/>
          <w:highlight w:val="none"/>
        </w:rPr>
        <w:t>．</w:t>
      </w:r>
      <w:r>
        <w:rPr>
          <w:rFonts w:eastAsia="仿宋_GB2312"/>
          <w:color w:val="auto"/>
          <w:sz w:val="30"/>
          <w:szCs w:val="30"/>
          <w:highlight w:val="none"/>
        </w:rPr>
        <w:t>电气管线、给排水管道、设备安装工程为</w:t>
      </w:r>
      <w:r>
        <w:rPr>
          <w:rFonts w:eastAsia="仿宋_GB2312"/>
          <w:color w:val="auto"/>
          <w:sz w:val="30"/>
          <w:szCs w:val="30"/>
          <w:highlight w:val="none"/>
          <w:u w:val="single"/>
        </w:rPr>
        <w:t xml:space="preserve">   2  </w:t>
      </w:r>
      <w:r>
        <w:rPr>
          <w:rFonts w:eastAsia="仿宋_GB2312"/>
          <w:color w:val="auto"/>
          <w:sz w:val="30"/>
          <w:szCs w:val="30"/>
          <w:highlight w:val="none"/>
        </w:rPr>
        <w:t>年；</w:t>
      </w:r>
    </w:p>
    <w:p w14:paraId="5C863F65">
      <w:pPr>
        <w:spacing w:line="360" w:lineRule="auto"/>
        <w:ind w:left="420" w:leftChars="200" w:firstLine="150" w:firstLineChars="50"/>
        <w:rPr>
          <w:rFonts w:eastAsia="仿宋_GB2312"/>
          <w:color w:val="auto"/>
          <w:sz w:val="30"/>
          <w:szCs w:val="30"/>
          <w:highlight w:val="none"/>
        </w:rPr>
      </w:pPr>
      <w:r>
        <w:rPr>
          <w:rFonts w:hint="eastAsia" w:eastAsia="仿宋_GB2312"/>
          <w:color w:val="auto"/>
          <w:sz w:val="30"/>
          <w:szCs w:val="30"/>
          <w:highlight w:val="none"/>
        </w:rPr>
        <w:t>5</w:t>
      </w:r>
      <w:r>
        <w:rPr>
          <w:rFonts w:hint="eastAsia" w:ascii="仿宋_GB2312" w:eastAsia="仿宋_GB2312"/>
          <w:color w:val="auto"/>
          <w:sz w:val="30"/>
          <w:szCs w:val="30"/>
          <w:highlight w:val="none"/>
        </w:rPr>
        <w:t>．</w:t>
      </w:r>
      <w:r>
        <w:rPr>
          <w:rFonts w:eastAsia="仿宋_GB2312"/>
          <w:color w:val="auto"/>
          <w:sz w:val="30"/>
          <w:szCs w:val="30"/>
          <w:highlight w:val="none"/>
        </w:rPr>
        <w:t>供热与供冷系统为</w:t>
      </w:r>
      <w:r>
        <w:rPr>
          <w:rFonts w:eastAsia="仿宋_GB2312"/>
          <w:color w:val="auto"/>
          <w:sz w:val="30"/>
          <w:szCs w:val="30"/>
          <w:highlight w:val="none"/>
          <w:u w:val="single"/>
        </w:rPr>
        <w:t xml:space="preserve">  2  </w:t>
      </w:r>
      <w:r>
        <w:rPr>
          <w:rFonts w:eastAsia="仿宋_GB2312"/>
          <w:color w:val="auto"/>
          <w:sz w:val="30"/>
          <w:szCs w:val="30"/>
          <w:highlight w:val="none"/>
        </w:rPr>
        <w:t>个采暖期、供冷期；</w:t>
      </w:r>
    </w:p>
    <w:p w14:paraId="469824DB">
      <w:pPr>
        <w:spacing w:line="360" w:lineRule="auto"/>
        <w:ind w:left="420" w:leftChars="200" w:firstLine="150" w:firstLineChars="50"/>
        <w:rPr>
          <w:rFonts w:eastAsia="仿宋_GB2312"/>
          <w:color w:val="auto"/>
          <w:sz w:val="30"/>
          <w:szCs w:val="30"/>
          <w:highlight w:val="none"/>
        </w:rPr>
      </w:pPr>
      <w:r>
        <w:rPr>
          <w:rFonts w:hint="eastAsia" w:eastAsia="仿宋_GB2312"/>
          <w:color w:val="auto"/>
          <w:sz w:val="30"/>
          <w:szCs w:val="30"/>
          <w:highlight w:val="none"/>
        </w:rPr>
        <w:t>6</w:t>
      </w:r>
      <w:r>
        <w:rPr>
          <w:rFonts w:hint="eastAsia" w:ascii="仿宋_GB2312" w:eastAsia="仿宋_GB2312"/>
          <w:color w:val="auto"/>
          <w:sz w:val="30"/>
          <w:szCs w:val="30"/>
          <w:highlight w:val="none"/>
        </w:rPr>
        <w:t>．</w:t>
      </w:r>
      <w:r>
        <w:rPr>
          <w:rFonts w:hint="eastAsia" w:eastAsia="仿宋_GB2312"/>
          <w:color w:val="auto"/>
          <w:sz w:val="30"/>
          <w:szCs w:val="30"/>
          <w:highlight w:val="none"/>
        </w:rPr>
        <w:t>厂区</w:t>
      </w:r>
      <w:r>
        <w:rPr>
          <w:rFonts w:eastAsia="仿宋_GB2312"/>
          <w:color w:val="auto"/>
          <w:sz w:val="30"/>
          <w:szCs w:val="30"/>
          <w:highlight w:val="none"/>
        </w:rPr>
        <w:t>内的给排水设施、道路等配套工程为</w:t>
      </w:r>
      <w:r>
        <w:rPr>
          <w:rFonts w:eastAsia="仿宋_GB2312"/>
          <w:color w:val="auto"/>
          <w:sz w:val="30"/>
          <w:szCs w:val="30"/>
          <w:highlight w:val="none"/>
          <w:u w:val="single"/>
        </w:rPr>
        <w:t xml:space="preserve">  2  </w:t>
      </w:r>
      <w:r>
        <w:rPr>
          <w:rFonts w:eastAsia="仿宋_GB2312"/>
          <w:color w:val="auto"/>
          <w:sz w:val="30"/>
          <w:szCs w:val="30"/>
          <w:highlight w:val="none"/>
        </w:rPr>
        <w:t>年；</w:t>
      </w:r>
    </w:p>
    <w:p w14:paraId="354B1506">
      <w:pPr>
        <w:spacing w:line="360" w:lineRule="auto"/>
        <w:ind w:left="420" w:leftChars="200" w:firstLine="150" w:firstLineChars="50"/>
        <w:rPr>
          <w:rFonts w:eastAsia="仿宋_GB2312"/>
          <w:color w:val="auto"/>
          <w:sz w:val="30"/>
          <w:szCs w:val="30"/>
          <w:highlight w:val="none"/>
        </w:rPr>
      </w:pPr>
      <w:r>
        <w:rPr>
          <w:rFonts w:hint="eastAsia" w:eastAsia="仿宋_GB2312"/>
          <w:color w:val="auto"/>
          <w:sz w:val="30"/>
          <w:szCs w:val="30"/>
          <w:highlight w:val="none"/>
        </w:rPr>
        <w:t>7</w:t>
      </w:r>
      <w:r>
        <w:rPr>
          <w:rFonts w:hint="eastAsia" w:ascii="仿宋_GB2312" w:eastAsia="仿宋_GB2312"/>
          <w:color w:val="auto"/>
          <w:sz w:val="30"/>
          <w:szCs w:val="30"/>
          <w:highlight w:val="none"/>
        </w:rPr>
        <w:t>．</w:t>
      </w:r>
      <w:r>
        <w:rPr>
          <w:rFonts w:eastAsia="仿宋_GB2312"/>
          <w:color w:val="auto"/>
          <w:sz w:val="30"/>
          <w:szCs w:val="30"/>
          <w:highlight w:val="none"/>
        </w:rPr>
        <w:t>其他项目保修期限约定如下：</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w:t>
      </w:r>
    </w:p>
    <w:p w14:paraId="128A6DB2">
      <w:pPr>
        <w:spacing w:line="360" w:lineRule="auto"/>
        <w:rPr>
          <w:rFonts w:eastAsia="仿宋_GB2312"/>
          <w:color w:val="auto"/>
          <w:sz w:val="30"/>
          <w:szCs w:val="30"/>
          <w:highlight w:val="none"/>
        </w:rPr>
      </w:pPr>
      <w:r>
        <w:rPr>
          <w:rFonts w:eastAsia="仿宋_GB2312"/>
          <w:color w:val="auto"/>
          <w:sz w:val="30"/>
          <w:szCs w:val="30"/>
          <w:highlight w:val="none"/>
        </w:rPr>
        <w:t>　　质量保修期自工程竣工验收合格之日起计算。</w:t>
      </w:r>
    </w:p>
    <w:p w14:paraId="6FD59AC3">
      <w:pPr>
        <w:spacing w:line="360" w:lineRule="auto"/>
        <w:ind w:firstLine="600" w:firstLineChars="200"/>
        <w:outlineLvl w:val="0"/>
        <w:rPr>
          <w:rFonts w:eastAsia="黑体"/>
          <w:color w:val="auto"/>
          <w:sz w:val="30"/>
          <w:szCs w:val="30"/>
          <w:highlight w:val="none"/>
        </w:rPr>
      </w:pPr>
      <w:r>
        <w:rPr>
          <w:rFonts w:eastAsia="黑体"/>
          <w:color w:val="auto"/>
          <w:sz w:val="30"/>
          <w:szCs w:val="30"/>
          <w:highlight w:val="none"/>
        </w:rPr>
        <w:t>三、缺陷责任期</w:t>
      </w:r>
    </w:p>
    <w:p w14:paraId="78C14833">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工程缺陷责任期为</w:t>
      </w:r>
      <w:r>
        <w:rPr>
          <w:rFonts w:eastAsia="仿宋_GB2312"/>
          <w:color w:val="auto"/>
          <w:sz w:val="30"/>
          <w:szCs w:val="30"/>
          <w:highlight w:val="none"/>
          <w:u w:val="single"/>
        </w:rPr>
        <w:t xml:space="preserve">   24  </w:t>
      </w:r>
      <w:r>
        <w:rPr>
          <w:rFonts w:eastAsia="仿宋_GB2312"/>
          <w:color w:val="auto"/>
          <w:sz w:val="30"/>
          <w:szCs w:val="30"/>
          <w:highlight w:val="none"/>
        </w:rPr>
        <w:t>个月，缺陷责任期自工程</w:t>
      </w:r>
      <w:r>
        <w:rPr>
          <w:rFonts w:hint="eastAsia" w:eastAsia="仿宋_GB2312"/>
          <w:color w:val="auto"/>
          <w:sz w:val="30"/>
          <w:szCs w:val="30"/>
          <w:highlight w:val="none"/>
        </w:rPr>
        <w:t>通过竣工验收</w:t>
      </w:r>
      <w:r>
        <w:rPr>
          <w:rFonts w:eastAsia="仿宋_GB2312"/>
          <w:color w:val="auto"/>
          <w:sz w:val="30"/>
          <w:szCs w:val="30"/>
          <w:highlight w:val="none"/>
        </w:rPr>
        <w:t>之日起计算。单位工程先于全部工程进行验收，单位工程缺陷责任期自单位工程验收合格之日起算。</w:t>
      </w:r>
    </w:p>
    <w:p w14:paraId="76F21B33">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缺陷责任期终止后，发包人应退还剩余的质量保证金。</w:t>
      </w:r>
    </w:p>
    <w:p w14:paraId="3A8CB25F">
      <w:pPr>
        <w:spacing w:line="360" w:lineRule="auto"/>
        <w:outlineLvl w:val="0"/>
        <w:rPr>
          <w:rFonts w:eastAsia="黑体"/>
          <w:color w:val="auto"/>
          <w:sz w:val="30"/>
          <w:szCs w:val="30"/>
          <w:highlight w:val="none"/>
        </w:rPr>
      </w:pPr>
      <w:r>
        <w:rPr>
          <w:rFonts w:eastAsia="黑体"/>
          <w:color w:val="auto"/>
          <w:sz w:val="30"/>
          <w:szCs w:val="30"/>
          <w:highlight w:val="none"/>
        </w:rPr>
        <w:t xml:space="preserve">    四、质量保修责任</w:t>
      </w:r>
    </w:p>
    <w:p w14:paraId="1FEDC333">
      <w:pPr>
        <w:spacing w:line="360" w:lineRule="auto"/>
        <w:ind w:left="105" w:leftChars="50" w:firstLine="615" w:firstLineChars="205"/>
        <w:rPr>
          <w:rFonts w:eastAsia="仿宋_GB2312"/>
          <w:color w:val="auto"/>
          <w:sz w:val="30"/>
          <w:szCs w:val="30"/>
          <w:highlight w:val="none"/>
        </w:rPr>
      </w:pPr>
      <w:r>
        <w:rPr>
          <w:rFonts w:hint="eastAsia" w:eastAsia="仿宋_GB2312"/>
          <w:color w:val="auto"/>
          <w:sz w:val="30"/>
          <w:szCs w:val="30"/>
          <w:highlight w:val="none"/>
        </w:rPr>
        <w:t>1</w:t>
      </w:r>
      <w:r>
        <w:rPr>
          <w:rFonts w:hint="eastAsia" w:ascii="仿宋_GB2312" w:eastAsia="仿宋_GB2312"/>
          <w:color w:val="auto"/>
          <w:sz w:val="30"/>
          <w:szCs w:val="30"/>
          <w:highlight w:val="none"/>
        </w:rPr>
        <w:t>．</w:t>
      </w:r>
      <w:r>
        <w:rPr>
          <w:rFonts w:eastAsia="仿宋_GB2312"/>
          <w:color w:val="auto"/>
          <w:sz w:val="30"/>
          <w:szCs w:val="30"/>
          <w:highlight w:val="none"/>
        </w:rPr>
        <w:t>属于保修范围、内容的项目，承包人应当在接到保修通知之日起24</w:t>
      </w:r>
      <w:r>
        <w:rPr>
          <w:rFonts w:hint="eastAsia" w:eastAsia="仿宋_GB2312"/>
          <w:color w:val="auto"/>
          <w:sz w:val="30"/>
          <w:szCs w:val="30"/>
          <w:highlight w:val="none"/>
        </w:rPr>
        <w:t>小时</w:t>
      </w:r>
      <w:r>
        <w:rPr>
          <w:rFonts w:eastAsia="仿宋_GB2312"/>
          <w:color w:val="auto"/>
          <w:sz w:val="30"/>
          <w:szCs w:val="30"/>
          <w:highlight w:val="none"/>
        </w:rPr>
        <w:t>内派人保修。承包人不在约定期限内派人保修的，发包人可以委托他人修理。</w:t>
      </w:r>
    </w:p>
    <w:p w14:paraId="4EDE9DA2">
      <w:pPr>
        <w:spacing w:line="360" w:lineRule="auto"/>
        <w:ind w:left="105" w:leftChars="50" w:firstLine="615" w:firstLineChars="205"/>
        <w:rPr>
          <w:rFonts w:eastAsia="仿宋_GB2312"/>
          <w:color w:val="auto"/>
          <w:sz w:val="30"/>
          <w:szCs w:val="30"/>
          <w:highlight w:val="none"/>
        </w:rPr>
      </w:pPr>
      <w:r>
        <w:rPr>
          <w:rFonts w:hint="eastAsia" w:eastAsia="仿宋_GB2312"/>
          <w:color w:val="auto"/>
          <w:sz w:val="30"/>
          <w:szCs w:val="30"/>
          <w:highlight w:val="none"/>
        </w:rPr>
        <w:t>2</w:t>
      </w:r>
      <w:r>
        <w:rPr>
          <w:rFonts w:hint="eastAsia" w:ascii="仿宋_GB2312" w:eastAsia="仿宋_GB2312"/>
          <w:color w:val="auto"/>
          <w:sz w:val="30"/>
          <w:szCs w:val="30"/>
          <w:highlight w:val="none"/>
        </w:rPr>
        <w:t>．</w:t>
      </w:r>
      <w:r>
        <w:rPr>
          <w:rFonts w:eastAsia="仿宋_GB2312"/>
          <w:color w:val="auto"/>
          <w:sz w:val="30"/>
          <w:szCs w:val="30"/>
          <w:highlight w:val="none"/>
        </w:rPr>
        <w:t>发生紧急事故需抢修的，承包人在接到事故通知后，应当立即到达事故现场抢修。</w:t>
      </w:r>
    </w:p>
    <w:p w14:paraId="2F61AAC9">
      <w:pPr>
        <w:spacing w:line="360" w:lineRule="auto"/>
        <w:ind w:left="105" w:leftChars="50" w:firstLine="615" w:firstLineChars="205"/>
        <w:rPr>
          <w:rFonts w:eastAsia="仿宋_GB2312"/>
          <w:color w:val="auto"/>
          <w:sz w:val="30"/>
          <w:szCs w:val="30"/>
          <w:highlight w:val="none"/>
        </w:rPr>
      </w:pPr>
      <w:r>
        <w:rPr>
          <w:rFonts w:hint="eastAsia" w:eastAsia="仿宋_GB2312"/>
          <w:color w:val="auto"/>
          <w:sz w:val="30"/>
          <w:szCs w:val="30"/>
          <w:highlight w:val="none"/>
        </w:rPr>
        <w:t>3</w:t>
      </w:r>
      <w:r>
        <w:rPr>
          <w:rFonts w:hint="eastAsia" w:ascii="仿宋_GB2312" w:eastAsia="仿宋_GB2312"/>
          <w:color w:val="auto"/>
          <w:sz w:val="30"/>
          <w:szCs w:val="30"/>
          <w:highlight w:val="none"/>
        </w:rPr>
        <w:t>．</w:t>
      </w:r>
      <w:r>
        <w:rPr>
          <w:rFonts w:eastAsia="仿宋_GB2312"/>
          <w:color w:val="auto"/>
          <w:sz w:val="30"/>
          <w:szCs w:val="30"/>
          <w:highlight w:val="none"/>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2C4F4D33">
      <w:pPr>
        <w:spacing w:line="360" w:lineRule="auto"/>
        <w:ind w:left="420" w:leftChars="200" w:firstLine="150" w:firstLineChars="50"/>
        <w:rPr>
          <w:rFonts w:eastAsia="仿宋_GB2312"/>
          <w:color w:val="auto"/>
          <w:sz w:val="30"/>
          <w:szCs w:val="30"/>
          <w:highlight w:val="none"/>
        </w:rPr>
      </w:pPr>
      <w:r>
        <w:rPr>
          <w:rFonts w:hint="eastAsia" w:eastAsia="仿宋_GB2312"/>
          <w:color w:val="auto"/>
          <w:sz w:val="30"/>
          <w:szCs w:val="30"/>
          <w:highlight w:val="none"/>
        </w:rPr>
        <w:t>4</w:t>
      </w:r>
      <w:r>
        <w:rPr>
          <w:rFonts w:hint="eastAsia" w:ascii="仿宋_GB2312" w:eastAsia="仿宋_GB2312"/>
          <w:color w:val="auto"/>
          <w:sz w:val="30"/>
          <w:szCs w:val="30"/>
          <w:highlight w:val="none"/>
        </w:rPr>
        <w:t>．</w:t>
      </w:r>
      <w:r>
        <w:rPr>
          <w:rFonts w:eastAsia="仿宋_GB2312"/>
          <w:color w:val="auto"/>
          <w:sz w:val="30"/>
          <w:szCs w:val="30"/>
          <w:highlight w:val="none"/>
        </w:rPr>
        <w:t>质量保修完成后，由发包人组织验收。</w:t>
      </w:r>
    </w:p>
    <w:p w14:paraId="1A94EAB3">
      <w:pPr>
        <w:spacing w:line="360" w:lineRule="auto"/>
        <w:outlineLvl w:val="0"/>
        <w:rPr>
          <w:rFonts w:eastAsia="黑体"/>
          <w:color w:val="auto"/>
          <w:sz w:val="30"/>
          <w:szCs w:val="30"/>
          <w:highlight w:val="none"/>
        </w:rPr>
      </w:pPr>
      <w:r>
        <w:rPr>
          <w:rFonts w:eastAsia="黑体"/>
          <w:color w:val="auto"/>
          <w:sz w:val="30"/>
          <w:szCs w:val="30"/>
          <w:highlight w:val="none"/>
        </w:rPr>
        <w:t>　　五、保修费用</w:t>
      </w:r>
    </w:p>
    <w:p w14:paraId="19F2E1DB">
      <w:pPr>
        <w:spacing w:line="360" w:lineRule="auto"/>
        <w:rPr>
          <w:rFonts w:eastAsia="仿宋_GB2312"/>
          <w:color w:val="auto"/>
          <w:sz w:val="30"/>
          <w:szCs w:val="30"/>
          <w:highlight w:val="none"/>
        </w:rPr>
      </w:pPr>
      <w:r>
        <w:rPr>
          <w:rFonts w:eastAsia="仿宋_GB2312"/>
          <w:color w:val="auto"/>
          <w:sz w:val="30"/>
          <w:szCs w:val="30"/>
          <w:highlight w:val="none"/>
        </w:rPr>
        <w:t>　　保修费用由造成质量缺陷的责任方承担。</w:t>
      </w:r>
    </w:p>
    <w:p w14:paraId="7916CA75">
      <w:pPr>
        <w:spacing w:line="360" w:lineRule="auto"/>
        <w:ind w:firstLine="600"/>
        <w:jc w:val="left"/>
        <w:outlineLvl w:val="0"/>
        <w:rPr>
          <w:rFonts w:eastAsia="仿宋_GB2312"/>
          <w:color w:val="auto"/>
          <w:sz w:val="30"/>
          <w:szCs w:val="30"/>
          <w:highlight w:val="none"/>
        </w:rPr>
      </w:pPr>
      <w:r>
        <w:rPr>
          <w:rFonts w:eastAsia="黑体"/>
          <w:b/>
          <w:color w:val="auto"/>
          <w:sz w:val="30"/>
          <w:szCs w:val="30"/>
          <w:highlight w:val="none"/>
        </w:rPr>
        <w:t>六</w:t>
      </w:r>
      <w:r>
        <w:rPr>
          <w:rFonts w:eastAsia="黑体"/>
          <w:color w:val="auto"/>
          <w:sz w:val="30"/>
          <w:szCs w:val="30"/>
          <w:highlight w:val="none"/>
        </w:rPr>
        <w:t>、双方约定的其他工程质量保修事项</w:t>
      </w:r>
      <w:r>
        <w:rPr>
          <w:rFonts w:eastAsia="仿宋_GB2312"/>
          <w:color w:val="auto"/>
          <w:sz w:val="30"/>
          <w:szCs w:val="30"/>
          <w:highlight w:val="none"/>
        </w:rPr>
        <w:t>：</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w:t>
      </w:r>
    </w:p>
    <w:p w14:paraId="7EBC9A46">
      <w:pPr>
        <w:spacing w:line="360" w:lineRule="auto"/>
        <w:ind w:firstLine="570" w:firstLineChars="190"/>
        <w:rPr>
          <w:rFonts w:eastAsia="仿宋_GB2312"/>
          <w:color w:val="auto"/>
          <w:sz w:val="30"/>
          <w:szCs w:val="30"/>
          <w:highlight w:val="none"/>
        </w:rPr>
      </w:pPr>
      <w:r>
        <w:rPr>
          <w:rFonts w:eastAsia="仿宋_GB2312"/>
          <w:color w:val="auto"/>
          <w:sz w:val="30"/>
          <w:szCs w:val="30"/>
          <w:highlight w:val="none"/>
        </w:rPr>
        <w:t>工程质量保修书由发包人、承包人在工程竣工验收前共同签署，作为施工合同附件，其有效期限至保修期满。</w:t>
      </w:r>
    </w:p>
    <w:p w14:paraId="61118381">
      <w:pPr>
        <w:spacing w:line="360" w:lineRule="auto"/>
        <w:ind w:firstLine="420"/>
        <w:rPr>
          <w:rFonts w:eastAsia="仿宋_GB2312"/>
          <w:color w:val="auto"/>
          <w:sz w:val="30"/>
          <w:szCs w:val="30"/>
          <w:highlight w:val="none"/>
        </w:rPr>
      </w:pPr>
    </w:p>
    <w:p w14:paraId="77595D04">
      <w:pPr>
        <w:spacing w:line="360" w:lineRule="auto"/>
        <w:rPr>
          <w:rFonts w:eastAsia="仿宋_GB2312"/>
          <w:color w:val="auto"/>
          <w:sz w:val="30"/>
          <w:szCs w:val="30"/>
          <w:highlight w:val="none"/>
          <w:u w:val="single"/>
        </w:rPr>
      </w:pPr>
      <w:r>
        <w:rPr>
          <w:rFonts w:eastAsia="仿宋_GB2312"/>
          <w:color w:val="auto"/>
          <w:sz w:val="30"/>
          <w:szCs w:val="30"/>
          <w:highlight w:val="none"/>
        </w:rPr>
        <w:t>发包人(公章)：</w:t>
      </w:r>
      <w:r>
        <w:rPr>
          <w:rFonts w:eastAsia="仿宋_GB2312"/>
          <w:color w:val="auto"/>
          <w:sz w:val="30"/>
          <w:szCs w:val="30"/>
          <w:highlight w:val="none"/>
          <w:u w:val="single"/>
        </w:rPr>
        <w:t xml:space="preserve">        </w:t>
      </w:r>
      <w:r>
        <w:rPr>
          <w:rFonts w:eastAsia="仿宋_GB2312"/>
          <w:color w:val="auto"/>
          <w:sz w:val="30"/>
          <w:szCs w:val="30"/>
          <w:highlight w:val="none"/>
        </w:rPr>
        <w:t xml:space="preserve"> 承包人(公章)：</w:t>
      </w:r>
      <w:r>
        <w:rPr>
          <w:rFonts w:eastAsia="仿宋_GB2312"/>
          <w:color w:val="auto"/>
          <w:sz w:val="30"/>
          <w:szCs w:val="30"/>
          <w:highlight w:val="none"/>
          <w:u w:val="single"/>
        </w:rPr>
        <w:t></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p>
    <w:p w14:paraId="0363C1AD">
      <w:pPr>
        <w:pStyle w:val="8"/>
        <w:ind w:left="63" w:right="63"/>
        <w:rPr>
          <w:color w:val="auto"/>
          <w:highlight w:val="none"/>
        </w:rPr>
      </w:pPr>
    </w:p>
    <w:p w14:paraId="7AABE617">
      <w:pPr>
        <w:spacing w:line="360" w:lineRule="auto"/>
        <w:rPr>
          <w:rFonts w:eastAsia="仿宋_GB2312"/>
          <w:color w:val="auto"/>
          <w:sz w:val="30"/>
          <w:szCs w:val="30"/>
          <w:highlight w:val="none"/>
          <w:u w:val="single"/>
        </w:rPr>
      </w:pPr>
      <w:r>
        <w:rPr>
          <w:rFonts w:eastAsia="仿宋_GB2312"/>
          <w:color w:val="auto"/>
          <w:sz w:val="30"/>
          <w:szCs w:val="30"/>
          <w:highlight w:val="none"/>
        </w:rPr>
        <w:t>法定代表人(签字)：</w:t>
      </w:r>
      <w:r>
        <w:rPr>
          <w:rFonts w:eastAsia="仿宋_GB2312"/>
          <w:color w:val="auto"/>
          <w:sz w:val="30"/>
          <w:szCs w:val="30"/>
          <w:highlight w:val="none"/>
          <w:u w:val="single"/>
        </w:rPr>
        <w:t></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 xml:space="preserve"> 法定代表人(签字)：</w:t>
      </w:r>
      <w:r>
        <w:rPr>
          <w:rFonts w:eastAsia="仿宋_GB2312"/>
          <w:color w:val="auto"/>
          <w:sz w:val="30"/>
          <w:szCs w:val="30"/>
          <w:highlight w:val="none"/>
          <w:u w:val="single"/>
        </w:rPr>
        <w:t></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p>
    <w:p w14:paraId="2179EB2B">
      <w:pPr>
        <w:pStyle w:val="8"/>
        <w:ind w:left="63" w:right="63"/>
        <w:rPr>
          <w:color w:val="auto"/>
          <w:highlight w:val="none"/>
        </w:rPr>
      </w:pPr>
    </w:p>
    <w:p w14:paraId="630926BE">
      <w:pPr>
        <w:spacing w:line="360" w:lineRule="auto"/>
        <w:rPr>
          <w:rFonts w:eastAsia="仿宋_GB2312"/>
          <w:color w:val="auto"/>
          <w:sz w:val="30"/>
          <w:szCs w:val="30"/>
          <w:highlight w:val="none"/>
        </w:rPr>
      </w:pPr>
      <w:r>
        <w:rPr>
          <w:rFonts w:eastAsia="仿宋_GB2312"/>
          <w:color w:val="auto"/>
          <w:sz w:val="30"/>
          <w:szCs w:val="30"/>
          <w:highlight w:val="none"/>
        </w:rPr>
        <w:t>委托代理人(签字)：</w:t>
      </w:r>
      <w:r>
        <w:rPr>
          <w:rFonts w:eastAsia="仿宋_GB2312"/>
          <w:color w:val="auto"/>
          <w:sz w:val="30"/>
          <w:szCs w:val="30"/>
          <w:highlight w:val="none"/>
          <w:u w:val="single"/>
        </w:rPr>
        <w:t xml:space="preserve">      </w:t>
      </w:r>
      <w:r>
        <w:rPr>
          <w:rFonts w:eastAsia="仿宋_GB2312"/>
          <w:color w:val="auto"/>
          <w:sz w:val="30"/>
          <w:szCs w:val="30"/>
          <w:highlight w:val="none"/>
        </w:rPr>
        <w:t xml:space="preserve"> 委托代理人(签字)：</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p>
    <w:p w14:paraId="139E9CDC">
      <w:pPr>
        <w:spacing w:line="440" w:lineRule="exact"/>
        <w:rPr>
          <w:rFonts w:eastAsia="仿宋_GB2312"/>
          <w:color w:val="auto"/>
          <w:sz w:val="30"/>
          <w:szCs w:val="30"/>
          <w:highlight w:val="none"/>
        </w:rPr>
      </w:pPr>
      <w:r>
        <w:rPr>
          <w:rFonts w:eastAsia="仿宋_GB2312"/>
          <w:b/>
          <w:color w:val="auto"/>
          <w:sz w:val="30"/>
          <w:szCs w:val="30"/>
          <w:highlight w:val="none"/>
        </w:rPr>
        <w:br w:type="page"/>
      </w:r>
      <w:r>
        <w:rPr>
          <w:rFonts w:eastAsia="仿宋_GB2312"/>
          <w:color w:val="auto"/>
          <w:sz w:val="30"/>
          <w:szCs w:val="30"/>
          <w:highlight w:val="none"/>
        </w:rPr>
        <w:t>附件2：</w:t>
      </w:r>
    </w:p>
    <w:p w14:paraId="5501DEAB">
      <w:pPr>
        <w:widowControl/>
        <w:spacing w:before="156" w:beforeLines="50" w:line="580" w:lineRule="exact"/>
        <w:jc w:val="center"/>
        <w:rPr>
          <w:rFonts w:ascii="宋体" w:hAnsi="宋体" w:cs="宋体"/>
          <w:b/>
          <w:bCs/>
          <w:color w:val="auto"/>
          <w:kern w:val="0"/>
          <w:sz w:val="40"/>
          <w:szCs w:val="40"/>
          <w:highlight w:val="none"/>
        </w:rPr>
      </w:pPr>
      <w:r>
        <w:rPr>
          <w:rFonts w:hint="eastAsia" w:ascii="宋体" w:hAnsi="宋体" w:cs="宋体"/>
          <w:b/>
          <w:bCs/>
          <w:color w:val="auto"/>
          <w:kern w:val="0"/>
          <w:sz w:val="40"/>
          <w:szCs w:val="40"/>
          <w:highlight w:val="none"/>
        </w:rPr>
        <w:t>廉洁协议</w:t>
      </w:r>
    </w:p>
    <w:p w14:paraId="1BBE2965">
      <w:pPr>
        <w:widowControl/>
        <w:spacing w:line="260" w:lineRule="exact"/>
        <w:jc w:val="center"/>
        <w:rPr>
          <w:rFonts w:ascii="宋体" w:hAnsi="宋体" w:cs="宋体"/>
          <w:bCs/>
          <w:color w:val="auto"/>
          <w:kern w:val="0"/>
          <w:sz w:val="18"/>
          <w:szCs w:val="18"/>
          <w:highlight w:val="none"/>
        </w:rPr>
      </w:pPr>
    </w:p>
    <w:p w14:paraId="290ACC6A">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发包人：重庆国际复合材料股份有限公司 </w:t>
      </w:r>
    </w:p>
    <w:p w14:paraId="18843C1A">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承包人：</w:t>
      </w:r>
      <w:r>
        <w:rPr>
          <w:rFonts w:ascii="宋体" w:hAnsi="宋体" w:cs="宋体"/>
          <w:color w:val="auto"/>
          <w:kern w:val="0"/>
          <w:sz w:val="18"/>
          <w:szCs w:val="18"/>
          <w:highlight w:val="none"/>
        </w:rPr>
        <w:t xml:space="preserve">                            </w:t>
      </w:r>
    </w:p>
    <w:p w14:paraId="4BCCE98B">
      <w:pPr>
        <w:widowControl/>
        <w:spacing w:line="320" w:lineRule="exact"/>
        <w:ind w:firstLine="360" w:firstLineChars="200"/>
        <w:rPr>
          <w:rFonts w:ascii="宋体" w:hAnsi="宋体" w:cs="宋体"/>
          <w:color w:val="auto"/>
          <w:kern w:val="0"/>
          <w:sz w:val="18"/>
          <w:szCs w:val="18"/>
          <w:highlight w:val="none"/>
        </w:rPr>
      </w:pPr>
      <w:r>
        <w:rPr>
          <w:rFonts w:hint="eastAsia" w:ascii="宋体" w:hAnsi="宋体" w:cs="宋体"/>
          <w:color w:val="auto"/>
          <w:kern w:val="0"/>
          <w:sz w:val="18"/>
          <w:szCs w:val="18"/>
          <w:highlight w:val="none"/>
        </w:rPr>
        <w:t>为促进发包人及承包人双方廉洁高效合作，促使发包人及承包人双方工作人员廉洁从业，按照《民法典》和国家其他有关法律法规、廉洁规定，经发包人及承包人双方协商一致，自愿签订以下廉洁协议。</w:t>
      </w:r>
    </w:p>
    <w:p w14:paraId="7BBCDA86">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b/>
          <w:bCs/>
          <w:color w:val="auto"/>
          <w:kern w:val="0"/>
          <w:sz w:val="18"/>
          <w:szCs w:val="18"/>
          <w:highlight w:val="none"/>
        </w:rPr>
        <w:t>第一条：</w:t>
      </w:r>
      <w:r>
        <w:rPr>
          <w:rFonts w:hint="eastAsia" w:ascii="宋体" w:hAnsi="宋体" w:cs="宋体"/>
          <w:color w:val="auto"/>
          <w:kern w:val="0"/>
          <w:sz w:val="18"/>
          <w:szCs w:val="18"/>
          <w:highlight w:val="none"/>
        </w:rPr>
        <w:t>发包人在廉洁方面的义务</w:t>
      </w:r>
    </w:p>
    <w:p w14:paraId="69C80B0C">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（一）发包人及其工作人员不得干扰协作企业正常的生产经营活动，不得以任何理由要挟承包人从事不属于承包人义务的工作。 </w:t>
      </w:r>
    </w:p>
    <w:p w14:paraId="50ECE74F">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（二）发包人及其工作人员不得违规索要或接受承包人的礼金、佣金、回扣、有价证券、支付凭证、贵重物品等财物。</w:t>
      </w:r>
    </w:p>
    <w:p w14:paraId="35280788">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（三）发包人及其工作人员不得在承包人报销应由发包人或个人支付的任何费用。</w:t>
      </w:r>
    </w:p>
    <w:p w14:paraId="5A16CF45">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（四）发包人工作人员不得参加承包人提供的宴请、娱乐活动、高档消费；不得要求承包人提供交通工具、通讯工具、高档办公用品等。</w:t>
      </w:r>
    </w:p>
    <w:p w14:paraId="19666971">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（五）发包人及其工作人员不得要求或者接受承包人为其住房装修、婚丧嫁娶、配偶、子女、亲友出国（境）旅游等违反规定的相关活动提供方便。</w:t>
      </w:r>
    </w:p>
    <w:p w14:paraId="51620C7E">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（六）发包人及其工作人员不得要求承包人为其配偶、子女及有利害关系的人员安排工作或劳务；不得违反规定从事与承包人施工项目有关的材料设备供应、工程分包等经济活动。</w:t>
      </w:r>
    </w:p>
    <w:p w14:paraId="7E13AE3A">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b/>
          <w:bCs/>
          <w:color w:val="auto"/>
          <w:kern w:val="0"/>
          <w:sz w:val="18"/>
          <w:szCs w:val="18"/>
          <w:highlight w:val="none"/>
        </w:rPr>
        <w:t>第二条：</w:t>
      </w:r>
      <w:r>
        <w:rPr>
          <w:rFonts w:hint="eastAsia" w:ascii="宋体" w:hAnsi="宋体" w:cs="宋体"/>
          <w:color w:val="auto"/>
          <w:kern w:val="0"/>
          <w:sz w:val="18"/>
          <w:szCs w:val="18"/>
          <w:highlight w:val="none"/>
        </w:rPr>
        <w:t>承包人在廉洁方面义务</w:t>
      </w:r>
    </w:p>
    <w:p w14:paraId="60E7092E">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（一）承包人不准以任何形式向发包人及其工作人员馈赠礼金、佣金、回扣、有价证券、支付凭证、贵重物品等财物。</w:t>
      </w:r>
    </w:p>
    <w:p w14:paraId="4F81B2D0">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（二）承包人不准以任何名义为发包人及其工作人员报销应由发包人或个人支付的任何费用。</w:t>
      </w:r>
    </w:p>
    <w:p w14:paraId="6C2645FA">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（三）承包人不准以任何理由邀请发包人工作人员参加有影响合作业务的宴请及娱乐活动；不准为其提供通讯工具、交通工具、高档办公用品等。</w:t>
      </w:r>
    </w:p>
    <w:p w14:paraId="089C320D">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（四）承包人不准为发包人工作人员在住房装修、婚丧嫁娶、配偶、子女、亲友出国（境）旅游提供方便；不准为发包人工作人员的配偶、子女及有利害关系的人员安排工作或劳务。</w:t>
      </w:r>
    </w:p>
    <w:p w14:paraId="18E3E054">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（五）承包人及其工作人员不准与监管单位串通，违反有关规定和程序，损害发包人利益。</w:t>
      </w:r>
    </w:p>
    <w:p w14:paraId="7791DC44">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（六）不得有其他违反法律法规行为。</w:t>
      </w:r>
    </w:p>
    <w:p w14:paraId="6A6C78CC">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b/>
          <w:bCs/>
          <w:color w:val="auto"/>
          <w:kern w:val="0"/>
          <w:sz w:val="18"/>
          <w:szCs w:val="18"/>
          <w:highlight w:val="none"/>
        </w:rPr>
        <w:t>第三条：</w:t>
      </w:r>
      <w:r>
        <w:rPr>
          <w:rFonts w:hint="eastAsia" w:ascii="宋体" w:hAnsi="宋体" w:cs="宋体"/>
          <w:color w:val="auto"/>
          <w:kern w:val="0"/>
          <w:sz w:val="18"/>
          <w:szCs w:val="18"/>
          <w:highlight w:val="none"/>
        </w:rPr>
        <w:t>违约责任</w:t>
      </w:r>
    </w:p>
    <w:p w14:paraId="11E3CE00">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（一）承包人违反本《廉洁协议》规定义务的，须向发包人承担经济合同总额3%的经济违约金。</w:t>
      </w:r>
    </w:p>
    <w:p w14:paraId="3E716AFA">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（二）承包人发生多次违反廉洁协议约定内容，发包人有权将承包人列入黑名单，禁止5年内进入发包人作业市场；给发包人造成经济损失、社会影响较大的，发包人有权终止履行经济合同。</w:t>
      </w:r>
    </w:p>
    <w:p w14:paraId="2E0BFA6D">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（三）发包人若违反本《廉洁协议》有关规定的，对违法违纪人员，由发包人主管部门依据有关规定查处。</w:t>
      </w:r>
    </w:p>
    <w:p w14:paraId="702B3A44">
      <w:pPr>
        <w:spacing w:line="320" w:lineRule="exact"/>
        <w:ind w:firstLine="360" w:firstLineChars="200"/>
        <w:rPr>
          <w:rFonts w:ascii="宋体" w:hAnsi="宋体" w:cs="宋体"/>
          <w:color w:val="auto"/>
          <w:kern w:val="0"/>
          <w:sz w:val="18"/>
          <w:szCs w:val="18"/>
          <w:highlight w:val="none"/>
        </w:rPr>
      </w:pPr>
      <w:r>
        <w:rPr>
          <w:rFonts w:hint="eastAsia" w:ascii="宋体" w:hAnsi="宋体" w:cs="宋体"/>
          <w:b/>
          <w:bCs/>
          <w:color w:val="auto"/>
          <w:kern w:val="0"/>
          <w:sz w:val="18"/>
          <w:szCs w:val="18"/>
          <w:highlight w:val="none"/>
        </w:rPr>
        <w:t>第四条：</w:t>
      </w:r>
      <w:r>
        <w:rPr>
          <w:rFonts w:hint="eastAsia" w:ascii="宋体" w:hAnsi="宋体" w:cs="宋体"/>
          <w:color w:val="auto"/>
          <w:kern w:val="0"/>
          <w:sz w:val="18"/>
          <w:szCs w:val="18"/>
          <w:highlight w:val="none"/>
        </w:rPr>
        <w:t>本协议有效期同经济合同期限。</w:t>
      </w:r>
    </w:p>
    <w:p w14:paraId="668D95BF">
      <w:pPr>
        <w:widowControl/>
        <w:spacing w:line="320" w:lineRule="exact"/>
        <w:ind w:firstLine="360" w:firstLineChars="200"/>
        <w:jc w:val="left"/>
        <w:rPr>
          <w:rFonts w:ascii="宋体" w:hAnsi="宋体"/>
          <w:color w:val="auto"/>
          <w:sz w:val="18"/>
          <w:szCs w:val="18"/>
          <w:highlight w:val="none"/>
        </w:rPr>
      </w:pPr>
      <w:r>
        <w:rPr>
          <w:rFonts w:hint="eastAsia" w:ascii="宋体" w:hAnsi="宋体" w:cs="宋体"/>
          <w:b/>
          <w:bCs/>
          <w:color w:val="auto"/>
          <w:kern w:val="0"/>
          <w:sz w:val="18"/>
          <w:szCs w:val="18"/>
          <w:highlight w:val="none"/>
        </w:rPr>
        <w:t>第五条：</w:t>
      </w:r>
      <w:r>
        <w:rPr>
          <w:rFonts w:hint="eastAsia" w:ascii="宋体" w:hAnsi="宋体"/>
          <w:color w:val="auto"/>
          <w:sz w:val="18"/>
          <w:szCs w:val="18"/>
          <w:highlight w:val="none"/>
        </w:rPr>
        <w:t>本协议为经济合同附件，与主合同具有同等法律效力，发包人及承包人双方签署后生效。</w:t>
      </w:r>
    </w:p>
    <w:p w14:paraId="0E6D6B9A">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b/>
          <w:bCs/>
          <w:color w:val="auto"/>
          <w:kern w:val="0"/>
          <w:sz w:val="18"/>
          <w:szCs w:val="18"/>
          <w:highlight w:val="none"/>
        </w:rPr>
        <w:t>第六条：</w:t>
      </w:r>
      <w:r>
        <w:rPr>
          <w:rFonts w:ascii="宋体" w:hAnsi="宋体"/>
          <w:color w:val="auto"/>
          <w:sz w:val="18"/>
          <w:szCs w:val="18"/>
          <w:highlight w:val="none"/>
        </w:rPr>
        <w:t>承包人向发包人</w:t>
      </w:r>
      <w:r>
        <w:rPr>
          <w:rFonts w:hint="eastAsia" w:ascii="宋体" w:hAnsi="宋体"/>
          <w:color w:val="auto"/>
          <w:sz w:val="18"/>
          <w:szCs w:val="18"/>
          <w:highlight w:val="none"/>
        </w:rPr>
        <w:t>反映廉洁问题的</w:t>
      </w:r>
      <w:r>
        <w:rPr>
          <w:rFonts w:ascii="宋体" w:hAnsi="宋体"/>
          <w:color w:val="auto"/>
          <w:sz w:val="18"/>
          <w:szCs w:val="18"/>
          <w:highlight w:val="none"/>
        </w:rPr>
        <w:t>联系方式</w:t>
      </w:r>
      <w:r>
        <w:rPr>
          <w:rFonts w:hint="eastAsia" w:ascii="宋体" w:hAnsi="宋体"/>
          <w:color w:val="auto"/>
          <w:sz w:val="18"/>
          <w:szCs w:val="18"/>
          <w:highlight w:val="none"/>
        </w:rPr>
        <w:t>。</w:t>
      </w:r>
      <w:r>
        <w:rPr>
          <w:rFonts w:hint="eastAsia" w:ascii="宋体" w:hAnsi="宋体" w:cs="宋体"/>
          <w:color w:val="auto"/>
          <w:kern w:val="0"/>
          <w:sz w:val="18"/>
          <w:szCs w:val="18"/>
          <w:highlight w:val="none"/>
        </w:rPr>
        <w:t>邮寄地址：</w:t>
      </w:r>
      <w:r>
        <w:rPr>
          <w:rFonts w:ascii="宋体" w:hAnsi="宋体" w:cs="宋体"/>
          <w:color w:val="auto"/>
          <w:kern w:val="0"/>
          <w:sz w:val="18"/>
          <w:szCs w:val="18"/>
          <w:highlight w:val="none"/>
        </w:rPr>
        <w:t>重庆国际复合材料</w:t>
      </w:r>
      <w:r>
        <w:rPr>
          <w:rFonts w:hint="eastAsia" w:ascii="宋体" w:hAnsi="宋体" w:cs="宋体"/>
          <w:color w:val="auto"/>
          <w:kern w:val="0"/>
          <w:sz w:val="18"/>
          <w:szCs w:val="18"/>
          <w:highlight w:val="none"/>
        </w:rPr>
        <w:t>股份</w:t>
      </w:r>
      <w:r>
        <w:rPr>
          <w:rFonts w:ascii="宋体" w:hAnsi="宋体" w:cs="宋体"/>
          <w:color w:val="auto"/>
          <w:kern w:val="0"/>
          <w:sz w:val="18"/>
          <w:szCs w:val="18"/>
          <w:highlight w:val="none"/>
        </w:rPr>
        <w:t>有限公司纪委办</w:t>
      </w:r>
      <w:r>
        <w:rPr>
          <w:rFonts w:hint="eastAsia" w:ascii="宋体" w:hAnsi="宋体" w:cs="宋体"/>
          <w:color w:val="auto"/>
          <w:kern w:val="0"/>
          <w:sz w:val="18"/>
          <w:szCs w:val="18"/>
          <w:highlight w:val="none"/>
        </w:rPr>
        <w:t>，</w:t>
      </w:r>
      <w:r>
        <w:rPr>
          <w:rFonts w:ascii="宋体" w:hAnsi="宋体" w:cs="宋体"/>
          <w:color w:val="auto"/>
          <w:kern w:val="0"/>
          <w:sz w:val="18"/>
          <w:szCs w:val="18"/>
          <w:highlight w:val="none"/>
        </w:rPr>
        <w:t>邮编</w:t>
      </w:r>
      <w:r>
        <w:rPr>
          <w:rFonts w:hint="eastAsia" w:ascii="宋体" w:hAnsi="宋体" w:cs="宋体"/>
          <w:color w:val="auto"/>
          <w:kern w:val="0"/>
          <w:sz w:val="18"/>
          <w:szCs w:val="18"/>
          <w:highlight w:val="none"/>
        </w:rPr>
        <w:t>：4</w:t>
      </w:r>
      <w:r>
        <w:rPr>
          <w:rFonts w:ascii="宋体" w:hAnsi="宋体" w:cs="宋体"/>
          <w:color w:val="auto"/>
          <w:kern w:val="0"/>
          <w:sz w:val="18"/>
          <w:szCs w:val="18"/>
          <w:highlight w:val="none"/>
        </w:rPr>
        <w:t>00082</w:t>
      </w:r>
    </w:p>
    <w:p w14:paraId="3A6E4006">
      <w:pPr>
        <w:spacing w:line="320" w:lineRule="exact"/>
        <w:ind w:firstLine="360" w:firstLineChars="200"/>
        <w:rPr>
          <w:rFonts w:ascii="宋体" w:hAnsi="宋体" w:cs="宋体"/>
          <w:color w:val="auto"/>
          <w:kern w:val="0"/>
          <w:sz w:val="18"/>
          <w:szCs w:val="18"/>
          <w:highlight w:val="none"/>
        </w:rPr>
      </w:pPr>
      <w:r>
        <w:rPr>
          <w:rFonts w:hint="eastAsia" w:ascii="宋体" w:hAnsi="宋体" w:cs="宋体"/>
          <w:color w:val="auto"/>
          <w:kern w:val="0"/>
          <w:sz w:val="18"/>
          <w:szCs w:val="18"/>
          <w:highlight w:val="none"/>
        </w:rPr>
        <w:t>工作联系</w:t>
      </w:r>
      <w:r>
        <w:rPr>
          <w:rFonts w:ascii="宋体" w:hAnsi="宋体" w:cs="宋体"/>
          <w:color w:val="auto"/>
          <w:kern w:val="0"/>
          <w:sz w:val="18"/>
          <w:szCs w:val="18"/>
          <w:highlight w:val="none"/>
        </w:rPr>
        <w:t>电话</w:t>
      </w:r>
      <w:r>
        <w:rPr>
          <w:rFonts w:hint="eastAsia" w:ascii="宋体" w:hAnsi="宋体" w:cs="宋体"/>
          <w:color w:val="auto"/>
          <w:kern w:val="0"/>
          <w:sz w:val="18"/>
          <w:szCs w:val="18"/>
          <w:highlight w:val="none"/>
        </w:rPr>
        <w:t>：023-68157555。</w:t>
      </w:r>
    </w:p>
    <w:p w14:paraId="424F740C">
      <w:pPr>
        <w:widowControl/>
        <w:spacing w:line="320" w:lineRule="exact"/>
        <w:ind w:firstLine="360" w:firstLineChars="200"/>
        <w:outlineLvl w:val="1"/>
        <w:rPr>
          <w:rFonts w:ascii="宋体" w:hAnsi="宋体" w:cs="宋体"/>
          <w:color w:val="auto"/>
          <w:sz w:val="18"/>
          <w:szCs w:val="18"/>
          <w:highlight w:val="none"/>
        </w:rPr>
      </w:pPr>
      <w:r>
        <w:rPr>
          <w:rFonts w:hint="eastAsia" w:ascii="宋体" w:hAnsi="宋体" w:cs="宋体"/>
          <w:b/>
          <w:bCs/>
          <w:color w:val="auto"/>
          <w:kern w:val="0"/>
          <w:sz w:val="18"/>
          <w:szCs w:val="18"/>
          <w:highlight w:val="none"/>
        </w:rPr>
        <w:t>第七条：</w:t>
      </w:r>
      <w:r>
        <w:rPr>
          <w:rFonts w:hint="eastAsia" w:ascii="宋体" w:hAnsi="宋体" w:cs="宋体"/>
          <w:color w:val="auto"/>
          <w:sz w:val="18"/>
          <w:szCs w:val="18"/>
          <w:highlight w:val="none"/>
        </w:rPr>
        <w:t>未经公司制度特别规定或正式授权，员工在本合同/协议/或其他书面材料签章的行为，不对外产生效力。</w:t>
      </w:r>
    </w:p>
    <w:p w14:paraId="2FB00F16">
      <w:pPr>
        <w:pStyle w:val="67"/>
        <w:spacing w:line="320" w:lineRule="exact"/>
        <w:rPr>
          <w:color w:val="auto"/>
          <w:highlight w:val="none"/>
        </w:rPr>
      </w:pPr>
    </w:p>
    <w:p w14:paraId="08976474">
      <w:pPr>
        <w:pStyle w:val="67"/>
        <w:spacing w:line="320" w:lineRule="exact"/>
        <w:rPr>
          <w:color w:val="auto"/>
          <w:highlight w:val="none"/>
        </w:rPr>
      </w:pPr>
    </w:p>
    <w:p w14:paraId="762DF774">
      <w:pPr>
        <w:spacing w:line="320" w:lineRule="exact"/>
        <w:ind w:left="210" w:leftChars="100" w:firstLine="180" w:firstLineChars="100"/>
        <w:rPr>
          <w:color w:val="auto"/>
          <w:sz w:val="18"/>
          <w:highlight w:val="none"/>
        </w:rPr>
      </w:pPr>
      <w:r>
        <w:rPr>
          <w:rFonts w:hint="eastAsia"/>
          <w:b/>
          <w:color w:val="auto"/>
          <w:sz w:val="18"/>
          <w:highlight w:val="none"/>
        </w:rPr>
        <w:t>发包人（买方）</w:t>
      </w:r>
      <w:r>
        <w:rPr>
          <w:b/>
          <w:color w:val="auto"/>
          <w:sz w:val="18"/>
          <w:highlight w:val="none"/>
        </w:rPr>
        <w:t>名称：重庆国际复合材料股份有限公司</w:t>
      </w:r>
      <w:r>
        <w:rPr>
          <w:rFonts w:hint="eastAsia"/>
          <w:b/>
          <w:color w:val="auto"/>
          <w:sz w:val="18"/>
          <w:highlight w:val="none"/>
        </w:rPr>
        <w:t xml:space="preserve"> </w:t>
      </w:r>
      <w:r>
        <w:rPr>
          <w:b/>
          <w:color w:val="auto"/>
          <w:sz w:val="18"/>
          <w:highlight w:val="none"/>
        </w:rPr>
        <w:t xml:space="preserve">              </w:t>
      </w:r>
      <w:r>
        <w:rPr>
          <w:rFonts w:hint="eastAsia"/>
          <w:b/>
          <w:color w:val="auto"/>
          <w:sz w:val="18"/>
          <w:highlight w:val="none"/>
        </w:rPr>
        <w:t>承包人（卖方）</w:t>
      </w:r>
      <w:r>
        <w:rPr>
          <w:b/>
          <w:color w:val="auto"/>
          <w:sz w:val="18"/>
          <w:highlight w:val="none"/>
        </w:rPr>
        <w:t>名称：</w:t>
      </w:r>
      <w:r>
        <w:rPr>
          <w:rFonts w:hint="eastAsia"/>
          <w:b/>
          <w:color w:val="auto"/>
          <w:sz w:val="18"/>
          <w:highlight w:val="none"/>
        </w:rPr>
        <w:t xml:space="preserve">  </w:t>
      </w:r>
      <w:r>
        <w:rPr>
          <w:b/>
          <w:color w:val="auto"/>
          <w:sz w:val="18"/>
          <w:highlight w:val="none"/>
        </w:rPr>
        <w:t xml:space="preserve">           </w:t>
      </w:r>
      <w:r>
        <w:rPr>
          <w:rFonts w:hint="eastAsia"/>
          <w:b/>
          <w:color w:val="auto"/>
          <w:sz w:val="18"/>
          <w:highlight w:val="none"/>
        </w:rPr>
        <w:t xml:space="preserve">                  </w:t>
      </w:r>
    </w:p>
    <w:p w14:paraId="1FBC2445">
      <w:pPr>
        <w:spacing w:line="320" w:lineRule="exact"/>
        <w:rPr>
          <w:color w:val="auto"/>
          <w:sz w:val="18"/>
          <w:highlight w:val="none"/>
        </w:rPr>
      </w:pPr>
    </w:p>
    <w:p w14:paraId="1F440B9E">
      <w:pPr>
        <w:spacing w:line="320" w:lineRule="exact"/>
        <w:ind w:firstLine="360" w:firstLineChars="200"/>
        <w:rPr>
          <w:b/>
          <w:color w:val="auto"/>
          <w:sz w:val="18"/>
          <w:highlight w:val="none"/>
        </w:rPr>
      </w:pPr>
      <w:r>
        <w:rPr>
          <w:b/>
          <w:color w:val="auto"/>
          <w:sz w:val="18"/>
          <w:highlight w:val="none"/>
        </w:rPr>
        <w:t xml:space="preserve">代表签字（盖章）：    </w:t>
      </w:r>
      <w:r>
        <w:rPr>
          <w:rFonts w:hint="eastAsia"/>
          <w:b/>
          <w:color w:val="auto"/>
          <w:sz w:val="18"/>
          <w:highlight w:val="none"/>
        </w:rPr>
        <w:t xml:space="preserve">                                        </w:t>
      </w:r>
      <w:r>
        <w:rPr>
          <w:b/>
          <w:color w:val="auto"/>
          <w:sz w:val="18"/>
          <w:highlight w:val="none"/>
        </w:rPr>
        <w:t>代表签字（盖章）：</w:t>
      </w:r>
    </w:p>
    <w:p w14:paraId="518A2F52">
      <w:pPr>
        <w:spacing w:line="320" w:lineRule="exact"/>
        <w:rPr>
          <w:b/>
          <w:color w:val="auto"/>
          <w:sz w:val="18"/>
          <w:highlight w:val="none"/>
        </w:rPr>
      </w:pPr>
    </w:p>
    <w:p w14:paraId="3B45F200">
      <w:pPr>
        <w:spacing w:line="320" w:lineRule="exact"/>
        <w:ind w:firstLine="360" w:firstLineChars="200"/>
        <w:rPr>
          <w:color w:val="auto"/>
          <w:highlight w:val="none"/>
        </w:rPr>
      </w:pPr>
      <w:r>
        <w:rPr>
          <w:b/>
          <w:color w:val="auto"/>
          <w:sz w:val="18"/>
          <w:highlight w:val="none"/>
        </w:rPr>
        <w:t xml:space="preserve">日期：                        </w:t>
      </w:r>
      <w:r>
        <w:rPr>
          <w:rFonts w:hint="eastAsia"/>
          <w:b/>
          <w:color w:val="auto"/>
          <w:sz w:val="18"/>
          <w:highlight w:val="none"/>
        </w:rPr>
        <w:t xml:space="preserve">                               </w:t>
      </w:r>
      <w:r>
        <w:rPr>
          <w:b/>
          <w:color w:val="auto"/>
          <w:sz w:val="18"/>
          <w:highlight w:val="none"/>
        </w:rPr>
        <w:t xml:space="preserve">日期： </w:t>
      </w:r>
    </w:p>
    <w:p w14:paraId="452CA8E3">
      <w:pPr>
        <w:wordWrap w:val="0"/>
        <w:topLinePunct/>
        <w:autoSpaceDE w:val="0"/>
        <w:autoSpaceDN w:val="0"/>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 xml:space="preserve"> </w:t>
      </w:r>
    </w:p>
    <w:p w14:paraId="41D523D2">
      <w:pPr>
        <w:rPr>
          <w:rFonts w:eastAsia="仿宋_GB2312"/>
          <w:color w:val="auto"/>
          <w:sz w:val="30"/>
          <w:szCs w:val="30"/>
          <w:highlight w:val="none"/>
        </w:rPr>
      </w:pPr>
      <w:r>
        <w:rPr>
          <w:rFonts w:eastAsia="仿宋_GB2312"/>
          <w:color w:val="auto"/>
          <w:sz w:val="30"/>
          <w:szCs w:val="30"/>
          <w:highlight w:val="none"/>
        </w:rPr>
        <w:br w:type="page"/>
      </w:r>
    </w:p>
    <w:p w14:paraId="5AFE88C4">
      <w:pPr>
        <w:spacing w:line="440" w:lineRule="exact"/>
        <w:rPr>
          <w:rFonts w:eastAsia="仿宋_GB2312"/>
          <w:color w:val="auto"/>
          <w:sz w:val="30"/>
          <w:szCs w:val="30"/>
          <w:highlight w:val="none"/>
        </w:rPr>
      </w:pPr>
      <w:r>
        <w:rPr>
          <w:rFonts w:eastAsia="仿宋_GB2312"/>
          <w:color w:val="auto"/>
          <w:sz w:val="30"/>
          <w:szCs w:val="30"/>
          <w:highlight w:val="none"/>
        </w:rPr>
        <w:t>附件3：</w:t>
      </w:r>
    </w:p>
    <w:p w14:paraId="165C863B">
      <w:pPr>
        <w:pStyle w:val="2"/>
        <w:keepNext w:val="0"/>
        <w:keepLines w:val="0"/>
        <w:widowControl/>
        <w:autoSpaceDE w:val="0"/>
        <w:spacing w:before="140"/>
        <w:jc w:val="center"/>
        <w:rPr>
          <w:rFonts w:ascii="宋体" w:hAnsi="宋体" w:cs="宋体"/>
          <w:color w:val="auto"/>
          <w:sz w:val="32"/>
          <w:szCs w:val="32"/>
          <w:highlight w:val="none"/>
        </w:rPr>
      </w:pPr>
      <w:r>
        <w:rPr>
          <w:rFonts w:hint="eastAsia" w:ascii="宋体" w:hAnsi="宋体" w:cs="宋体"/>
          <w:color w:val="auto"/>
          <w:sz w:val="32"/>
          <w:szCs w:val="32"/>
          <w:highlight w:val="none"/>
        </w:rPr>
        <w:t>安全环保管理协议</w:t>
      </w:r>
    </w:p>
    <w:p w14:paraId="74A9A29B">
      <w:pPr>
        <w:rPr>
          <w:rFonts w:ascii="Calibri" w:hAnsi="Calibri"/>
          <w:color w:val="auto"/>
          <w:szCs w:val="21"/>
          <w:highlight w:val="none"/>
        </w:rPr>
      </w:pPr>
      <w:r>
        <w:rPr>
          <w:rFonts w:hint="eastAsia" w:ascii="Calibri" w:hAnsi="Calibri"/>
          <w:color w:val="auto"/>
          <w:kern w:val="0"/>
          <w:szCs w:val="21"/>
          <w:highlight w:val="none"/>
          <w:lang w:bidi="ar"/>
        </w:rPr>
        <w:t xml:space="preserve"> </w:t>
      </w:r>
    </w:p>
    <w:p w14:paraId="49D8DC15">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发包人（全称）：重庆国际复合材料股份有限公司</w:t>
      </w:r>
    </w:p>
    <w:p w14:paraId="32C91330">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承包人（全称）：</w:t>
      </w:r>
    </w:p>
    <w:p w14:paraId="09140E30">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5E343246">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根据《安全生产法》《重庆市安全生产条例》等有关规定，基于已签订的合同文件，为进一步明确双方在承揽的（☑工程项目、£设备设施安装、□检维修施工）时的安全、环保、消防职责和义务，落实 “谁发包、谁负责”“谁用工、谁管理”“属地管理” 和 “全过程、一体化” 管理原则，全面推行 “五个一”（一套标准、一套考核、一体运作、一个团队、一种文化）一体化管理模式，经双方协商同意后签订本协议，以期共同遵守。</w:t>
      </w:r>
    </w:p>
    <w:p w14:paraId="07A2E0A2">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一、核心协议内容</w:t>
      </w:r>
    </w:p>
    <w:p w14:paraId="02A9EEC0">
      <w:pPr>
        <w:pStyle w:val="4"/>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（一）发包企业安全规章制度告知</w:t>
      </w:r>
    </w:p>
    <w:p w14:paraId="59B3FE29">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1、发包人应向承包人全面告知公司安全环保规章制度、应急处理程序、“吹哨人” 及隐患内部报告制度（含奖励标准）、安全生产十大禁令、《云天化集团承包商安全管理指南》等核心要求，提供制度文本供承包人存档查阅，并通过专题培训或书面签收等方式确保承包人及全体从业人员知晓、理解并承诺遵守。</w:t>
      </w:r>
    </w:p>
    <w:p w14:paraId="2C388D4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2、承包人应组织内部全员传达学习发包人安全规章制度，留存学习记录备查，并将相关要求融入自身安全管理体系，确保落地执行。</w:t>
      </w:r>
    </w:p>
    <w:p w14:paraId="6F20C42A">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（二）双方工作范围</w:t>
      </w:r>
    </w:p>
    <w:p w14:paraId="06A2EB17">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1、发包人工作范围：</w:t>
      </w:r>
    </w:p>
    <w:p w14:paraId="3F679826">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提供符合安全要求的施工、维保场地，明确业务发包部门、使用部门及属地部门的具体职责分工，杜绝管理责任悬空。</w:t>
      </w:r>
    </w:p>
    <w:p w14:paraId="37B7E467">
      <w:pPr>
        <w:autoSpaceDE w:val="0"/>
        <w:spacing w:line="360" w:lineRule="auto"/>
        <w:ind w:firstLine="480" w:firstLineChars="200"/>
        <w:rPr>
          <w:rFonts w:ascii="宋体" w:hAnsi="宋体" w:cs="宋体"/>
          <w:color w:val="auto"/>
          <w:sz w:val="24"/>
          <w:szCs w:val="24"/>
          <w:highlight w:val="none"/>
        </w:rPr>
      </w:pPr>
      <w:r>
        <w:rPr>
          <w:rFonts w:hint="eastAsia" w:ascii="宋体" w:hAnsi="宋体" w:cs="宋体"/>
          <w:color w:val="auto"/>
          <w:kern w:val="0"/>
          <w:sz w:val="24"/>
          <w:szCs w:val="24"/>
          <w:highlight w:val="none"/>
          <w:lang w:bidi="ar"/>
        </w:rPr>
        <w:t>发包人对应部门：</w:t>
      </w:r>
    </w:p>
    <w:p w14:paraId="51A86ED8">
      <w:pPr>
        <w:autoSpaceDE w:val="0"/>
        <w:spacing w:line="360" w:lineRule="auto"/>
        <w:ind w:firstLine="480" w:firstLineChars="200"/>
        <w:rPr>
          <w:rFonts w:ascii="宋体" w:hAnsi="宋体" w:cs="宋体"/>
          <w:color w:val="auto"/>
          <w:sz w:val="24"/>
          <w:szCs w:val="24"/>
          <w:highlight w:val="none"/>
          <w:u w:val="single"/>
        </w:rPr>
      </w:pPr>
      <w:r>
        <w:rPr>
          <w:rFonts w:hint="eastAsia" w:ascii="宋体" w:hAnsi="宋体" w:cs="宋体"/>
          <w:color w:val="auto"/>
          <w:kern w:val="0"/>
          <w:sz w:val="24"/>
          <w:szCs w:val="24"/>
          <w:highlight w:val="none"/>
          <w:lang w:bidi="ar"/>
        </w:rPr>
        <w:t>发包部门：</w:t>
      </w:r>
      <w:r>
        <w:rPr>
          <w:rFonts w:hint="eastAsia" w:ascii="宋体" w:hAnsi="宋体" w:cs="宋体"/>
          <w:color w:val="auto"/>
          <w:kern w:val="0"/>
          <w:sz w:val="24"/>
          <w:szCs w:val="24"/>
          <w:highlight w:val="none"/>
          <w:u w:val="single"/>
          <w:lang w:bidi="ar"/>
        </w:rPr>
        <w:t xml:space="preserve">XXXXXX  </w:t>
      </w:r>
    </w:p>
    <w:p w14:paraId="208DA4DD">
      <w:pPr>
        <w:autoSpaceDE w:val="0"/>
        <w:spacing w:line="360" w:lineRule="auto"/>
        <w:ind w:firstLine="480" w:firstLineChars="200"/>
        <w:rPr>
          <w:rFonts w:ascii="宋体" w:hAnsi="宋体" w:cs="宋体"/>
          <w:color w:val="auto"/>
          <w:sz w:val="24"/>
          <w:szCs w:val="24"/>
          <w:highlight w:val="none"/>
          <w:u w:val="single"/>
        </w:rPr>
      </w:pPr>
      <w:r>
        <w:rPr>
          <w:rFonts w:hint="eastAsia" w:ascii="宋体" w:hAnsi="宋体" w:cs="宋体"/>
          <w:color w:val="auto"/>
          <w:kern w:val="0"/>
          <w:sz w:val="24"/>
          <w:szCs w:val="24"/>
          <w:highlight w:val="none"/>
          <w:lang w:bidi="ar"/>
        </w:rPr>
        <w:t>使用部门：</w:t>
      </w:r>
      <w:r>
        <w:rPr>
          <w:rFonts w:hint="eastAsia" w:ascii="宋体" w:hAnsi="宋体" w:cs="宋体"/>
          <w:color w:val="auto"/>
          <w:kern w:val="0"/>
          <w:sz w:val="24"/>
          <w:szCs w:val="24"/>
          <w:highlight w:val="none"/>
          <w:u w:val="single"/>
          <w:lang w:bidi="ar"/>
        </w:rPr>
        <w:t xml:space="preserve">项目办  </w:t>
      </w:r>
      <w:r>
        <w:rPr>
          <w:rFonts w:hint="eastAsia" w:ascii="宋体" w:hAnsi="宋体" w:cs="宋体"/>
          <w:color w:val="auto"/>
          <w:kern w:val="0"/>
          <w:sz w:val="24"/>
          <w:szCs w:val="24"/>
          <w:highlight w:val="none"/>
          <w:u w:val="thick"/>
          <w:lang w:bidi="ar"/>
        </w:rPr>
        <w:t xml:space="preserve">   </w:t>
      </w:r>
      <w:r>
        <w:rPr>
          <w:rFonts w:hint="eastAsia" w:ascii="宋体" w:hAnsi="宋体" w:cs="宋体"/>
          <w:color w:val="auto"/>
          <w:kern w:val="0"/>
          <w:sz w:val="24"/>
          <w:szCs w:val="24"/>
          <w:highlight w:val="none"/>
          <w:lang w:bidi="ar"/>
        </w:rPr>
        <w:t xml:space="preserve"> </w:t>
      </w:r>
      <w:r>
        <w:rPr>
          <w:rFonts w:hint="eastAsia" w:ascii="宋体" w:hAnsi="宋体" w:cs="宋体"/>
          <w:color w:val="auto"/>
          <w:kern w:val="0"/>
          <w:sz w:val="24"/>
          <w:szCs w:val="24"/>
          <w:highlight w:val="none"/>
          <w:u w:val="single"/>
          <w:lang w:bidi="ar"/>
        </w:rPr>
        <w:t xml:space="preserve">         </w:t>
      </w:r>
    </w:p>
    <w:p w14:paraId="450EEF8B">
      <w:pPr>
        <w:autoSpaceDE w:val="0"/>
        <w:spacing w:line="360" w:lineRule="auto"/>
        <w:ind w:firstLine="480" w:firstLineChars="200"/>
        <w:rPr>
          <w:rFonts w:ascii="宋体" w:hAnsi="宋体" w:cs="宋体"/>
          <w:color w:val="auto"/>
          <w:sz w:val="24"/>
          <w:szCs w:val="24"/>
          <w:highlight w:val="none"/>
        </w:rPr>
      </w:pPr>
      <w:r>
        <w:rPr>
          <w:rFonts w:hint="eastAsia" w:ascii="宋体" w:hAnsi="宋体" w:cs="宋体"/>
          <w:color w:val="auto"/>
          <w:kern w:val="0"/>
          <w:sz w:val="24"/>
          <w:szCs w:val="24"/>
          <w:highlight w:val="none"/>
          <w:lang w:bidi="ar"/>
        </w:rPr>
        <w:t>属地部门：</w:t>
      </w:r>
      <w:r>
        <w:rPr>
          <w:rFonts w:hint="eastAsia" w:ascii="宋体" w:hAnsi="宋体" w:cs="宋体"/>
          <w:color w:val="auto"/>
          <w:kern w:val="0"/>
          <w:sz w:val="24"/>
          <w:szCs w:val="24"/>
          <w:highlight w:val="none"/>
          <w:u w:val="single"/>
          <w:lang w:bidi="ar"/>
        </w:rPr>
        <w:t xml:space="preserve">XXXXXX                        </w:t>
      </w:r>
    </w:p>
    <w:p w14:paraId="5BD834AE">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对承包人开展准入审查、安全培训考核、作业过程监督检查，统筹协调同一作业区域多承包商的安全管理；建立承包人管理档案，实施安全绩效评价、合格承包商名录及黑名单动态管理。</w:t>
      </w:r>
    </w:p>
    <w:p w14:paraId="4245F87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组织开展安全赋能与文化融合活动，监督承包人 “吹哨人” 及隐患内部报告制度的建立与执行，保障奖励资金落实。</w:t>
      </w:r>
    </w:p>
    <w:p w14:paraId="47273746">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2、承包人工作范围：</w:t>
      </w:r>
    </w:p>
    <w:p w14:paraId="4FA38D46">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按照合同约定完成承揽业务，履行安全生产主体责任，接受发包人及相关单位的监督管理。</w:t>
      </w:r>
    </w:p>
    <w:p w14:paraId="723F856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建立健全安全管理体系，配备相应安全管理人员，保障安全生产资金投入，落实各项安全环保措施；开展从业人员安全培训、职业健康监护、保险投保等工作。</w:t>
      </w:r>
    </w:p>
    <w:p w14:paraId="3B04C288">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建立并执行 “吹哨人” 及隐患内部报告制度，及时排查治理安全隐患，妥善处置事故事件。</w:t>
      </w:r>
    </w:p>
    <w:p w14:paraId="009F9D3E">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（三）安全责任划分</w:t>
      </w:r>
    </w:p>
    <w:p w14:paraId="08227544">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1、发包人责任：</w:t>
      </w:r>
    </w:p>
    <w:p w14:paraId="69A7973D">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履行安全规章制度告知、安全培训考核、作业现场监督检查等职责，对发现的隐患有权采取停工整改、扣除违约金、责令更换人员设备等措施。</w:t>
      </w:r>
    </w:p>
    <w:p w14:paraId="1472ECE7">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统筹协调承包商安全管理工作，每季度组织召开承包商安全管理会议，通报管理情况及问题；将承包商安全管理纳入本单位年度安全环保绩效考核体系。</w:t>
      </w:r>
    </w:p>
    <w:p w14:paraId="5539018C">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同一作业区域有两个或两个以上承包商作业时，组织签订安全生产管理协议，明确各自安全职责；指导与监督承包人 “吹哨人” 制度执行，将其纳入安全文化建设和考核范畴。</w:t>
      </w:r>
    </w:p>
    <w:p w14:paraId="02BF2E8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2、承包人责任：</w:t>
      </w:r>
    </w:p>
    <w:p w14:paraId="67832B76">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承担施工安全主体责任，建立安全生产管理机构，配备专（兼）职安全生产管理人员，健全安全生产责任制和管理制度；保障安全生产资金投入。</w:t>
      </w:r>
    </w:p>
    <w:p w14:paraId="4836B7D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负责从业人员的培训、管理、健康监护及保险投保，确保特种作业人员、特种设备作业人员 100% 持有效操作资格证上岗。</w:t>
      </w:r>
    </w:p>
    <w:p w14:paraId="6297E15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发生事故事件后，现场负责人 30 分钟内报至发包人对口管理人员（特殊情况可越级上报），严禁迟报、漏报、谎报或瞒报；配合发包人在 1 小时内上报属地应急管理部门及主管部门，按 “四不放过” 原则调查处理并承担相应责任。</w:t>
      </w:r>
    </w:p>
    <w:p w14:paraId="7F60FCA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严格执行 “吹哨人” 及隐患内部报告制度，设立专项奖励，及时兑现奖励并建立台账，接受发包人监督。</w:t>
      </w:r>
    </w:p>
    <w:p w14:paraId="341D0BBE">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（四）安全管理规定</w:t>
      </w:r>
    </w:p>
    <w:p w14:paraId="3781E42A">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1、人员管理：</w:t>
      </w:r>
    </w:p>
    <w:p w14:paraId="616781ED">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承包人主要负责人、项目（现场）负责人、安全管理人员等关键岗位人员，需在入场前经发包人审核备案；任职期间确需调整的，应提前报请发包人批准，未经批准不得擅自变更。</w:t>
      </w:r>
    </w:p>
    <w:p w14:paraId="17B70E2F">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控制人员流动率（月流动率 = 当月非因项目正常结束而离场的人员数量 ÷ 月初作业人员总数量 ×100%；月均作业人数超 50 人时≤15%，50 人及以下时≤20% 且绝对人数≤5 人），确保关键岗位及作业人员相对稳定。</w:t>
      </w:r>
    </w:p>
    <w:p w14:paraId="42EEBB18">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从业人员应与承包人依法签订劳动合同，无职业禁忌，按规定参加职业健康体检；进入重大危险源区域的人员需提供无犯罪记录证明。</w:t>
      </w:r>
    </w:p>
    <w:p w14:paraId="1B40FD69">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2、作业管理：</w:t>
      </w:r>
    </w:p>
    <w:p w14:paraId="2AE6412E">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特殊作业及风险较高作业需配备具备监护能力的现场监护人员；高风险作业（特级、一级动火作业，涉及有毒有害、易燃易爆介质的受限空间作业，Ⅲ、Ⅳ 级高处作业，一级吊装作业等）执行 “双监护” 制度（发包企业和承包人各指派 1 名专人共同监护，必要时安排专职消防队监护），双方承担连带责任。</w:t>
      </w:r>
    </w:p>
    <w:p w14:paraId="22ECF6E5">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特殊作业严格执行发包人特殊作业安全管理规定，办理作业许可审批及安全技术交底，全程监护；作业现场控制人数，特殊作业风险区域原则上不超过 6 人。</w:t>
      </w:r>
    </w:p>
    <w:p w14:paraId="5CAAE1DF">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交叉作业需办理书面告知手续，签订安全生产管理协议；作业变更遵循 “风险分级、管控前置” 原则，重大变更需修订协议及方案并经发包人批准。</w:t>
      </w:r>
    </w:p>
    <w:p w14:paraId="40EC3AEA">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3、现场管理：</w:t>
      </w:r>
    </w:p>
    <w:p w14:paraId="45A822B5">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按发包人核定的施工平面布置图设置临时设施，堆放材料、机具设备，不得侵占场内道路及安全防护设施；保持施工现场道路畅通、场容整洁，做到工完、料尽、场地清。</w:t>
      </w:r>
    </w:p>
    <w:p w14:paraId="7D4ABF8E">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建立施工现场消防安全责任制度，设置消防通道、水源及灭火器材，在现场入口处及危险部位设置明显安全警示标志；严格遵守厂区禁烟、治安保卫规定，按指定路线行走。</w:t>
      </w:r>
    </w:p>
    <w:p w14:paraId="24C63E8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落实作业现场安全保卫及环保措施，控制粉尘、废气、废水、噪声等污染；按要求分类处置废弃物，危险废弃物需按指定方式存放处置。</w:t>
      </w:r>
    </w:p>
    <w:p w14:paraId="46613129">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4、设备与防护用品管理：</w:t>
      </w:r>
    </w:p>
    <w:p w14:paraId="374568C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承包人拟进场的工机具及劳动防护用品需经发包人使用部门检验标识，提供检维修记录、检定证明等材料，不满足标准要求的不得进场。</w:t>
      </w:r>
    </w:p>
    <w:p w14:paraId="3C50AB95">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承包人为从业人员提供符合国家标准或行业标准的劳动防护用品，确保规范使用；定期对工机具进行维护保养，特种设备需具备合格检验标识且在检验周期内。</w:t>
      </w:r>
    </w:p>
    <w:p w14:paraId="3BD4C1C7">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（五）安全风险及安全措施要求</w:t>
      </w:r>
    </w:p>
    <w:p w14:paraId="546B2D09">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1、发包人应向承包人明确作业区域的危险有害因素、重大危险源分布及防控要求；承包人需如实告知从业人员作业场所的危险有害因素、防范措施及事故应急措施。</w:t>
      </w:r>
    </w:p>
    <w:p w14:paraId="45B7F3D6">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2、承包人需编制安全技术方案及专项安全施工方案（危险性较大项目需组织专家论证），报发包人或监理单位审批后实施；作业前组织风险辨识，工艺条件、作业环境变化时重新进行风险分析。</w:t>
      </w:r>
    </w:p>
    <w:p w14:paraId="5074EE0D">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3、针对高风险作业、特殊作业及重大危险源相关作业，制定专项安全措施，落实能量隔离、通风、检测、防护等要求；特级动火、受限空间作业实现视频监控全过程覆盖。</w:t>
      </w:r>
    </w:p>
    <w:p w14:paraId="19571F62">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4、发包人应对作业现场及作业环境的安全条件进行检查，确认风险管控措施全部落实到位后，方可允许承包人开工。</w:t>
      </w:r>
    </w:p>
    <w:p w14:paraId="453FA031">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（六）安全教育培训</w:t>
      </w:r>
    </w:p>
    <w:p w14:paraId="575052B7">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1、发包人培训：</w:t>
      </w:r>
    </w:p>
    <w:p w14:paraId="0E8EB6D8">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对承包人人员进场前进行分级安全教育培训（长期合作人员实施三级培训，短期专项作业人员实施二级培训），由安全环保部门、使用部门及属地管理部门逐级实施（二级培训由安全环保部门及属地管理部门实施），培训内容包括企业安全规章制度、“吹哨人” 制度、作业风险及应急处置等。</w:t>
      </w:r>
    </w:p>
    <w:p w14:paraId="4E06C2F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培训后组织考核，考核合格后方允许入场；建立培训档案，记录培训、考核情况，实行全程追溯管理。</w:t>
      </w:r>
    </w:p>
    <w:p w14:paraId="799D00EA">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2、承包人培训：</w:t>
      </w:r>
    </w:p>
    <w:p w14:paraId="6AE6AF63">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入场前自主开展安全培训，向发包人提供作业人员培训及考核合格的书面材料；发生人员、工艺、设备、方案或环境变更时，需对作业人员进行专项培训，考核合格后上岗并报发包人备案。</w:t>
      </w:r>
    </w:p>
    <w:p w14:paraId="18C23F87">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主要负责人和安全生产管理人员（高危行业）必须 100% 取得安全生产知识和管理能力考核合格证；定期组织从业人员进行安全生产再培训及能力评价。</w:t>
      </w:r>
    </w:p>
    <w:p w14:paraId="78013D8F">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（七）应急处置</w:t>
      </w:r>
    </w:p>
    <w:p w14:paraId="5F96C379">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1、承包人应编制应急预案并定期组织应急演练，储备必要的应急物资，确保从业人员清楚应急处置流程和紧急联系方式。</w:t>
      </w:r>
    </w:p>
    <w:p w14:paraId="4DC0FAFA">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2、发生事故事件后，立即组织力量抢救伤员，防止事态扩大，保护事故现场并做好记录、拍照取证；人员伤亡事故立即送医救治或拨打 120 急救电话，情况紧急时可就近抢救，伤情平稳后转至工伤定点医院。</w:t>
      </w:r>
    </w:p>
    <w:p w14:paraId="4626FE9A">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3、发包人相关部门接到报告后立即赶赴现场协助处理，按规定开展事故调查；调查组包含双方安全管理人员、专业技术人员及工会代表（重伤以上）。</w:t>
      </w:r>
    </w:p>
    <w:p w14:paraId="32DFEA92">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4、事故调查处理权限：微伤事故由事故所在单位或发包人调查处理；轻微伤及以上事故由发包人组织调查处理；重伤 3 人以上及死亡事故按规定由政府部门或其授权单位调查处理。</w:t>
      </w:r>
    </w:p>
    <w:p w14:paraId="058925D4">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（八）终止施工特殊条款</w:t>
      </w:r>
    </w:p>
    <w:p w14:paraId="461DD182">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1、承包人存在下列情形之一的，发包人有权将承包人列为</w:t>
      </w:r>
      <w:r>
        <w:rPr>
          <w:rFonts w:hint="eastAsia" w:ascii="宋体" w:hAnsi="宋体" w:cs="宋体"/>
          <w:b/>
          <w:bCs/>
          <w:color w:val="auto"/>
          <w:kern w:val="0"/>
          <w:szCs w:val="24"/>
          <w:highlight w:val="none"/>
          <w:lang w:bidi="ar"/>
        </w:rPr>
        <w:t>黑名单</w:t>
      </w:r>
      <w:r>
        <w:rPr>
          <w:rFonts w:hint="eastAsia" w:ascii="宋体" w:hAnsi="宋体" w:cs="宋体"/>
          <w:color w:val="auto"/>
          <w:kern w:val="0"/>
          <w:szCs w:val="24"/>
          <w:highlight w:val="none"/>
          <w:lang w:bidi="ar"/>
        </w:rPr>
        <w:t>且有权立即终止施工并解除合同：</w:t>
      </w:r>
      <w:r>
        <w:rPr>
          <w:rFonts w:hint="eastAsia" w:ascii="宋体" w:hAnsi="宋体" w:cs="宋体"/>
          <w:b/>
          <w:bCs/>
          <w:color w:val="auto"/>
          <w:kern w:val="0"/>
          <w:szCs w:val="24"/>
          <w:highlight w:val="none"/>
          <w:lang w:bidi="ar"/>
        </w:rPr>
        <w:t>（承包商被列入黑名单的管理期限原则上为三年，自云天化集团HSE 数字化系统终审公示之日起计算。）</w:t>
      </w:r>
    </w:p>
    <w:p w14:paraId="136D36ED">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存在严重安全违规行为，如拒不执行安全监管指令、伪造资质证书、瞒报事故、或执行“三次提醒”机制（二次提醒：由责任部门与承包人管理层召开警示会议，约谈承包人管理层，限期一个月内完成加整改；三次提醒：列入黑名单，立即终止合同）。</w:t>
      </w:r>
    </w:p>
    <w:p w14:paraId="04F5EAB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（2）安全绩效评价结果连续两次为C级，或一次C级且整改不力，安全能力不达标。</w:t>
      </w:r>
    </w:p>
    <w:p w14:paraId="6AD52712">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（3）发生较大及以上生产安全责任事故，或一年内发生两起及以上一般生产安全责任事故。</w:t>
      </w:r>
    </w:p>
    <w:p w14:paraId="172D073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（4）承包商单位或相关人员在考核周期内，安全记分累计达到规定上限值。</w:t>
      </w:r>
    </w:p>
    <w:p w14:paraId="086C803D">
      <w:pPr>
        <w:pStyle w:val="18"/>
        <w:numPr>
          <w:ilvl w:val="0"/>
          <w:numId w:val="8"/>
        </w:numPr>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违反安全生产法律法规、集团规章制度或合同约定，情节严重，对安全生产造成重大隐患或不良影响的其他情形。</w:t>
      </w:r>
    </w:p>
    <w:p w14:paraId="78905BFF">
      <w:pPr>
        <w:pStyle w:val="18"/>
        <w:autoSpaceDE w:val="0"/>
        <w:spacing w:line="360" w:lineRule="auto"/>
        <w:ind w:left="420" w:leftChars="200"/>
        <w:jc w:val="left"/>
        <w:rPr>
          <w:rFonts w:ascii="宋体" w:hAnsi="宋体" w:cs="宋体"/>
          <w:color w:val="auto"/>
          <w:szCs w:val="24"/>
          <w:highlight w:val="none"/>
        </w:rPr>
      </w:pPr>
      <w:r>
        <w:rPr>
          <w:rFonts w:hint="eastAsia" w:ascii="宋体" w:hAnsi="宋体" w:cs="宋体"/>
          <w:color w:val="auto"/>
          <w:kern w:val="0"/>
          <w:szCs w:val="24"/>
          <w:highlight w:val="none"/>
          <w:lang w:bidi="ar"/>
        </w:rPr>
        <w:t>2、因终止施工造成的损失由承包人承担，发包人有权追究承包人的违约责任。</w:t>
      </w:r>
    </w:p>
    <w:p w14:paraId="25BFD524">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（九）考核及奖励规定</w:t>
      </w:r>
    </w:p>
    <w:p w14:paraId="63FB02CB">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1、发包人对承包人实行日常检查、专项检查、月度检查、季度考核、每半年综合评估与年度综合评价相结合的安全绩效评价机制，评价结果分为 A、B、C 三级（A 级：得分≥90 分；B 级：70 分≤得分＜90 分；C 级：得分＜70 分）。（详见附件3：承包商评价表）</w:t>
      </w:r>
    </w:p>
    <w:p w14:paraId="2A4F57D6">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2、评价内容包括资质与合规管理、安全培训与能力、作业过程安全控制、安全绩效与改进、综合管理与文化等，其中 “吹哨人” 制度执行效果为核心评价指标之一。</w:t>
      </w:r>
    </w:p>
    <w:p w14:paraId="7DE1A10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3、评价结果应用及分级管理：</w:t>
      </w:r>
    </w:p>
    <w:p w14:paraId="740212E7">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作为续聘、业务范围调整、合同续签的重要依据；</w:t>
      </w:r>
    </w:p>
    <w:p w14:paraId="4ED0982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连续两次 B 级降为 C 级，连续两次 C 级纳入黑名单；</w:t>
      </w:r>
    </w:p>
    <w:p w14:paraId="1C7747C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C 级承包人需提交整改申请，经发包人使用部门牵头，联合安全环保管理部门、属地部门共同审核批准后方可作业；</w:t>
      </w:r>
    </w:p>
    <w:p w14:paraId="152C1818">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对安全绩效优秀的承包人，给予业务优先、履约激励、声誉宣传等奖励。</w:t>
      </w:r>
    </w:p>
    <w:p w14:paraId="7D0CE1D2">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4、承包人从业人员存在下列行为之一，经查实，应立即清除出厂并纳入</w:t>
      </w:r>
      <w:r>
        <w:rPr>
          <w:rFonts w:hint="eastAsia" w:ascii="宋体" w:hAnsi="宋体" w:cs="宋体"/>
          <w:b/>
          <w:bCs/>
          <w:color w:val="auto"/>
          <w:kern w:val="0"/>
          <w:szCs w:val="24"/>
          <w:highlight w:val="none"/>
          <w:lang w:bidi="ar"/>
        </w:rPr>
        <w:t>个人黑名单（个人黑名单管理期限原则上为 1 至 3 年）</w:t>
      </w:r>
      <w:r>
        <w:rPr>
          <w:rFonts w:hint="eastAsia" w:ascii="宋体" w:hAnsi="宋体" w:cs="宋体"/>
          <w:color w:val="auto"/>
          <w:kern w:val="0"/>
          <w:szCs w:val="24"/>
          <w:highlight w:val="none"/>
          <w:lang w:bidi="ar"/>
        </w:rPr>
        <w:t>：</w:t>
      </w:r>
    </w:p>
    <w:p w14:paraId="55DD8634">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（1）发生生产安全责任事故的直接责任者；</w:t>
      </w:r>
    </w:p>
    <w:p w14:paraId="5C085825">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（2）伪造、变造、 冒用、转借相关资质证书、身份证明或入厂证件的；</w:t>
      </w:r>
    </w:p>
    <w:p w14:paraId="78943C09">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（3）在厂区内存在饮酒、吸毒、赌博、打架斗殴等严重违反劳动纪律行为；</w:t>
      </w:r>
    </w:p>
    <w:p w14:paraId="1E94A34B">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（4）无证、 冒名顶替或伪造审批手续从事特种作业、特种设备作业；</w:t>
      </w:r>
    </w:p>
    <w:p w14:paraId="1B865567">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（5）恶意隐瞒作业风险、破坏安全设施或拒不执行重大安全隐患停工指令；</w:t>
      </w:r>
    </w:p>
    <w:p w14:paraId="00CF27EB">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（6）一年内因同类 “ 三违”行为被处罚达到 3 次，或连续两个季度安全绩效评价为不合格；</w:t>
      </w:r>
    </w:p>
    <w:p w14:paraId="48F9B7E5">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（7）因盗窃、故意破坏等行为被查实并造成企业财产损失；</w:t>
      </w:r>
    </w:p>
    <w:p w14:paraId="50AFC0C7">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（8）其他被认定为严重违反安全生产规章制度或可能对企业安全生产造成极端恶劣影响的行为；（含违反 “安全生产十大禁令”（1、严禁谎报、瞒报事故。2、严禁携带火种进入易燃易爆区域。3、严禁高处作业不系安全带。4、严禁电气、焊接与热切割作业无证操作或未经许可作业。5、严禁在起重吊物上站人、吊物下行走或停留。6、严禁未经许可进入有限空间内作业。7、严禁无证驾驶机动车辆。8、严禁叉车门架下站人、用货叉或托盘带人作业。9、严禁未经批准解除安全联锁。10、严禁违章指挥，强令他人违章作业。））</w:t>
      </w:r>
    </w:p>
    <w:p w14:paraId="575F217A">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5、承包人违反本协议及发包人安全环保规章制度的，发包人可酌情给予暂停作业整改、更换管理人员或</w:t>
      </w:r>
      <w:r>
        <w:rPr>
          <w:rFonts w:hint="eastAsia" w:ascii="宋体" w:hAnsi="宋体" w:cs="宋体"/>
          <w:b/>
          <w:bCs/>
          <w:color w:val="auto"/>
          <w:kern w:val="0"/>
          <w:szCs w:val="24"/>
          <w:highlight w:val="none"/>
          <w:lang w:bidi="ar"/>
        </w:rPr>
        <w:t>经济扣罚</w:t>
      </w:r>
      <w:r>
        <w:rPr>
          <w:rFonts w:hint="eastAsia" w:ascii="宋体" w:hAnsi="宋体" w:cs="宋体"/>
          <w:color w:val="auto"/>
          <w:kern w:val="0"/>
          <w:szCs w:val="24"/>
          <w:highlight w:val="none"/>
          <w:lang w:bidi="ar"/>
        </w:rPr>
        <w:t>。见附件1安全违约考核标准</w:t>
      </w:r>
    </w:p>
    <w:p w14:paraId="6901418E">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6、发包人处罚通报以电子文档形式发送至承包人指定邮箱即生效，因处罚影响工期的后果由承包人承担，工期不予延长。</w:t>
      </w:r>
    </w:p>
    <w:p w14:paraId="53C13D46">
      <w:pPr>
        <w:pStyle w:val="4"/>
        <w:keepNext w:val="0"/>
        <w:keepLines w:val="0"/>
        <w:widowControl/>
        <w:autoSpaceDE w:val="0"/>
        <w:spacing w:before="120"/>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7、安全奖励（具体奖励金额见附件 2）</w:t>
      </w:r>
    </w:p>
    <w:p w14:paraId="701B28A3">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（十）安全管理机构设置及人员配置要求</w:t>
      </w:r>
    </w:p>
    <w:p w14:paraId="54E24BE2">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1、承包人应建立安全生产管理机构：高危行业或从业人数超过 100 人的，设置专门安全管理机构并配置专职安全管理人员；检维修、工程项目类承包人不论人员多少，必须配置专职安全管理人员（配置比例不低于从业人员的 2%）；其他承包人宜配置专职或兼职安全管理人员。</w:t>
      </w:r>
    </w:p>
    <w:p w14:paraId="5072202C">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2、承包人项目（现场）负责人应具备与所承揽业务相匹配的专业技术能力与安全管理经验，作业期间必须坚守现场履行职责，确需离开须指定符合资质要求的接替人员，并报发包人批准。</w:t>
      </w:r>
    </w:p>
    <w:p w14:paraId="05E2208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3、关键岗位人员需定期参加培训与履职能力评估，确保持续胜任岗位要求。</w:t>
      </w:r>
    </w:p>
    <w:p w14:paraId="1DCE199F">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（十一）从业人员及工机具管理要求</w:t>
      </w:r>
    </w:p>
    <w:p w14:paraId="318E75BA">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1、从业人员管理：</w:t>
      </w:r>
    </w:p>
    <w:p w14:paraId="0682F27C">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承包人确保从业人员满足国家及发包人规定的学历、技能与岗位能力要求，无从事作业所涉及的职业禁忌，行为能力满足安全作业和应急处置要求。</w:t>
      </w:r>
    </w:p>
    <w:p w14:paraId="44B89EEF">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依法与从业人员签订劳动合同，明确隶属与权责；定期组织职业健康体检（岗前、岗中、离岗），建立职业健康监护档案，并如实向发包人业务管理部门报告检查结果。</w:t>
      </w:r>
    </w:p>
    <w:p w14:paraId="4381F5BD">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特种作业人员、特种设备作业人员必须 100% 持有效操作资格证上岗，严禁无证、冒名顶替或伪造审批手续从事相关作业。</w:t>
      </w:r>
    </w:p>
    <w:p w14:paraId="39F66BDF">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2、工机具管理：</w:t>
      </w:r>
    </w:p>
    <w:p w14:paraId="292B8B3E">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承包人拟进场的工机具需经发包人使用部门检验、检查并标识，提供检维修记录、检定证明等材料，不满足相关标准要求的不得进场使用。</w:t>
      </w:r>
    </w:p>
    <w:p w14:paraId="57A676E4">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工机具的使用、维护、保养需符合安全要求，严禁使用不合格或存在安全隐患的工机具；临时用电线路敷设规范，符合安全要求。</w:t>
      </w:r>
    </w:p>
    <w:p w14:paraId="717C6BE3">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（十二）安全管理的权利与义务</w:t>
      </w:r>
    </w:p>
    <w:p w14:paraId="191C9D7D">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1、发包人权利：</w:t>
      </w:r>
    </w:p>
    <w:p w14:paraId="78C08112">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对承包人作业现场及人员、车辆进行安全环保检查，发现隐患、违章作业或事故时，有权采取停工整改、扣除违约金、责令更换人员设备等措施；</w:t>
      </w:r>
    </w:p>
    <w:p w14:paraId="708674D5">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对承包人安全绩效进行评价，依据评价结果调整业务合作范围，建立合格承包商名录及黑名单。</w:t>
      </w:r>
    </w:p>
    <w:p w14:paraId="6EC3FD6D">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对承包人报告的隐患进行核实，按规定落实奖励；对承包人拒不执行 “吹哨人” 制度等违规行为，依据合同条款及相关管理制度进行处罚。</w:t>
      </w:r>
    </w:p>
    <w:p w14:paraId="6F72C2B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要求承包人提供人员名单、组织机构文件、管理制度、主要管理人员资质证书、近 3 年安全业绩证明、保险缴纳凭证等材料，进行审核备案。</w:t>
      </w:r>
    </w:p>
    <w:p w14:paraId="18AD088F">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2、发包人义务：</w:t>
      </w:r>
    </w:p>
    <w:p w14:paraId="09476BD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向承包人告知安全环保规章制度、应急处理程序及 “吹哨人” 制度等核心要求；提供施工、维保所需场地及必要的安全管理标准和工具。</w:t>
      </w:r>
    </w:p>
    <w:p w14:paraId="5F73415E">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组织分级安全教育培训及考核，统筹协调承包商安全管理工作，及时处理承包人反馈的合理诉求，组织开展安全赋能与经验交流活动。</w:t>
      </w:r>
    </w:p>
    <w:p w14:paraId="5DC5E668">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保障 “吹哨人” 奖励资金专项落实。</w:t>
      </w:r>
    </w:p>
    <w:p w14:paraId="68130B7F">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3、承包人权利：</w:t>
      </w:r>
    </w:p>
    <w:p w14:paraId="582F57DB">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要求发包人提供必要的作业条件和安全保障信息；对发包人提出的不合理整改要求可提出异议并协商解决。</w:t>
      </w:r>
    </w:p>
    <w:p w14:paraId="122A99C8">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按规定获得发包人提供的安全培训资源和技术支持；申请 “吹哨人” 专项奖励资金，对符合条件的隐患报告人予以奖励。</w:t>
      </w:r>
    </w:p>
    <w:p w14:paraId="5CAC1FA8">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4、承包人义务：</w:t>
      </w:r>
    </w:p>
    <w:p w14:paraId="4A46207F">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严格遵守发包人安全环保规章制度及本协议约定，接受发包人及相关单位监督管理；及时整改安全隐患，如实上报事故事件，承担相应的安全责任。</w:t>
      </w:r>
    </w:p>
    <w:p w14:paraId="430F26A6">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建立并执行 “吹哨人” 及隐患内部报告制度，设立专项奖励，保障从业人员合法权益；积极参与发包人组织的安全文化活动、应急演练及经验交流，推动安全文化融合。</w:t>
      </w:r>
    </w:p>
    <w:p w14:paraId="478C3BD4">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二、“吹哨人” 及隐患内部报告制度专项约定</w:t>
      </w:r>
    </w:p>
    <w:p w14:paraId="0581C62D">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1、承包人必须建立并有效执行安全生产 “吹哨人” 及隐患内部报告制度，明确报告流程、受理部门、反馈时限及奖励标准，形成书面制度文件报发包人备案。</w:t>
      </w:r>
    </w:p>
    <w:p w14:paraId="0C97497E">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2、承包人应设立 “吹哨人” 专项奖励额度，奖励标准不低于发包人规定的相关标准，奖励资金从安全生产费用或专项奖励基金中列支。</w:t>
      </w:r>
    </w:p>
    <w:p w14:paraId="6E64AF77">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3、承包人需依据发包人核实的隐患情况和评估意见，在收到发包人通知后 15 个工作日内对 “吹哨人”（隐患报告人）予以奖励，并将奖励发放情况（含报告人信息、隐患内容、核实结果、奖励金额及发放时间）报发包人安全环保管理部门备案。</w:t>
      </w:r>
    </w:p>
    <w:p w14:paraId="18EBB717">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4、承包人应建立 “吹哨人” 奖励台账，详细记录相关信息，接受发包人定期检查；发包人安全环保管理部门负责收集、审核《承包商安全生产 “吹哨人” 和隐患内部报告奖励统计表》并归档。见附件4</w:t>
      </w:r>
    </w:p>
    <w:p w14:paraId="5ADA9706">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5、如承包人拒不建立 “吹哨人” 及隐患内部报告制度、未按规定设立专项奖励或未及时兑现奖励的，发包人有权依据合同条款及相关管理制度对承包人进行经济处罚，情节严重的纳入黑名单，直至终止合同。</w:t>
      </w:r>
    </w:p>
    <w:p w14:paraId="44FE9599">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6、发包人工会对 “吹哨人” 制度的执行情况实施监督与指导，每年会同安全环保管理部门组织对 “吹哨人” 报告事项进行评选与奖励，营造全员参与、主动排查隐患的安全文化氛围。</w:t>
      </w:r>
    </w:p>
    <w:p w14:paraId="6E49A9F9">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三、“五个一” 一体化管理专项约定</w:t>
      </w:r>
    </w:p>
    <w:p w14:paraId="21C75558">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1、一套标准：承包人必须严格遵守发包人统一的安全管理标准、技术标准与操作标准，将发包人安全规章制度融入自身管理体系，实现安全管理同质化。</w:t>
      </w:r>
    </w:p>
    <w:p w14:paraId="2BD8DB3A">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2、一套考核：承包人接受发包人统一的安全绩效评价体系，评价结果与其业务承揽范围、合同续签、评优评先直接挂钩，形成 “安全表现决定市场机会” 的导向。</w:t>
      </w:r>
    </w:p>
    <w:p w14:paraId="6DFE617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3、一体运作：承包人关键岗位人员需参加发包人的安全生产例会、班前会和安全活动，遵循发包人管理流程；双方建立安全信息双向通报机制，实现风险共知、信息互通。</w:t>
      </w:r>
    </w:p>
    <w:p w14:paraId="02F3C29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4、一个团队：承包人现场负责人深度参与发包人安全例会、联合检查等活动，被纳入发包人现场管理团队，形成目标一致、行动协同的管理合力。</w:t>
      </w:r>
    </w:p>
    <w:p w14:paraId="60063D16">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5、一种文化：承包人积极参与发包人组织的安全月、应急演练、安全知识竞赛等活动，认同并践行发包人 “生命至上、安全第一” 的核心安全价值观，共同营造 “彼此尊重、相互监督、责任共担、安全共赢” 的安全文化氛围。</w:t>
      </w:r>
    </w:p>
    <w:p w14:paraId="7BC946F9">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四、其他约定</w:t>
      </w:r>
    </w:p>
    <w:p w14:paraId="4AD460E9">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1、本协议未尽事宜由双方协商补充解决，协商不成的按所签合同争议条款处理。</w:t>
      </w:r>
    </w:p>
    <w:p w14:paraId="22F2E40B">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2、本协议内容与国家有关规定相抵触的，按国家规定执行。</w:t>
      </w:r>
    </w:p>
    <w:p w14:paraId="60588F1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3、本协议一式两份，甲乙双方各执一份，签字盖章后生效，有效期与合同有效期一致。</w:t>
      </w:r>
    </w:p>
    <w:p w14:paraId="55ACD9DF">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069564E3">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7368E09E">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发包人：重庆国际复合材料股份有限公司</w:t>
      </w:r>
    </w:p>
    <w:p w14:paraId="4C87B142">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3E5CAC4D">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法定代表人 </w:t>
      </w:r>
    </w:p>
    <w:p w14:paraId="11A0B69A">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或其授权的代理人：</w:t>
      </w:r>
    </w:p>
    <w:p w14:paraId="126953E7">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1B1C0436">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承包人：</w:t>
      </w:r>
    </w:p>
    <w:p w14:paraId="141FBC9E">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3E504613">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法定代表人 </w:t>
      </w:r>
    </w:p>
    <w:p w14:paraId="48B3A332">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或其授权的代理人：</w:t>
      </w:r>
    </w:p>
    <w:p w14:paraId="131C9135">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737047F3">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1878D4B6">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019073D2">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051E862A">
      <w:pPr>
        <w:pStyle w:val="18"/>
        <w:autoSpaceDE w:val="0"/>
        <w:spacing w:line="360" w:lineRule="auto"/>
        <w:jc w:val="center"/>
        <w:rPr>
          <w:rFonts w:ascii="宋体" w:hAnsi="宋体" w:cs="宋体"/>
          <w:b/>
          <w:bCs/>
          <w:color w:val="auto"/>
          <w:szCs w:val="24"/>
          <w:highlight w:val="none"/>
        </w:rPr>
      </w:pPr>
      <w:r>
        <w:rPr>
          <w:rFonts w:hint="eastAsia" w:ascii="宋体" w:hAnsi="宋体" w:cs="宋体"/>
          <w:b/>
          <w:bCs/>
          <w:color w:val="auto"/>
          <w:kern w:val="0"/>
          <w:szCs w:val="24"/>
          <w:highlight w:val="none"/>
          <w:lang w:bidi="ar"/>
        </w:rPr>
        <w:t>附件 1、安全违约考核标准</w:t>
      </w:r>
    </w:p>
    <w:tbl>
      <w:tblPr>
        <w:tblStyle w:val="20"/>
        <w:tblW w:w="9367" w:type="dxa"/>
        <w:tblInd w:w="135" w:type="dxa"/>
        <w:tblLayout w:type="fixed"/>
        <w:tblCellMar>
          <w:top w:w="0" w:type="dxa"/>
          <w:left w:w="108" w:type="dxa"/>
          <w:bottom w:w="0" w:type="dxa"/>
          <w:right w:w="108" w:type="dxa"/>
        </w:tblCellMar>
      </w:tblPr>
      <w:tblGrid>
        <w:gridCol w:w="846"/>
        <w:gridCol w:w="7211"/>
        <w:gridCol w:w="1310"/>
      </w:tblGrid>
      <w:tr w14:paraId="0F6FA4B9">
        <w:tblPrEx>
          <w:tblCellMar>
            <w:top w:w="0" w:type="dxa"/>
            <w:left w:w="108" w:type="dxa"/>
            <w:bottom w:w="0" w:type="dxa"/>
            <w:right w:w="108" w:type="dxa"/>
          </w:tblCellMar>
        </w:tblPrEx>
        <w:trPr>
          <w:trHeight w:val="465" w:hRule="atLeast"/>
        </w:trPr>
        <w:tc>
          <w:tcPr>
            <w:tcW w:w="80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662B46E3">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违规事项</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B29DAAD">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扣罚金额</w:t>
            </w:r>
          </w:p>
        </w:tc>
      </w:tr>
      <w:tr w14:paraId="3967D342">
        <w:tblPrEx>
          <w:tblCellMar>
            <w:top w:w="0" w:type="dxa"/>
            <w:left w:w="108" w:type="dxa"/>
            <w:bottom w:w="0" w:type="dxa"/>
            <w:right w:w="108" w:type="dxa"/>
          </w:tblCellMar>
        </w:tblPrEx>
        <w:trPr>
          <w:trHeight w:val="285" w:hRule="atLeast"/>
        </w:trPr>
        <w:tc>
          <w:tcPr>
            <w:tcW w:w="936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2D49F706">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说明：扣罚金额为事件每发生1次或1人次的金额，金额单位：元，币种为人民币。同一事务，未及时完成整改，重复发生的，加倍扣罚，连续多次发生，3倍扣罚。</w:t>
            </w:r>
          </w:p>
        </w:tc>
      </w:tr>
      <w:tr w14:paraId="272161BF">
        <w:tblPrEx>
          <w:tblCellMar>
            <w:top w:w="0" w:type="dxa"/>
            <w:left w:w="108" w:type="dxa"/>
            <w:bottom w:w="0" w:type="dxa"/>
            <w:right w:w="108" w:type="dxa"/>
          </w:tblCellMar>
        </w:tblPrEx>
        <w:trPr>
          <w:trHeight w:val="285" w:hRule="atLeast"/>
        </w:trPr>
        <w:tc>
          <w:tcPr>
            <w:tcW w:w="936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4700B98A">
            <w:pPr>
              <w:widowControl/>
              <w:jc w:val="center"/>
              <w:textAlignment w:val="center"/>
              <w:rPr>
                <w:rFonts w:ascii="等线" w:hAnsi="等线" w:eastAsia="等线" w:cs="等线"/>
                <w:b/>
                <w:color w:val="auto"/>
                <w:sz w:val="22"/>
                <w:highlight w:val="none"/>
              </w:rPr>
            </w:pPr>
            <w:r>
              <w:rPr>
                <w:rFonts w:hint="eastAsia" w:ascii="等线" w:hAnsi="等线" w:eastAsia="等线" w:cs="等线"/>
                <w:b/>
                <w:color w:val="auto"/>
                <w:kern w:val="0"/>
                <w:sz w:val="22"/>
                <w:highlight w:val="none"/>
                <w:lang w:bidi="ar"/>
              </w:rPr>
              <w:t>一、保证措施</w:t>
            </w:r>
          </w:p>
        </w:tc>
      </w:tr>
      <w:tr w14:paraId="7B6914A1">
        <w:tblPrEx>
          <w:tblCellMar>
            <w:top w:w="0" w:type="dxa"/>
            <w:left w:w="108" w:type="dxa"/>
            <w:bottom w:w="0" w:type="dxa"/>
            <w:right w:w="108" w:type="dxa"/>
          </w:tblCellMar>
        </w:tblPrEx>
        <w:trPr>
          <w:trHeight w:val="69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21DD7415">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5AE1B90">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施工作业期间，同承发包项目相关的企业、人员资质发生变更应报批的隐瞒不报，未经建设单位同意私自分包，聘用的分包商无有效资质，与分包单位无安全协议。</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067B4B5">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5000~10000</w:t>
            </w:r>
          </w:p>
        </w:tc>
      </w:tr>
      <w:tr w14:paraId="593497D4">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2B9508EE">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E1415AE">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未获开工令私自开工，不执行建设（监理）单位发出的停工指令。</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1A3E252">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5000~10000</w:t>
            </w:r>
          </w:p>
        </w:tc>
      </w:tr>
      <w:tr w14:paraId="2729CE1D">
        <w:tblPrEx>
          <w:tblCellMar>
            <w:top w:w="0" w:type="dxa"/>
            <w:left w:w="108" w:type="dxa"/>
            <w:bottom w:w="0" w:type="dxa"/>
            <w:right w:w="108" w:type="dxa"/>
          </w:tblCellMar>
        </w:tblPrEx>
        <w:trPr>
          <w:trHeight w:val="69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6227594F">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6CC45B2">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安全制度不健全，缺乏符合本企业需要的《安全环保责任制》《隐患排查整改》《事故应急管理》等安全管理制度。</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9194AE9">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1000~5000</w:t>
            </w:r>
          </w:p>
        </w:tc>
      </w:tr>
      <w:tr w14:paraId="5F9B4EDB">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262CCAED">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04C14C2">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三级安全教育、日常安全教育不符合国家规定、公司制度要求。</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61F63AE">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17FBC9A4">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7D08CF8D">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5</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7186B45">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项目经理、技术负责人、安全管理人员、特种作业人员未持证上岗。</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5AB22B5">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6696762A">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72A0A6E2">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6</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2D0B353">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安全风险辨识不全，安全措施不齐全。施工组织设计（方案）应编制但未编制、未经审批完成就施工，未履行书面的安全技术交底就施工。</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6000BD8">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4E0ED041">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20763C95">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7</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123DE61">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不服从会议决议、业主（监理）方工程指令。</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16C44FE">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19744B07">
        <w:tblPrEx>
          <w:tblCellMar>
            <w:top w:w="0" w:type="dxa"/>
            <w:left w:w="108" w:type="dxa"/>
            <w:bottom w:w="0" w:type="dxa"/>
            <w:right w:w="108" w:type="dxa"/>
          </w:tblCellMar>
        </w:tblPrEx>
        <w:trPr>
          <w:trHeight w:val="414"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39F8D966">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8</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C8B8A36">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未定期进行安全检查，安全隐患纠正措施不力，隐患排查、整改记录缺失。</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F10FF9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00AD9863">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4281B5DA">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9</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20FE540">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施工作业无安全操作规程以及违反操作规程作业。</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DDC1068">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583B9D15">
        <w:tblPrEx>
          <w:tblCellMar>
            <w:top w:w="0" w:type="dxa"/>
            <w:left w:w="108" w:type="dxa"/>
            <w:bottom w:w="0" w:type="dxa"/>
            <w:right w:w="108" w:type="dxa"/>
          </w:tblCellMar>
        </w:tblPrEx>
        <w:trPr>
          <w:trHeight w:val="548"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355D6C95">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3BCF1B8">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工机具、车辆、设备入场前，大型登高、吊装设备、脚手架架设后应进行备案、报批、验收的，未经同意就使用。</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2363070">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3B55A8F9">
        <w:tblPrEx>
          <w:tblCellMar>
            <w:top w:w="0" w:type="dxa"/>
            <w:left w:w="108" w:type="dxa"/>
            <w:bottom w:w="0" w:type="dxa"/>
            <w:right w:w="108" w:type="dxa"/>
          </w:tblCellMar>
        </w:tblPrEx>
        <w:trPr>
          <w:trHeight w:val="392"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5F58EE9F">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11</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FBFF159">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违章指挥，强令他人违章作业</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4FDABB1">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3000~10000</w:t>
            </w:r>
          </w:p>
        </w:tc>
      </w:tr>
      <w:tr w14:paraId="6939A746">
        <w:tblPrEx>
          <w:tblCellMar>
            <w:top w:w="0" w:type="dxa"/>
            <w:left w:w="108" w:type="dxa"/>
            <w:bottom w:w="0" w:type="dxa"/>
            <w:right w:w="108" w:type="dxa"/>
          </w:tblCellMar>
        </w:tblPrEx>
        <w:trPr>
          <w:trHeight w:val="392"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75C89346">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12</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845DAEB">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 xml:space="preserve"> 拒不执行安全生产 “吹哨人” 及隐患内部报告制度或未按规定给予 “吹哨人” 奖励</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B0FBCAA">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5000</w:t>
            </w:r>
          </w:p>
        </w:tc>
      </w:tr>
      <w:tr w14:paraId="4D15906C">
        <w:tblPrEx>
          <w:tblCellMar>
            <w:top w:w="0" w:type="dxa"/>
            <w:left w:w="108" w:type="dxa"/>
            <w:bottom w:w="0" w:type="dxa"/>
            <w:right w:w="108" w:type="dxa"/>
          </w:tblCellMar>
        </w:tblPrEx>
        <w:trPr>
          <w:trHeight w:val="285" w:hRule="atLeast"/>
        </w:trPr>
        <w:tc>
          <w:tcPr>
            <w:tcW w:w="936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26754353">
            <w:pPr>
              <w:widowControl/>
              <w:jc w:val="center"/>
              <w:textAlignment w:val="center"/>
              <w:rPr>
                <w:rFonts w:ascii="等线" w:hAnsi="等线" w:eastAsia="等线" w:cs="等线"/>
                <w:b/>
                <w:color w:val="auto"/>
                <w:sz w:val="22"/>
                <w:highlight w:val="none"/>
              </w:rPr>
            </w:pPr>
            <w:r>
              <w:rPr>
                <w:rFonts w:hint="eastAsia" w:ascii="等线" w:hAnsi="等线" w:eastAsia="等线" w:cs="等线"/>
                <w:b/>
                <w:color w:val="auto"/>
                <w:kern w:val="0"/>
                <w:sz w:val="22"/>
                <w:highlight w:val="none"/>
                <w:lang w:bidi="ar"/>
              </w:rPr>
              <w:t>二、个人违章</w:t>
            </w:r>
          </w:p>
        </w:tc>
      </w:tr>
      <w:tr w14:paraId="6D1CF8D7">
        <w:tblPrEx>
          <w:tblCellMar>
            <w:top w:w="0" w:type="dxa"/>
            <w:left w:w="108" w:type="dxa"/>
            <w:bottom w:w="0" w:type="dxa"/>
            <w:right w:w="108" w:type="dxa"/>
          </w:tblCellMar>
        </w:tblPrEx>
        <w:trPr>
          <w:trHeight w:val="9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0EB0ADCE">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13</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24B61A9">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未参加施工单位培训及建设单位三级安全教育培训和考试就入场、借用、冒用他人入场许可证的。</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33D2EB2">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5000~10000</w:t>
            </w:r>
          </w:p>
        </w:tc>
      </w:tr>
      <w:tr w14:paraId="3B7A794E">
        <w:tblPrEx>
          <w:tblCellMar>
            <w:top w:w="0" w:type="dxa"/>
            <w:left w:w="108" w:type="dxa"/>
            <w:bottom w:w="0" w:type="dxa"/>
            <w:right w:w="108" w:type="dxa"/>
          </w:tblCellMar>
        </w:tblPrEx>
        <w:trPr>
          <w:trHeight w:val="366"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1A546F18">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14</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AB7A935">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安全帽、护目镜、劳保鞋、工作服、反光背心等劳动防护用品未按规定穿佩戴。使用的劳动防护用品受损或质量达不到规范要求。</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710469E">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200~500</w:t>
            </w:r>
          </w:p>
        </w:tc>
      </w:tr>
      <w:tr w14:paraId="0D15FA62">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3E60FF88">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15</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60C3DB4">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班前或班中饮酒后，仍然进入施工现场工作。</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A6D019A">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w:t>
            </w:r>
          </w:p>
        </w:tc>
      </w:tr>
      <w:tr w14:paraId="7340A201">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06D73DD4">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16</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6A8B111">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超过2米有可能跌落的场所施工作业未系或未按规范系双钩安全带。</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5C9B461">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w:t>
            </w:r>
          </w:p>
        </w:tc>
      </w:tr>
      <w:tr w14:paraId="053D7752">
        <w:tblPrEx>
          <w:tblCellMar>
            <w:top w:w="0" w:type="dxa"/>
            <w:left w:w="108" w:type="dxa"/>
            <w:bottom w:w="0" w:type="dxa"/>
            <w:right w:w="108" w:type="dxa"/>
          </w:tblCellMar>
        </w:tblPrEx>
        <w:trPr>
          <w:trHeight w:val="26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1D76CB59">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17</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E9D5F88">
            <w:pPr>
              <w:widowControl/>
              <w:jc w:val="left"/>
              <w:textAlignment w:val="center"/>
              <w:rPr>
                <w:rFonts w:ascii="宋体" w:hAnsi="宋体" w:cs="宋体"/>
                <w:color w:val="auto"/>
                <w:szCs w:val="21"/>
                <w:highlight w:val="none"/>
              </w:rPr>
            </w:pPr>
            <w:r>
              <w:rPr>
                <w:rFonts w:hint="eastAsia" w:ascii="等线" w:hAnsi="等线" w:eastAsia="等线" w:cs="等线"/>
                <w:color w:val="auto"/>
                <w:kern w:val="0"/>
                <w:sz w:val="22"/>
                <w:highlight w:val="none"/>
                <w:lang w:bidi="ar"/>
              </w:rPr>
              <w:t>在施工区内禁止吸烟处吸烟（非一级禁烟区），乱丢垃圾，污损破坏环境设施等不文明行为。</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3D17A00">
            <w:pPr>
              <w:widowControl/>
              <w:jc w:val="left"/>
              <w:textAlignment w:val="center"/>
              <w:rPr>
                <w:rFonts w:ascii="Calibri" w:hAnsi="Calibri" w:eastAsia="等线"/>
                <w:color w:val="auto"/>
                <w:szCs w:val="21"/>
                <w:highlight w:val="none"/>
              </w:rPr>
            </w:pPr>
            <w:r>
              <w:rPr>
                <w:rFonts w:hint="eastAsia" w:ascii="等线" w:hAnsi="等线" w:eastAsia="等线" w:cs="等线"/>
                <w:color w:val="auto"/>
                <w:kern w:val="0"/>
                <w:sz w:val="22"/>
                <w:highlight w:val="none"/>
                <w:lang w:bidi="ar"/>
              </w:rPr>
              <w:t>100~500</w:t>
            </w:r>
          </w:p>
        </w:tc>
      </w:tr>
      <w:tr w14:paraId="3787F741">
        <w:tblPrEx>
          <w:tblCellMar>
            <w:top w:w="0" w:type="dxa"/>
            <w:left w:w="108" w:type="dxa"/>
            <w:bottom w:w="0" w:type="dxa"/>
            <w:right w:w="108" w:type="dxa"/>
          </w:tblCellMar>
        </w:tblPrEx>
        <w:trPr>
          <w:trHeight w:val="26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4EA645D6">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18</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6CB2789">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在施工区内随地大小便</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9918B40">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10000</w:t>
            </w:r>
          </w:p>
        </w:tc>
      </w:tr>
      <w:tr w14:paraId="1C6C290B">
        <w:tblPrEx>
          <w:tblCellMar>
            <w:top w:w="0" w:type="dxa"/>
            <w:left w:w="108" w:type="dxa"/>
            <w:bottom w:w="0" w:type="dxa"/>
            <w:right w:w="108" w:type="dxa"/>
          </w:tblCellMar>
        </w:tblPrEx>
        <w:trPr>
          <w:trHeight w:val="285" w:hRule="atLeast"/>
        </w:trPr>
        <w:tc>
          <w:tcPr>
            <w:tcW w:w="936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51BC49A6">
            <w:pPr>
              <w:widowControl/>
              <w:jc w:val="center"/>
              <w:textAlignment w:val="center"/>
              <w:rPr>
                <w:rFonts w:ascii="等线" w:hAnsi="等线" w:eastAsia="等线" w:cs="等线"/>
                <w:b/>
                <w:color w:val="auto"/>
                <w:sz w:val="22"/>
                <w:highlight w:val="none"/>
              </w:rPr>
            </w:pPr>
            <w:r>
              <w:rPr>
                <w:rFonts w:hint="eastAsia" w:ascii="等线" w:hAnsi="等线" w:eastAsia="等线" w:cs="等线"/>
                <w:b/>
                <w:color w:val="auto"/>
                <w:kern w:val="0"/>
                <w:sz w:val="22"/>
                <w:highlight w:val="none"/>
                <w:lang w:bidi="ar"/>
              </w:rPr>
              <w:t>三、现场及施工作业违章</w:t>
            </w:r>
          </w:p>
        </w:tc>
      </w:tr>
      <w:tr w14:paraId="7F3BB4FE">
        <w:tblPrEx>
          <w:tblCellMar>
            <w:top w:w="0" w:type="dxa"/>
            <w:left w:w="108" w:type="dxa"/>
            <w:bottom w:w="0" w:type="dxa"/>
            <w:right w:w="108" w:type="dxa"/>
          </w:tblCellMar>
        </w:tblPrEx>
        <w:trPr>
          <w:trHeight w:val="1292"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6FD14C1B">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19</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2766A68">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施工平面布置图不符合规定，现场状况与图不相符；施工维保现场搭设临时建筑，未经业主方同意后就实施。 班组工具房的布设未经过业主方统一规划或认可，布置不整齐，施工常用工器具、材料应规划区域、堆放整齐、标识清楚，不影响外观形象，未做到上述措施的。</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08CCF36">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3000~5000</w:t>
            </w:r>
          </w:p>
        </w:tc>
      </w:tr>
      <w:tr w14:paraId="3A4AFAE9">
        <w:tblPrEx>
          <w:tblCellMar>
            <w:top w:w="0" w:type="dxa"/>
            <w:left w:w="108" w:type="dxa"/>
            <w:bottom w:w="0" w:type="dxa"/>
            <w:right w:w="108" w:type="dxa"/>
          </w:tblCellMar>
        </w:tblPrEx>
        <w:trPr>
          <w:trHeight w:val="648"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5E52C485">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20</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CF66ED8">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施工维保场所的井、坑、孔、洞、地沟、临边等，未及时设置有效的孔洞、临边防护设施及安全警告标志，安全网搭设不健全。未经许可，私自拆除安全防护设施。</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DB8E428">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7556B4AC">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521DA0B5">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21</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181B5FA">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不严格执行工作票、证制度，监护人玩忽职守、无票作业。</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5E99F6A">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145268F6">
        <w:tblPrEx>
          <w:tblCellMar>
            <w:top w:w="0" w:type="dxa"/>
            <w:left w:w="108" w:type="dxa"/>
            <w:bottom w:w="0" w:type="dxa"/>
            <w:right w:w="108" w:type="dxa"/>
          </w:tblCellMar>
        </w:tblPrEx>
        <w:trPr>
          <w:trHeight w:val="549"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33FC66BB">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22</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A794001">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现场临时用电、吊装、有限空间、动火、盲板抽堵、高空作业不符合规范要求，安全设施带病作业、措施不健全，违章作业。</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C4894CC">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1000~5000</w:t>
            </w:r>
          </w:p>
        </w:tc>
      </w:tr>
      <w:tr w14:paraId="2A507D23">
        <w:tblPrEx>
          <w:tblCellMar>
            <w:top w:w="0" w:type="dxa"/>
            <w:left w:w="108" w:type="dxa"/>
            <w:bottom w:w="0" w:type="dxa"/>
            <w:right w:w="108" w:type="dxa"/>
          </w:tblCellMar>
        </w:tblPrEx>
        <w:trPr>
          <w:trHeight w:val="502"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6516DA76">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23</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3C7C77F">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登高作业工具、设备、脚手架、跳板、安全网、栏杆等等安全设施、附件不健全，带病作业，未按安全规程、技术要求使用操作。</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5999B08">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13EA3EFC">
        <w:tblPrEx>
          <w:tblCellMar>
            <w:top w:w="0" w:type="dxa"/>
            <w:left w:w="108" w:type="dxa"/>
            <w:bottom w:w="0" w:type="dxa"/>
            <w:right w:w="108" w:type="dxa"/>
          </w:tblCellMar>
        </w:tblPrEx>
        <w:trPr>
          <w:trHeight w:val="531"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053222F6">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24</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EDF3A1C">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入场工、器具安全附件不健全，临时搭设的平台不符合安全标准，使用淘汰落后的设备、设施，设备设施配置不符合国家规范标准要求。</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D24CCB4">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4BE8F1D0">
        <w:tblPrEx>
          <w:tblCellMar>
            <w:top w:w="0" w:type="dxa"/>
            <w:left w:w="108" w:type="dxa"/>
            <w:bottom w:w="0" w:type="dxa"/>
            <w:right w:w="108" w:type="dxa"/>
          </w:tblCellMar>
        </w:tblPrEx>
        <w:trPr>
          <w:trHeight w:val="57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645CC2A7">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25</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B3C4B92">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文明施工措施不健全，责任区清洁、扬尘、污泥控制不到位，工人操作未做到“工完料尽场地清”；剩余物料、废旧物料、危险废弃物未分类处置，未按要求在指定区域按指定方式处理。</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2A54AA7">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50B4C457">
        <w:tblPrEx>
          <w:tblCellMar>
            <w:top w:w="0" w:type="dxa"/>
            <w:left w:w="108" w:type="dxa"/>
            <w:bottom w:w="0" w:type="dxa"/>
            <w:right w:w="108" w:type="dxa"/>
          </w:tblCellMar>
        </w:tblPrEx>
        <w:trPr>
          <w:trHeight w:val="57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2B246319">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26</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885A624">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场地内部道路未硬化、进出场车辆冲洗设施、“五牌一图”、大门、围挡、宿舍、厕所、淋浴间、开水间、绿化、办公室等临时设施设置不符规范或缺失。</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B6CDE78">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3000~5000</w:t>
            </w:r>
          </w:p>
        </w:tc>
      </w:tr>
      <w:tr w14:paraId="402EB5A8">
        <w:tblPrEx>
          <w:tblCellMar>
            <w:top w:w="0" w:type="dxa"/>
            <w:left w:w="108" w:type="dxa"/>
            <w:bottom w:w="0" w:type="dxa"/>
            <w:right w:w="108" w:type="dxa"/>
          </w:tblCellMar>
        </w:tblPrEx>
        <w:trPr>
          <w:trHeight w:val="621"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32289C2C">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27</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6F9C404">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堵塞消防通道、易燃、易爆品、易腐蚀品未按规范存放和使用，消防设施配备不符合要求，未按消防规范作业。</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76EC9B3">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0E2641DE">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326B9810">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28</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67A8CC1">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未履行成品保护制度，对设施、路面保护不力，成品保护措施不健全。 </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0128953">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6CACB683">
        <w:tblPrEx>
          <w:tblCellMar>
            <w:top w:w="0" w:type="dxa"/>
            <w:left w:w="108" w:type="dxa"/>
            <w:bottom w:w="0" w:type="dxa"/>
            <w:right w:w="108" w:type="dxa"/>
          </w:tblCellMar>
        </w:tblPrEx>
        <w:trPr>
          <w:trHeight w:val="285" w:hRule="atLeast"/>
        </w:trPr>
        <w:tc>
          <w:tcPr>
            <w:tcW w:w="936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27E30CA2">
            <w:pPr>
              <w:widowControl/>
              <w:jc w:val="center"/>
              <w:textAlignment w:val="center"/>
              <w:rPr>
                <w:rFonts w:ascii="等线" w:hAnsi="等线" w:eastAsia="等线" w:cs="等线"/>
                <w:b/>
                <w:color w:val="auto"/>
                <w:sz w:val="22"/>
                <w:highlight w:val="none"/>
              </w:rPr>
            </w:pPr>
            <w:r>
              <w:rPr>
                <w:rFonts w:hint="eastAsia" w:ascii="等线" w:hAnsi="等线" w:eastAsia="等线" w:cs="等线"/>
                <w:b/>
                <w:color w:val="auto"/>
                <w:kern w:val="0"/>
                <w:sz w:val="22"/>
                <w:highlight w:val="none"/>
                <w:lang w:bidi="ar"/>
              </w:rPr>
              <w:t>四、厂区规范管理</w:t>
            </w:r>
          </w:p>
        </w:tc>
      </w:tr>
      <w:tr w14:paraId="49EC4F83">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4B15D496">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29</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2FF9D4E">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入场车辆未按规定入场、行驶、停放的，行人在限定区域以外行走的。</w:t>
            </w:r>
          </w:p>
          <w:p w14:paraId="0943EF25">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发包人组织的安全检查、安全会议迟到、早退、缺席的。</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21F1E40">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200~500</w:t>
            </w:r>
          </w:p>
        </w:tc>
      </w:tr>
      <w:tr w14:paraId="262DB947">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4979CEF6">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30</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9F63D09">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打架斗殴、威胁发包人管理人员的。</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06D272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3000~5000</w:t>
            </w:r>
          </w:p>
        </w:tc>
      </w:tr>
      <w:tr w14:paraId="148AC85D">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0DFB976D">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31</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F19C2FD">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违反业主方生产场所相关安全、环保、消防、文明管理规定的。</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0B9B666">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500~3000</w:t>
            </w:r>
          </w:p>
        </w:tc>
      </w:tr>
      <w:tr w14:paraId="2170A544">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06F9BB24">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32</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8588F13">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违反业主方制定的门岗、治安、保卫管理规章制度的行为。</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0FFA73A">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500~3000</w:t>
            </w:r>
          </w:p>
        </w:tc>
      </w:tr>
      <w:tr w14:paraId="38502312">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62EAF916">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33</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4FC555C">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私自操作发包人生产设施、设备，故意损坏设施设备，造成事故的，照价赔偿。</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B6A26D7">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0BD4FE89">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3087F365">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34</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34D1E15">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进入易燃易爆区域抽烟、未经许可私自携带火种、违规动火。</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2B2314E">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3000~10000</w:t>
            </w:r>
          </w:p>
        </w:tc>
      </w:tr>
      <w:tr w14:paraId="3083E19C">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0936515F">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35</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441A775">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未经批准解除安全联锁。</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0DE1846">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3000~10000</w:t>
            </w:r>
          </w:p>
        </w:tc>
      </w:tr>
      <w:tr w14:paraId="247FCF61">
        <w:tblPrEx>
          <w:tblCellMar>
            <w:top w:w="0" w:type="dxa"/>
            <w:left w:w="108" w:type="dxa"/>
            <w:bottom w:w="0" w:type="dxa"/>
            <w:right w:w="108" w:type="dxa"/>
          </w:tblCellMar>
        </w:tblPrEx>
        <w:trPr>
          <w:trHeight w:val="285" w:hRule="atLeast"/>
        </w:trPr>
        <w:tc>
          <w:tcPr>
            <w:tcW w:w="936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3D94F66B">
            <w:pPr>
              <w:widowControl/>
              <w:jc w:val="center"/>
              <w:textAlignment w:val="center"/>
              <w:rPr>
                <w:rFonts w:ascii="等线" w:hAnsi="等线" w:eastAsia="等线" w:cs="等线"/>
                <w:b/>
                <w:color w:val="auto"/>
                <w:sz w:val="22"/>
                <w:highlight w:val="none"/>
              </w:rPr>
            </w:pPr>
            <w:r>
              <w:rPr>
                <w:rFonts w:hint="eastAsia" w:ascii="等线" w:hAnsi="等线" w:eastAsia="等线" w:cs="等线"/>
                <w:b/>
                <w:color w:val="auto"/>
                <w:kern w:val="0"/>
                <w:sz w:val="22"/>
                <w:highlight w:val="none"/>
                <w:lang w:bidi="ar"/>
              </w:rPr>
              <w:t>五、环保管理</w:t>
            </w:r>
          </w:p>
        </w:tc>
      </w:tr>
      <w:tr w14:paraId="73D43EE7">
        <w:tblPrEx>
          <w:tblCellMar>
            <w:top w:w="0" w:type="dxa"/>
            <w:left w:w="108" w:type="dxa"/>
            <w:bottom w:w="0" w:type="dxa"/>
            <w:right w:w="108" w:type="dxa"/>
          </w:tblCellMar>
        </w:tblPrEx>
        <w:trPr>
          <w:trHeight w:val="37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090B9190">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36</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1B0FF41">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污水、废气、噪音、粉尘等未按要求排放或排放超过标准的，控制措施不力的。</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DB1F2E9">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3A2DBBBD">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08ACF5B6">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37</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32971D0">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未按规定分类处置废弃物，废弃物处置不当，油漆、清洗剂等危险化学品未按规定进行存储、废弃处理，工地违规燃烧垃圾废物</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511184E">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4A4E4E4D">
        <w:tblPrEx>
          <w:tblCellMar>
            <w:top w:w="0" w:type="dxa"/>
            <w:left w:w="108" w:type="dxa"/>
            <w:bottom w:w="0" w:type="dxa"/>
            <w:right w:w="108" w:type="dxa"/>
          </w:tblCellMar>
        </w:tblPrEx>
        <w:trPr>
          <w:trHeight w:val="285" w:hRule="atLeast"/>
        </w:trPr>
        <w:tc>
          <w:tcPr>
            <w:tcW w:w="936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0AF96B37">
            <w:pPr>
              <w:widowControl/>
              <w:jc w:val="center"/>
              <w:textAlignment w:val="center"/>
              <w:rPr>
                <w:rFonts w:ascii="等线" w:hAnsi="等线" w:eastAsia="等线" w:cs="等线"/>
                <w:b/>
                <w:color w:val="auto"/>
                <w:sz w:val="22"/>
                <w:highlight w:val="none"/>
              </w:rPr>
            </w:pPr>
            <w:r>
              <w:rPr>
                <w:rFonts w:hint="eastAsia" w:ascii="等线" w:hAnsi="等线" w:eastAsia="等线" w:cs="等线"/>
                <w:b/>
                <w:color w:val="auto"/>
                <w:kern w:val="0"/>
                <w:sz w:val="22"/>
                <w:highlight w:val="none"/>
                <w:lang w:bidi="ar"/>
              </w:rPr>
              <w:t>六、事故管理</w:t>
            </w:r>
          </w:p>
        </w:tc>
      </w:tr>
      <w:tr w14:paraId="26AE5F1D">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463F0D22">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38</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18A1C94">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发生事故后故意瞒报，影响救援的； </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C1281FE">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依据CPIC制度执行</w:t>
            </w:r>
          </w:p>
        </w:tc>
      </w:tr>
      <w:tr w14:paraId="3C8F3F7C">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1AB136CA">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39</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3C7B7F2">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发生事故后，不在规定时间向发包方报告的，故意不按真实情况报告的，应由施工方组织调查而不组织调查的，不按照"四不放过"进行调查处理的，承包方故意不配合调查的；    </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1404DE0">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3000~5000</w:t>
            </w:r>
          </w:p>
        </w:tc>
      </w:tr>
      <w:tr w14:paraId="04ECAF18">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4DA776EE">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40</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D52F8B2">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未遂事故、微伤事故、直接经济损失1万元以下的事故、发生火情等</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634B225">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3000~5000</w:t>
            </w:r>
          </w:p>
        </w:tc>
      </w:tr>
      <w:tr w14:paraId="345E9934">
        <w:tblPrEx>
          <w:tblCellMar>
            <w:top w:w="0" w:type="dxa"/>
            <w:left w:w="108" w:type="dxa"/>
            <w:bottom w:w="0" w:type="dxa"/>
            <w:right w:w="108" w:type="dxa"/>
          </w:tblCellMar>
        </w:tblPrEx>
        <w:trPr>
          <w:trHeight w:val="69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6640C6E0">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41</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F10BF5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轻微伤以上事故；或造成 1 万元以下直接经济损失的火灾事故；或造成 1 万元以上 5 万元以下直接经济损失的其它事故。 </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5597C7D">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3000~1万</w:t>
            </w:r>
          </w:p>
        </w:tc>
      </w:tr>
      <w:tr w14:paraId="47693F15">
        <w:tblPrEx>
          <w:tblCellMar>
            <w:top w:w="0" w:type="dxa"/>
            <w:left w:w="108" w:type="dxa"/>
            <w:bottom w:w="0" w:type="dxa"/>
            <w:right w:w="108" w:type="dxa"/>
          </w:tblCellMar>
        </w:tblPrEx>
        <w:trPr>
          <w:trHeight w:val="69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2DEFEADB">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42</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5BE546C">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轻伤二级事故；或造成 1万元以上10 万元以下直接经济损失的火灾事故；或造成 1 万元以上 5 万元以下直接经济损失的其它事故。 </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F800DF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5000~2万</w:t>
            </w:r>
          </w:p>
        </w:tc>
      </w:tr>
      <w:tr w14:paraId="2447A84D">
        <w:tblPrEx>
          <w:tblCellMar>
            <w:top w:w="0" w:type="dxa"/>
            <w:left w:w="108" w:type="dxa"/>
            <w:bottom w:w="0" w:type="dxa"/>
            <w:right w:w="108" w:type="dxa"/>
          </w:tblCellMar>
        </w:tblPrEx>
        <w:trPr>
          <w:trHeight w:val="69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7C74BBFA">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43</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03A868E">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轻伤一级事故；或造成 10 万元以上 30 万元以下直接经济损失的火灾事故；或造成 5 万元以上 30 万元以下直接经济损失的其它事故。 </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33FF878">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2万~5万，赔偿额另计</w:t>
            </w:r>
          </w:p>
        </w:tc>
      </w:tr>
      <w:tr w14:paraId="57F2566D">
        <w:tblPrEx>
          <w:tblCellMar>
            <w:top w:w="0" w:type="dxa"/>
            <w:left w:w="108" w:type="dxa"/>
            <w:bottom w:w="0" w:type="dxa"/>
            <w:right w:w="108" w:type="dxa"/>
          </w:tblCellMar>
        </w:tblPrEx>
        <w:trPr>
          <w:trHeight w:val="43"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41051DA3">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44</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E24DD5E">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重伤及以上事故，直接经济损失超过30万元以上的事故，消防出警，社会影响较大，出水或启动灭火设施参与抢险，被立案调查但未受到处罚的事故。</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4AB4677">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依据CPIC制度执行</w:t>
            </w:r>
          </w:p>
        </w:tc>
      </w:tr>
      <w:tr w14:paraId="1B332033">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548BD9CC">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45</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46B28E5">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一般环境污染事故</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2EEDD6D">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239E4643">
        <w:tblPrEx>
          <w:tblCellMar>
            <w:top w:w="0" w:type="dxa"/>
            <w:left w:w="108" w:type="dxa"/>
            <w:bottom w:w="0" w:type="dxa"/>
            <w:right w:w="108" w:type="dxa"/>
          </w:tblCellMar>
        </w:tblPrEx>
        <w:trPr>
          <w:trHeight w:val="43"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66D7462A">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46</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032158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较大环境污染事故 </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85864E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3000~6000</w:t>
            </w:r>
          </w:p>
        </w:tc>
      </w:tr>
      <w:tr w14:paraId="67A95CE0">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385F9FA2">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47</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97A2307">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重大及以上环境污染事故 </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D25639F">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依据CPIC制度执行</w:t>
            </w:r>
          </w:p>
        </w:tc>
      </w:tr>
      <w:tr w14:paraId="1CAA7928">
        <w:tblPrEx>
          <w:tblCellMar>
            <w:top w:w="0" w:type="dxa"/>
            <w:left w:w="108" w:type="dxa"/>
            <w:bottom w:w="0" w:type="dxa"/>
            <w:right w:w="108" w:type="dxa"/>
          </w:tblCellMar>
        </w:tblPrEx>
        <w:trPr>
          <w:trHeight w:val="700" w:hRule="atLeast"/>
        </w:trPr>
        <w:tc>
          <w:tcPr>
            <w:tcW w:w="936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4151C231">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    说明：事故级别依据《人体损伤程度鉴定标准》、CPIC《事故管理办法》的规定进行判定。事故给建设单位或第三方人员、财产造成损失的，直接经济损失应另计赔偿额。以上CPIC制度如有更新已最新制度标准为准。</w:t>
            </w:r>
          </w:p>
        </w:tc>
      </w:tr>
    </w:tbl>
    <w:p w14:paraId="72EA6507">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55C4E9E2">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400E7BD3">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4725408F">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3A63FEA6">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29155889">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017CB0E0">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0C486B33">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4B8C00D0">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2DA30288">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34D38B87">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064A4536">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414B6088">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5D80A00D">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0E3FF357">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3024C729">
      <w:pPr>
        <w:pStyle w:val="18"/>
        <w:autoSpaceDE w:val="0"/>
        <w:spacing w:line="360" w:lineRule="auto"/>
        <w:jc w:val="center"/>
        <w:rPr>
          <w:rFonts w:ascii="宋体" w:hAnsi="宋体" w:cs="宋体"/>
          <w:color w:val="auto"/>
          <w:szCs w:val="24"/>
          <w:highlight w:val="none"/>
        </w:rPr>
      </w:pPr>
      <w:r>
        <w:rPr>
          <w:rFonts w:hint="eastAsia" w:ascii="宋体" w:hAnsi="宋体" w:cs="宋体"/>
          <w:b/>
          <w:bCs/>
          <w:color w:val="auto"/>
          <w:kern w:val="0"/>
          <w:szCs w:val="24"/>
          <w:highlight w:val="none"/>
          <w:lang w:bidi="ar"/>
        </w:rPr>
        <w:t>附件 2、安全奖励标准</w:t>
      </w:r>
    </w:p>
    <w:tbl>
      <w:tblPr>
        <w:tblStyle w:val="20"/>
        <w:tblW w:w="9561" w:type="dxa"/>
        <w:tblInd w:w="135" w:type="dxa"/>
        <w:tblLayout w:type="fixed"/>
        <w:tblCellMar>
          <w:top w:w="0" w:type="dxa"/>
          <w:left w:w="108" w:type="dxa"/>
          <w:bottom w:w="0" w:type="dxa"/>
          <w:right w:w="108" w:type="dxa"/>
        </w:tblCellMar>
      </w:tblPr>
      <w:tblGrid>
        <w:gridCol w:w="694"/>
        <w:gridCol w:w="2244"/>
        <w:gridCol w:w="2692"/>
        <w:gridCol w:w="2567"/>
        <w:gridCol w:w="1364"/>
      </w:tblGrid>
      <w:tr w14:paraId="7EEBC9B7">
        <w:tblPrEx>
          <w:tblCellMar>
            <w:top w:w="0" w:type="dxa"/>
            <w:left w:w="108" w:type="dxa"/>
            <w:bottom w:w="0" w:type="dxa"/>
            <w:right w:w="108" w:type="dxa"/>
          </w:tblCellMar>
        </w:tblPrEx>
        <w:trPr>
          <w:trHeight w:val="401"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40F01378">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序号</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57501A59">
            <w:pPr>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奖励条款</w:t>
            </w:r>
          </w:p>
        </w:tc>
        <w:tc>
          <w:tcPr>
            <w:tcW w:w="1364"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2DADEA80">
            <w:pPr>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奖励金额（元）</w:t>
            </w:r>
          </w:p>
        </w:tc>
      </w:tr>
      <w:tr w14:paraId="2A788E5D">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71D6E7F9">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509D549B">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项目配备注册安全工程师（中级及以上）并保证入场执业时间</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88B965B">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≦2000</w:t>
            </w:r>
          </w:p>
        </w:tc>
      </w:tr>
      <w:tr w14:paraId="34902A12">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09D50CAD">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2</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72F90CAE">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政府、建设单位组织的承包商考评中获得优秀</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4879E0B">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≦5000</w:t>
            </w:r>
          </w:p>
        </w:tc>
      </w:tr>
      <w:tr w14:paraId="3B5E22A7">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77A19531">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1F740386">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加大投入力度，采用较行业更安全防护措施。</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16D2AD4">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w:t>
            </w:r>
          </w:p>
        </w:tc>
      </w:tr>
      <w:tr w14:paraId="4CDFA213">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0E1222DF">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4</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4B0A8665">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率先创新实施有代表性并可广泛推广的安全措施</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7016C2F">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w:t>
            </w:r>
          </w:p>
        </w:tc>
      </w:tr>
      <w:tr w14:paraId="790C6F6F">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5979A176">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5</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47EE1DB1">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积极发现他方安全隐患、安全违章。</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CC974EE">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≦1000</w:t>
            </w:r>
          </w:p>
        </w:tc>
      </w:tr>
      <w:tr w14:paraId="23CE56EC">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07513B0C">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6</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29FE7DA8">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为业主方提供安全合理化管理建议并被采纳，组织开展安全规范化创建活动并取得良好效果。</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17D6A98">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w:t>
            </w:r>
          </w:p>
        </w:tc>
      </w:tr>
      <w:tr w14:paraId="1824793A">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68340828">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7</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5EB4CFE8">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施工现场安全文明受到政府主管部门、建设单位高层领导表彰</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C72B633">
            <w:pPr>
              <w:widowControl/>
              <w:jc w:val="left"/>
              <w:textAlignment w:val="center"/>
              <w:rPr>
                <w:rFonts w:ascii="等线" w:hAnsi="等线" w:eastAsia="等线" w:cs="等线"/>
                <w:b/>
                <w:color w:val="auto"/>
                <w:kern w:val="0"/>
                <w:sz w:val="22"/>
                <w:highlight w:val="none"/>
              </w:rPr>
            </w:pPr>
            <w:r>
              <w:rPr>
                <w:rFonts w:hint="eastAsia" w:ascii="等线" w:hAnsi="等线" w:eastAsia="等线" w:cs="等线"/>
                <w:color w:val="auto"/>
                <w:kern w:val="0"/>
                <w:sz w:val="22"/>
                <w:highlight w:val="none"/>
                <w:lang w:bidi="ar"/>
              </w:rPr>
              <w:t>≦3000</w:t>
            </w:r>
          </w:p>
        </w:tc>
      </w:tr>
      <w:tr w14:paraId="23646E47">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7495D0B0">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8</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138A6687">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积极保护建设单位资产，减少损失，采取措施，为建设单位节约投资。</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8FB6A17">
            <w:pPr>
              <w:widowControl/>
              <w:jc w:val="left"/>
              <w:textAlignment w:val="center"/>
              <w:rPr>
                <w:rFonts w:ascii="等线" w:hAnsi="等线" w:eastAsia="等线" w:cs="等线"/>
                <w:b/>
                <w:color w:val="auto"/>
                <w:kern w:val="0"/>
                <w:sz w:val="22"/>
                <w:highlight w:val="none"/>
              </w:rPr>
            </w:pPr>
            <w:r>
              <w:rPr>
                <w:rFonts w:hint="eastAsia" w:ascii="等线" w:hAnsi="等线" w:eastAsia="等线" w:cs="等线"/>
                <w:color w:val="auto"/>
                <w:kern w:val="0"/>
                <w:sz w:val="22"/>
                <w:highlight w:val="none"/>
                <w:lang w:bidi="ar"/>
              </w:rPr>
              <w:t>≦3000</w:t>
            </w:r>
          </w:p>
        </w:tc>
      </w:tr>
      <w:tr w14:paraId="5DB9A641">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43D3E9EC">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9</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4125B152">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积极配合处理建设单位生产、建设过程中的突发事件。</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23A074F">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≦10000</w:t>
            </w:r>
          </w:p>
        </w:tc>
      </w:tr>
      <w:tr w14:paraId="4F771DC4">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2EFE69E5">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10</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226D70E6">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积极清理非自身产生的垃圾，为项目非本单位人员提供场所安全防护、照明、指示、厕所、会议室、饮用水等生活、工作基础设施。</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FF542BC">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w:t>
            </w:r>
          </w:p>
        </w:tc>
      </w:tr>
      <w:tr w14:paraId="069E9812">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529E8A4B">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11</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16F78D7C">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获得“安全之星”的人员</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90BFF60">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≦200</w:t>
            </w:r>
          </w:p>
        </w:tc>
      </w:tr>
      <w:tr w14:paraId="7EB8B7F3">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27421E74">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12</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173AEABD">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安全生产 “吹哨人” 及时、准确报告内部安全隐患</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69D242B">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按经安环部审核金额的10%</w:t>
            </w:r>
          </w:p>
        </w:tc>
      </w:tr>
      <w:tr w14:paraId="0ADBDC81">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4D71511A">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13</w:t>
            </w:r>
          </w:p>
        </w:tc>
        <w:tc>
          <w:tcPr>
            <w:tcW w:w="2244"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082DC4FD">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运行维护单位</w:t>
            </w:r>
          </w:p>
        </w:tc>
        <w:tc>
          <w:tcPr>
            <w:tcW w:w="2692"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4583944A">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累计无事故工时≧10万小时</w:t>
            </w:r>
          </w:p>
        </w:tc>
        <w:tc>
          <w:tcPr>
            <w:tcW w:w="2567"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62ADCF65">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火灾、环保、微伤事故为零</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B09510F">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5000</w:t>
            </w:r>
          </w:p>
        </w:tc>
      </w:tr>
      <w:tr w14:paraId="13FE2F1B">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16D97847">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14</w:t>
            </w:r>
          </w:p>
        </w:tc>
        <w:tc>
          <w:tcPr>
            <w:tcW w:w="2244"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460BE9E9">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检维修单位</w:t>
            </w:r>
          </w:p>
        </w:tc>
        <w:tc>
          <w:tcPr>
            <w:tcW w:w="2692"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3D5812ED">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累计建安费≧1000万元</w:t>
            </w:r>
          </w:p>
        </w:tc>
        <w:tc>
          <w:tcPr>
            <w:tcW w:w="2567"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4CCF7016">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火灾、环保、微伤事故为零</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465693B">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20000</w:t>
            </w:r>
          </w:p>
        </w:tc>
      </w:tr>
      <w:tr w14:paraId="4DD12414">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207DFBB4">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15</w:t>
            </w:r>
          </w:p>
        </w:tc>
        <w:tc>
          <w:tcPr>
            <w:tcW w:w="2244" w:type="dxa"/>
            <w:vMerge w:val="restart"/>
            <w:tcBorders>
              <w:top w:val="nil"/>
              <w:left w:val="nil"/>
              <w:bottom w:val="nil"/>
              <w:right w:val="single" w:color="auto" w:sz="4" w:space="0"/>
            </w:tcBorders>
            <w:shd w:val="clear" w:color="auto" w:fill="auto"/>
            <w:tcMar>
              <w:top w:w="15" w:type="dxa"/>
              <w:left w:w="15" w:type="dxa"/>
              <w:bottom w:w="15" w:type="dxa"/>
              <w:right w:w="15" w:type="dxa"/>
            </w:tcMar>
            <w:vAlign w:val="center"/>
          </w:tcPr>
          <w:p w14:paraId="3F6DAD51">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工程项目土建、安装单位</w:t>
            </w:r>
          </w:p>
        </w:tc>
        <w:tc>
          <w:tcPr>
            <w:tcW w:w="2692"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6800FB61">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200万元≦建安费用Y≦1000万元</w:t>
            </w:r>
          </w:p>
        </w:tc>
        <w:tc>
          <w:tcPr>
            <w:tcW w:w="2567"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19CF68F6">
            <w:pPr>
              <w:tabs>
                <w:tab w:val="center" w:pos="4201"/>
                <w:tab w:val="right" w:leader="dot" w:pos="9298"/>
              </w:tabs>
              <w:autoSpaceDE w:val="0"/>
              <w:autoSpaceDN w:val="0"/>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火灾、环保、微伤事故为零</w:t>
            </w:r>
          </w:p>
          <w:p w14:paraId="0D241B4E">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项目安全环保综合评价80分以上</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DDD9F17">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20000</w:t>
            </w:r>
          </w:p>
        </w:tc>
      </w:tr>
      <w:tr w14:paraId="3570F691">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4C1A228A">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16</w:t>
            </w:r>
          </w:p>
        </w:tc>
        <w:tc>
          <w:tcPr>
            <w:tcW w:w="2244" w:type="dxa"/>
            <w:vMerge w:val="continue"/>
            <w:tcBorders>
              <w:top w:val="nil"/>
              <w:left w:val="nil"/>
              <w:bottom w:val="nil"/>
              <w:right w:val="single" w:color="auto" w:sz="4" w:space="0"/>
            </w:tcBorders>
            <w:shd w:val="clear" w:color="auto" w:fill="auto"/>
            <w:tcMar>
              <w:top w:w="15" w:type="dxa"/>
              <w:left w:w="15" w:type="dxa"/>
              <w:bottom w:w="15" w:type="dxa"/>
              <w:right w:w="15" w:type="dxa"/>
            </w:tcMar>
            <w:vAlign w:val="center"/>
          </w:tcPr>
          <w:p w14:paraId="71D1EE48">
            <w:pPr>
              <w:rPr>
                <w:color w:val="auto"/>
                <w:sz w:val="20"/>
                <w:szCs w:val="20"/>
                <w:highlight w:val="none"/>
              </w:rPr>
            </w:pPr>
          </w:p>
        </w:tc>
        <w:tc>
          <w:tcPr>
            <w:tcW w:w="2692"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78325648">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1000万元≦建安费用Y≦3000万元</w:t>
            </w:r>
          </w:p>
        </w:tc>
        <w:tc>
          <w:tcPr>
            <w:tcW w:w="2567"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27C6500C">
            <w:pPr>
              <w:tabs>
                <w:tab w:val="center" w:pos="4201"/>
                <w:tab w:val="right" w:leader="dot" w:pos="9298"/>
              </w:tabs>
              <w:autoSpaceDE w:val="0"/>
              <w:autoSpaceDN w:val="0"/>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火灾、环保、微伤事故为零</w:t>
            </w:r>
          </w:p>
          <w:p w14:paraId="1A896109">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项目安全环保综合评价80分以上</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893096D">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50000</w:t>
            </w:r>
          </w:p>
        </w:tc>
      </w:tr>
      <w:tr w14:paraId="0FBFD1BA">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07080113">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17</w:t>
            </w:r>
          </w:p>
        </w:tc>
        <w:tc>
          <w:tcPr>
            <w:tcW w:w="2244" w:type="dxa"/>
            <w:vMerge w:val="continue"/>
            <w:tcBorders>
              <w:top w:val="nil"/>
              <w:left w:val="nil"/>
              <w:bottom w:val="nil"/>
              <w:right w:val="single" w:color="auto" w:sz="4" w:space="0"/>
            </w:tcBorders>
            <w:shd w:val="clear" w:color="auto" w:fill="auto"/>
            <w:tcMar>
              <w:top w:w="15" w:type="dxa"/>
              <w:left w:w="15" w:type="dxa"/>
              <w:bottom w:w="15" w:type="dxa"/>
              <w:right w:w="15" w:type="dxa"/>
            </w:tcMar>
            <w:vAlign w:val="center"/>
          </w:tcPr>
          <w:p w14:paraId="23C41F39">
            <w:pPr>
              <w:rPr>
                <w:color w:val="auto"/>
                <w:sz w:val="20"/>
                <w:szCs w:val="20"/>
                <w:highlight w:val="none"/>
              </w:rPr>
            </w:pPr>
          </w:p>
        </w:tc>
        <w:tc>
          <w:tcPr>
            <w:tcW w:w="2692"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5A62601C">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3000万元≦建安费用Y≦1亿元</w:t>
            </w:r>
          </w:p>
        </w:tc>
        <w:tc>
          <w:tcPr>
            <w:tcW w:w="2567"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2EAA4F44">
            <w:pPr>
              <w:tabs>
                <w:tab w:val="center" w:pos="4201"/>
                <w:tab w:val="right" w:leader="dot" w:pos="9298"/>
              </w:tabs>
              <w:autoSpaceDE w:val="0"/>
              <w:autoSpaceDN w:val="0"/>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微伤送医事故≦1起，火灾、环保、轻微伤及以上事故为零</w:t>
            </w:r>
          </w:p>
          <w:p w14:paraId="2E679116">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项目安全环保综合评价80分以上</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03805B2">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100000</w:t>
            </w:r>
          </w:p>
        </w:tc>
      </w:tr>
      <w:tr w14:paraId="15F3EEFE">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492FC119">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18</w:t>
            </w:r>
          </w:p>
        </w:tc>
        <w:tc>
          <w:tcPr>
            <w:tcW w:w="2244" w:type="dxa"/>
            <w:vMerge w:val="continue"/>
            <w:tcBorders>
              <w:top w:val="nil"/>
              <w:left w:val="nil"/>
              <w:bottom w:val="nil"/>
              <w:right w:val="single" w:color="auto" w:sz="4" w:space="0"/>
            </w:tcBorders>
            <w:shd w:val="clear" w:color="auto" w:fill="auto"/>
            <w:tcMar>
              <w:top w:w="15" w:type="dxa"/>
              <w:left w:w="15" w:type="dxa"/>
              <w:bottom w:w="15" w:type="dxa"/>
              <w:right w:w="15" w:type="dxa"/>
            </w:tcMar>
            <w:vAlign w:val="center"/>
          </w:tcPr>
          <w:p w14:paraId="0E480FA2">
            <w:pPr>
              <w:rPr>
                <w:color w:val="auto"/>
                <w:sz w:val="20"/>
                <w:szCs w:val="20"/>
                <w:highlight w:val="none"/>
              </w:rPr>
            </w:pPr>
          </w:p>
        </w:tc>
        <w:tc>
          <w:tcPr>
            <w:tcW w:w="2692"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69C859FA">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1亿元≦建安费用Y≦3亿元</w:t>
            </w:r>
          </w:p>
        </w:tc>
        <w:tc>
          <w:tcPr>
            <w:tcW w:w="2567"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77FF0877">
            <w:pPr>
              <w:tabs>
                <w:tab w:val="center" w:pos="4201"/>
                <w:tab w:val="right" w:leader="dot" w:pos="9298"/>
              </w:tabs>
              <w:autoSpaceDE w:val="0"/>
              <w:autoSpaceDN w:val="0"/>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微伤送医事故≦2起，火灾、环保、轻微伤及以上事故为零</w:t>
            </w:r>
          </w:p>
          <w:p w14:paraId="33F48393">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项目安全环保综合评价80分以上</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8F807A8">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300000</w:t>
            </w:r>
          </w:p>
        </w:tc>
      </w:tr>
    </w:tbl>
    <w:p w14:paraId="67EC8BF8">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4D56695E">
      <w:pPr>
        <w:pStyle w:val="18"/>
        <w:autoSpaceDE w:val="0"/>
        <w:spacing w:line="360" w:lineRule="auto"/>
        <w:jc w:val="center"/>
        <w:rPr>
          <w:rFonts w:ascii="微软雅黑" w:hAnsi="微软雅黑" w:eastAsia="微软雅黑" w:cs="微软雅黑"/>
          <w:b/>
          <w:bCs/>
          <w:color w:val="auto"/>
          <w:spacing w:val="25"/>
          <w:position w:val="-1"/>
          <w:sz w:val="35"/>
          <w:szCs w:val="35"/>
          <w:highlight w:val="none"/>
        </w:rPr>
      </w:pPr>
      <w:r>
        <w:rPr>
          <w:rFonts w:hint="eastAsia" w:ascii="宋体" w:hAnsi="宋体" w:cs="宋体"/>
          <w:b/>
          <w:bCs/>
          <w:color w:val="auto"/>
          <w:kern w:val="0"/>
          <w:szCs w:val="24"/>
          <w:highlight w:val="none"/>
          <w:lang w:bidi="ar"/>
        </w:rPr>
        <w:t>附件3：承包商评价表</w:t>
      </w:r>
    </w:p>
    <w:p w14:paraId="45ADC83C">
      <w:pPr>
        <w:spacing w:before="178" w:line="351" w:lineRule="exact"/>
        <w:jc w:val="center"/>
        <w:outlineLvl w:val="1"/>
        <w:rPr>
          <w:rFonts w:ascii="Arial" w:hAnsi="Calibri"/>
          <w:color w:val="auto"/>
          <w:szCs w:val="21"/>
          <w:highlight w:val="none"/>
        </w:rPr>
      </w:pPr>
      <w:r>
        <w:rPr>
          <w:rFonts w:hint="eastAsia" w:ascii="微软雅黑" w:hAnsi="微软雅黑" w:eastAsia="微软雅黑" w:cs="微软雅黑"/>
          <w:color w:val="auto"/>
          <w:spacing w:val="25"/>
          <w:kern w:val="0"/>
          <w:position w:val="-1"/>
          <w:sz w:val="35"/>
          <w:szCs w:val="35"/>
          <w:highlight w:val="none"/>
          <w:lang w:bidi="ar"/>
        </w:rPr>
        <w:t>承包商评价表</w:t>
      </w:r>
    </w:p>
    <w:p w14:paraId="54A5A533">
      <w:pPr>
        <w:pStyle w:val="18"/>
        <w:spacing w:before="91"/>
        <w:ind w:left="694"/>
        <w:rPr>
          <w:rFonts w:ascii="仿宋" w:hAnsi="仿宋" w:eastAsia="仿宋" w:cs="仿宋"/>
          <w:color w:val="auto"/>
          <w:sz w:val="28"/>
          <w:szCs w:val="28"/>
          <w:highlight w:val="none"/>
        </w:rPr>
      </w:pPr>
      <w:r>
        <w:rPr>
          <w:rFonts w:hint="eastAsia" w:ascii="仿宋" w:hAnsi="仿宋" w:eastAsia="仿宋" w:cs="仿宋"/>
          <w:color w:val="auto"/>
          <w:spacing w:val="-2"/>
          <w:kern w:val="0"/>
          <w:sz w:val="28"/>
          <w:szCs w:val="28"/>
          <w:highlight w:val="none"/>
          <w:lang w:bidi="ar"/>
        </w:rPr>
        <w:t>承包商名称：</w:t>
      </w:r>
    </w:p>
    <w:p w14:paraId="1351E250">
      <w:pPr>
        <w:spacing w:line="22" w:lineRule="exact"/>
        <w:rPr>
          <w:rFonts w:ascii="Calibri" w:hAnsi="Calibri"/>
          <w:color w:val="auto"/>
          <w:szCs w:val="21"/>
          <w:highlight w:val="none"/>
        </w:rPr>
      </w:pPr>
      <w:r>
        <w:rPr>
          <w:rFonts w:ascii="Calibri" w:hAnsi="Calibri"/>
          <w:color w:val="auto"/>
          <w:kern w:val="0"/>
          <w:szCs w:val="21"/>
          <w:highlight w:val="none"/>
          <w:lang w:bidi="ar"/>
        </w:rPr>
        <w:t xml:space="preserve"> </w:t>
      </w:r>
    </w:p>
    <w:tbl>
      <w:tblPr>
        <w:tblStyle w:val="68"/>
        <w:tblW w:w="9157" w:type="dxa"/>
        <w:tblInd w:w="1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9"/>
        <w:gridCol w:w="1035"/>
        <w:gridCol w:w="4163"/>
        <w:gridCol w:w="671"/>
        <w:gridCol w:w="731"/>
        <w:gridCol w:w="1778"/>
      </w:tblGrid>
      <w:tr w14:paraId="67A2FA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8" w:hRule="atLeast"/>
        </w:trPr>
        <w:tc>
          <w:tcPr>
            <w:tcW w:w="779" w:type="dxa"/>
            <w:tcBorders>
              <w:top w:val="single" w:color="000000" w:sz="2" w:space="0"/>
              <w:left w:val="single" w:color="000000" w:sz="2" w:space="0"/>
              <w:bottom w:val="single" w:color="000000" w:sz="2" w:space="0"/>
              <w:right w:val="single" w:color="000000" w:sz="2" w:space="0"/>
            </w:tcBorders>
            <w:shd w:val="clear" w:color="auto" w:fill="auto"/>
          </w:tcPr>
          <w:p w14:paraId="507F03BC">
            <w:pPr>
              <w:pStyle w:val="18"/>
              <w:spacing w:before="253"/>
              <w:ind w:left="162" w:right="147" w:hanging="7"/>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评价</w:t>
            </w:r>
            <w:r>
              <w:rPr>
                <w:rFonts w:hint="eastAsia" w:ascii="仿宋" w:hAnsi="仿宋" w:eastAsia="仿宋" w:cs="仿宋"/>
                <w:color w:val="auto"/>
                <w:spacing w:val="-9"/>
                <w:kern w:val="0"/>
                <w:szCs w:val="24"/>
                <w:highlight w:val="none"/>
                <w:lang w:bidi="ar"/>
              </w:rPr>
              <w:t>维度</w:t>
            </w: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2F3D8698">
            <w:pPr>
              <w:pStyle w:val="18"/>
              <w:spacing w:before="254"/>
              <w:ind w:left="401" w:right="155" w:hanging="238"/>
              <w:rPr>
                <w:rFonts w:ascii="仿宋" w:hAnsi="仿宋" w:eastAsia="仿宋" w:cs="仿宋"/>
                <w:color w:val="auto"/>
                <w:szCs w:val="24"/>
                <w:highlight w:val="none"/>
              </w:rPr>
            </w:pPr>
            <w:r>
              <w:rPr>
                <w:rFonts w:hint="eastAsia" w:ascii="仿宋" w:hAnsi="仿宋" w:eastAsia="仿宋" w:cs="仿宋"/>
                <w:color w:val="auto"/>
                <w:spacing w:val="-4"/>
                <w:kern w:val="0"/>
                <w:szCs w:val="24"/>
                <w:highlight w:val="none"/>
                <w:lang w:bidi="ar"/>
              </w:rPr>
              <w:t>评价指</w:t>
            </w:r>
            <w:r>
              <w:rPr>
                <w:rFonts w:hint="eastAsia" w:ascii="仿宋" w:hAnsi="仿宋" w:eastAsia="仿宋" w:cs="仿宋"/>
                <w:color w:val="auto"/>
                <w:kern w:val="0"/>
                <w:szCs w:val="24"/>
                <w:highlight w:val="none"/>
                <w:lang w:bidi="ar"/>
              </w:rPr>
              <w:t>标</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77668F6F">
            <w:pPr>
              <w:spacing w:line="328" w:lineRule="auto"/>
              <w:rPr>
                <w:rFonts w:ascii="Arial" w:hAnsi="Calibri"/>
                <w:color w:val="auto"/>
                <w:szCs w:val="21"/>
                <w:highlight w:val="none"/>
              </w:rPr>
            </w:pPr>
          </w:p>
          <w:p w14:paraId="1B9B2B5E">
            <w:pPr>
              <w:pStyle w:val="18"/>
              <w:spacing w:before="78"/>
              <w:ind w:left="1007"/>
              <w:rPr>
                <w:rFonts w:ascii="仿宋" w:hAnsi="仿宋" w:eastAsia="仿宋" w:cs="仿宋"/>
                <w:color w:val="auto"/>
                <w:szCs w:val="24"/>
                <w:highlight w:val="none"/>
              </w:rPr>
            </w:pPr>
            <w:r>
              <w:rPr>
                <w:rFonts w:hint="eastAsia" w:ascii="仿宋" w:hAnsi="仿宋" w:eastAsia="仿宋" w:cs="仿宋"/>
                <w:color w:val="auto"/>
                <w:spacing w:val="-2"/>
                <w:kern w:val="0"/>
                <w:szCs w:val="24"/>
                <w:highlight w:val="none"/>
                <w:lang w:bidi="ar"/>
              </w:rPr>
              <w:t>评价内容与评分标准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70BCFAC6">
            <w:pPr>
              <w:pStyle w:val="18"/>
              <w:spacing w:before="210"/>
              <w:ind w:left="97"/>
              <w:rPr>
                <w:rFonts w:ascii="仿宋" w:hAnsi="仿宋" w:eastAsia="仿宋" w:cs="仿宋"/>
                <w:color w:val="auto"/>
                <w:szCs w:val="24"/>
                <w:highlight w:val="none"/>
              </w:rPr>
            </w:pPr>
            <w:r>
              <w:rPr>
                <w:rFonts w:hint="eastAsia" w:ascii="仿宋" w:hAnsi="仿宋" w:eastAsia="仿宋" w:cs="仿宋"/>
                <w:color w:val="auto"/>
                <w:spacing w:val="47"/>
                <w:kern w:val="0"/>
                <w:szCs w:val="24"/>
                <w:highlight w:val="none"/>
                <w:lang w:bidi="ar"/>
              </w:rPr>
              <w:t>标准分</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5EF9C92">
            <w:pPr>
              <w:pStyle w:val="18"/>
              <w:spacing w:before="121"/>
              <w:ind w:left="253"/>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得</w:t>
            </w:r>
            <w:r>
              <w:rPr>
                <w:rFonts w:hint="eastAsia" w:ascii="仿宋" w:hAnsi="仿宋" w:eastAsia="仿宋" w:cs="仿宋"/>
                <w:color w:val="auto"/>
                <w:spacing w:val="-47"/>
                <w:kern w:val="0"/>
                <w:szCs w:val="24"/>
                <w:highlight w:val="none"/>
                <w:lang w:bidi="ar"/>
              </w:rPr>
              <w:t xml:space="preserve"> </w:t>
            </w:r>
            <w:r>
              <w:rPr>
                <w:rFonts w:hint="eastAsia" w:ascii="仿宋" w:hAnsi="仿宋" w:eastAsia="仿宋" w:cs="仿宋"/>
                <w:color w:val="auto"/>
                <w:spacing w:val="-1"/>
                <w:kern w:val="0"/>
                <w:szCs w:val="24"/>
                <w:highlight w:val="none"/>
                <w:lang w:bidi="ar"/>
              </w:rPr>
              <w:t>分</w:t>
            </w: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126ABB30">
            <w:pPr>
              <w:spacing w:line="328" w:lineRule="auto"/>
              <w:rPr>
                <w:rFonts w:ascii="Arial" w:hAnsi="Calibri"/>
                <w:color w:val="auto"/>
                <w:szCs w:val="21"/>
                <w:highlight w:val="none"/>
              </w:rPr>
            </w:pPr>
          </w:p>
          <w:p w14:paraId="5EE52035">
            <w:pPr>
              <w:pStyle w:val="18"/>
              <w:spacing w:before="78"/>
              <w:ind w:left="535"/>
              <w:rPr>
                <w:rFonts w:ascii="仿宋" w:hAnsi="仿宋" w:eastAsia="仿宋" w:cs="仿宋"/>
                <w:color w:val="auto"/>
                <w:szCs w:val="24"/>
                <w:highlight w:val="none"/>
              </w:rPr>
            </w:pPr>
            <w:r>
              <w:rPr>
                <w:rFonts w:hint="eastAsia" w:ascii="仿宋" w:hAnsi="仿宋" w:eastAsia="仿宋" w:cs="仿宋"/>
                <w:color w:val="auto"/>
                <w:spacing w:val="-3"/>
                <w:kern w:val="0"/>
                <w:szCs w:val="24"/>
                <w:highlight w:val="none"/>
                <w:lang w:bidi="ar"/>
              </w:rPr>
              <w:t>评分说明</w:t>
            </w:r>
          </w:p>
        </w:tc>
      </w:tr>
      <w:tr w14:paraId="063FCA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5" w:hRule="atLeast"/>
        </w:trPr>
        <w:tc>
          <w:tcPr>
            <w:tcW w:w="779" w:type="dxa"/>
            <w:vMerge w:val="restart"/>
            <w:tcBorders>
              <w:top w:val="nil"/>
              <w:left w:val="single" w:color="000000" w:sz="2" w:space="0"/>
              <w:bottom w:val="nil"/>
              <w:right w:val="single" w:color="000000" w:sz="2" w:space="0"/>
            </w:tcBorders>
            <w:shd w:val="clear" w:color="auto" w:fill="auto"/>
          </w:tcPr>
          <w:p w14:paraId="12B87FC3">
            <w:pPr>
              <w:spacing w:line="259" w:lineRule="auto"/>
              <w:rPr>
                <w:rFonts w:ascii="Arial" w:hAnsi="Calibri"/>
                <w:color w:val="auto"/>
                <w:szCs w:val="21"/>
                <w:highlight w:val="none"/>
              </w:rPr>
            </w:pPr>
          </w:p>
          <w:p w14:paraId="0C2B65CD">
            <w:pPr>
              <w:spacing w:line="259" w:lineRule="auto"/>
              <w:rPr>
                <w:rFonts w:ascii="Arial" w:hAnsi="Calibri"/>
                <w:color w:val="auto"/>
                <w:szCs w:val="21"/>
                <w:highlight w:val="none"/>
              </w:rPr>
            </w:pPr>
          </w:p>
          <w:p w14:paraId="2FEEFD9E">
            <w:pPr>
              <w:spacing w:line="259" w:lineRule="auto"/>
              <w:rPr>
                <w:rFonts w:ascii="Arial" w:hAnsi="Calibri"/>
                <w:color w:val="auto"/>
                <w:szCs w:val="21"/>
                <w:highlight w:val="none"/>
              </w:rPr>
            </w:pPr>
          </w:p>
          <w:p w14:paraId="3F90AC69">
            <w:pPr>
              <w:spacing w:line="259" w:lineRule="auto"/>
              <w:rPr>
                <w:rFonts w:ascii="Arial" w:hAnsi="Calibri"/>
                <w:color w:val="auto"/>
                <w:szCs w:val="21"/>
                <w:highlight w:val="none"/>
              </w:rPr>
            </w:pPr>
          </w:p>
          <w:p w14:paraId="1BC0DFC9">
            <w:pPr>
              <w:pStyle w:val="18"/>
              <w:spacing w:before="78"/>
              <w:ind w:left="156" w:right="147" w:firstLine="14"/>
              <w:rPr>
                <w:rFonts w:ascii="仿宋" w:hAnsi="仿宋" w:eastAsia="仿宋" w:cs="仿宋"/>
                <w:color w:val="auto"/>
                <w:szCs w:val="24"/>
                <w:highlight w:val="none"/>
              </w:rPr>
            </w:pPr>
            <w:r>
              <w:rPr>
                <w:rFonts w:hint="eastAsia" w:ascii="仿宋" w:hAnsi="仿宋" w:eastAsia="仿宋" w:cs="仿宋"/>
                <w:color w:val="auto"/>
                <w:spacing w:val="-9"/>
                <w:kern w:val="0"/>
                <w:szCs w:val="24"/>
                <w:highlight w:val="none"/>
                <w:lang w:bidi="ar"/>
              </w:rPr>
              <w:t>1.资</w:t>
            </w:r>
            <w:r>
              <w:rPr>
                <w:rFonts w:hint="eastAsia" w:ascii="仿宋" w:hAnsi="仿宋" w:eastAsia="仿宋" w:cs="仿宋"/>
                <w:color w:val="auto"/>
                <w:spacing w:val="-6"/>
                <w:kern w:val="0"/>
                <w:szCs w:val="24"/>
                <w:highlight w:val="none"/>
                <w:lang w:bidi="ar"/>
              </w:rPr>
              <w:t>质与合规</w:t>
            </w:r>
            <w:r>
              <w:rPr>
                <w:rFonts w:hint="eastAsia" w:ascii="仿宋" w:hAnsi="仿宋" w:eastAsia="仿宋" w:cs="仿宋"/>
                <w:color w:val="auto"/>
                <w:spacing w:val="16"/>
                <w:kern w:val="0"/>
                <w:szCs w:val="24"/>
                <w:highlight w:val="none"/>
                <w:lang w:bidi="ar"/>
              </w:rPr>
              <w:t>(15</w:t>
            </w:r>
            <w:r>
              <w:rPr>
                <w:rFonts w:hint="eastAsia" w:ascii="仿宋" w:hAnsi="仿宋" w:eastAsia="仿宋" w:cs="仿宋"/>
                <w:color w:val="auto"/>
                <w:spacing w:val="24"/>
                <w:kern w:val="0"/>
                <w:szCs w:val="24"/>
                <w:highlight w:val="none"/>
                <w:lang w:bidi="ar"/>
              </w:rPr>
              <w:t>分)</w:t>
            </w: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4C0EF18A">
            <w:pPr>
              <w:pStyle w:val="18"/>
              <w:spacing w:before="96"/>
              <w:ind w:left="164" w:right="155" w:firstLine="42"/>
              <w:rPr>
                <w:rFonts w:ascii="仿宋" w:hAnsi="仿宋" w:eastAsia="仿宋" w:cs="仿宋"/>
                <w:color w:val="auto"/>
                <w:szCs w:val="24"/>
                <w:highlight w:val="none"/>
              </w:rPr>
            </w:pPr>
            <w:r>
              <w:rPr>
                <w:rFonts w:hint="eastAsia" w:ascii="仿宋" w:hAnsi="仿宋" w:eastAsia="仿宋" w:cs="仿宋"/>
                <w:color w:val="auto"/>
                <w:spacing w:val="-12"/>
                <w:kern w:val="0"/>
                <w:szCs w:val="24"/>
                <w:highlight w:val="none"/>
                <w:lang w:bidi="ar"/>
              </w:rPr>
              <w:t>1.1</w:t>
            </w:r>
            <w:r>
              <w:rPr>
                <w:rFonts w:hint="eastAsia" w:ascii="仿宋" w:hAnsi="仿宋" w:eastAsia="仿宋" w:cs="仿宋"/>
                <w:color w:val="auto"/>
                <w:spacing w:val="-38"/>
                <w:kern w:val="0"/>
                <w:szCs w:val="24"/>
                <w:highlight w:val="none"/>
                <w:lang w:bidi="ar"/>
              </w:rPr>
              <w:t xml:space="preserve"> </w:t>
            </w:r>
            <w:r>
              <w:rPr>
                <w:rFonts w:hint="eastAsia" w:ascii="仿宋" w:hAnsi="仿宋" w:eastAsia="仿宋" w:cs="仿宋"/>
                <w:color w:val="auto"/>
                <w:spacing w:val="-12"/>
                <w:kern w:val="0"/>
                <w:szCs w:val="24"/>
                <w:highlight w:val="none"/>
                <w:lang w:bidi="ar"/>
              </w:rPr>
              <w:t>资</w:t>
            </w:r>
            <w:r>
              <w:rPr>
                <w:rFonts w:hint="eastAsia" w:ascii="仿宋" w:hAnsi="仿宋" w:eastAsia="仿宋" w:cs="仿宋"/>
                <w:color w:val="auto"/>
                <w:spacing w:val="-4"/>
                <w:kern w:val="0"/>
                <w:szCs w:val="24"/>
                <w:highlight w:val="none"/>
                <w:lang w:bidi="ar"/>
              </w:rPr>
              <w:t>质证照</w:t>
            </w:r>
          </w:p>
          <w:p w14:paraId="09D0192A">
            <w:pPr>
              <w:pStyle w:val="18"/>
              <w:spacing w:before="1"/>
              <w:ind w:left="169"/>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有效性</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44926432">
            <w:pPr>
              <w:pStyle w:val="18"/>
              <w:spacing w:before="94"/>
              <w:ind w:left="132" w:right="49" w:firstLine="8"/>
              <w:rPr>
                <w:rFonts w:ascii="仿宋" w:hAnsi="仿宋" w:eastAsia="仿宋" w:cs="仿宋"/>
                <w:color w:val="auto"/>
                <w:szCs w:val="24"/>
                <w:highlight w:val="none"/>
              </w:rPr>
            </w:pPr>
            <w:r>
              <w:rPr>
                <w:rFonts w:hint="eastAsia" w:ascii="仿宋" w:hAnsi="仿宋" w:eastAsia="仿宋" w:cs="仿宋"/>
                <w:color w:val="auto"/>
                <w:spacing w:val="-2"/>
                <w:kern w:val="0"/>
                <w:szCs w:val="24"/>
                <w:highlight w:val="none"/>
                <w:lang w:bidi="ar"/>
              </w:rPr>
              <w:t>营业执照、资质证书、安全生产许可证等齐全有效，并在许可范围内开展</w:t>
            </w:r>
            <w:r>
              <w:rPr>
                <w:rFonts w:hint="eastAsia" w:ascii="仿宋" w:hAnsi="仿宋" w:eastAsia="仿宋" w:cs="仿宋"/>
                <w:color w:val="auto"/>
                <w:spacing w:val="-8"/>
                <w:kern w:val="0"/>
                <w:szCs w:val="24"/>
                <w:highlight w:val="none"/>
                <w:lang w:bidi="ar"/>
              </w:rPr>
              <w:t>业务。一项不符合扣</w:t>
            </w:r>
            <w:r>
              <w:rPr>
                <w:rFonts w:hint="eastAsia" w:ascii="仿宋" w:hAnsi="仿宋" w:eastAsia="仿宋" w:cs="仿宋"/>
                <w:color w:val="auto"/>
                <w:spacing w:val="-41"/>
                <w:kern w:val="0"/>
                <w:szCs w:val="24"/>
                <w:highlight w:val="none"/>
                <w:lang w:bidi="ar"/>
              </w:rPr>
              <w:t xml:space="preserve"> </w:t>
            </w:r>
            <w:r>
              <w:rPr>
                <w:rFonts w:hint="eastAsia" w:ascii="仿宋" w:hAnsi="仿宋" w:eastAsia="仿宋" w:cs="仿宋"/>
                <w:color w:val="auto"/>
                <w:spacing w:val="-8"/>
                <w:kern w:val="0"/>
                <w:szCs w:val="24"/>
                <w:highlight w:val="none"/>
                <w:lang w:bidi="ar"/>
              </w:rPr>
              <w:t>2</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8"/>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26EE9FB3">
            <w:pPr>
              <w:spacing w:line="326" w:lineRule="auto"/>
              <w:rPr>
                <w:rFonts w:ascii="Arial" w:hAnsi="Calibri"/>
                <w:color w:val="auto"/>
                <w:szCs w:val="21"/>
                <w:highlight w:val="none"/>
              </w:rPr>
            </w:pPr>
          </w:p>
          <w:p w14:paraId="5C593C62">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B2C4EE7">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3E6FE642">
            <w:pPr>
              <w:rPr>
                <w:rFonts w:ascii="Arial" w:hAnsi="Calibri"/>
                <w:color w:val="auto"/>
                <w:szCs w:val="21"/>
                <w:highlight w:val="none"/>
              </w:rPr>
            </w:pPr>
          </w:p>
        </w:tc>
      </w:tr>
      <w:tr w14:paraId="2C5D02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779" w:type="dxa"/>
            <w:vMerge w:val="continue"/>
            <w:tcBorders>
              <w:top w:val="nil"/>
              <w:left w:val="single" w:color="000000" w:sz="2" w:space="0"/>
              <w:bottom w:val="nil"/>
              <w:right w:val="single" w:color="000000" w:sz="2" w:space="0"/>
            </w:tcBorders>
            <w:shd w:val="clear" w:color="auto" w:fill="auto"/>
          </w:tcPr>
          <w:p w14:paraId="674466F2">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37778F89">
            <w:pPr>
              <w:pStyle w:val="18"/>
              <w:spacing w:before="252"/>
              <w:ind w:left="207"/>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1.2</w:t>
            </w:r>
            <w:r>
              <w:rPr>
                <w:rFonts w:hint="eastAsia" w:ascii="仿宋" w:hAnsi="仿宋" w:eastAsia="仿宋" w:cs="仿宋"/>
                <w:color w:val="auto"/>
                <w:spacing w:val="-38"/>
                <w:kern w:val="0"/>
                <w:szCs w:val="24"/>
                <w:highlight w:val="none"/>
                <w:lang w:bidi="ar"/>
              </w:rPr>
              <w:t xml:space="preserve"> </w:t>
            </w:r>
            <w:r>
              <w:rPr>
                <w:rFonts w:hint="eastAsia" w:ascii="仿宋" w:hAnsi="仿宋" w:eastAsia="仿宋" w:cs="仿宋"/>
                <w:color w:val="auto"/>
                <w:spacing w:val="-7"/>
                <w:kern w:val="0"/>
                <w:szCs w:val="24"/>
                <w:highlight w:val="none"/>
                <w:lang w:bidi="ar"/>
              </w:rPr>
              <w:t>关</w:t>
            </w:r>
          </w:p>
          <w:p w14:paraId="1C3F9A71">
            <w:pPr>
              <w:pStyle w:val="18"/>
              <w:spacing w:before="27"/>
              <w:ind w:left="158"/>
              <w:rPr>
                <w:rFonts w:ascii="仿宋" w:hAnsi="仿宋" w:eastAsia="仿宋" w:cs="仿宋"/>
                <w:color w:val="auto"/>
                <w:szCs w:val="24"/>
                <w:highlight w:val="none"/>
              </w:rPr>
            </w:pPr>
            <w:r>
              <w:rPr>
                <w:rFonts w:hint="eastAsia" w:ascii="仿宋" w:hAnsi="仿宋" w:eastAsia="仿宋" w:cs="仿宋"/>
                <w:color w:val="auto"/>
                <w:spacing w:val="-2"/>
                <w:kern w:val="0"/>
                <w:szCs w:val="24"/>
                <w:highlight w:val="none"/>
                <w:lang w:bidi="ar"/>
              </w:rPr>
              <w:t>键岗位</w:t>
            </w:r>
          </w:p>
          <w:p w14:paraId="512C1194">
            <w:pPr>
              <w:pStyle w:val="18"/>
              <w:spacing w:before="30"/>
              <w:ind w:left="286"/>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持证</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3D4D1DBF">
            <w:pPr>
              <w:pStyle w:val="18"/>
              <w:spacing w:before="94"/>
              <w:ind w:left="127" w:right="49" w:firstLine="7"/>
              <w:rPr>
                <w:rFonts w:ascii="仿宋" w:hAnsi="仿宋" w:eastAsia="仿宋" w:cs="仿宋"/>
                <w:color w:val="auto"/>
                <w:szCs w:val="24"/>
                <w:highlight w:val="none"/>
              </w:rPr>
            </w:pPr>
            <w:r>
              <w:rPr>
                <w:rFonts w:hint="eastAsia" w:ascii="仿宋" w:hAnsi="仿宋" w:eastAsia="仿宋" w:cs="仿宋"/>
                <w:color w:val="auto"/>
                <w:spacing w:val="-3"/>
                <w:kern w:val="0"/>
                <w:szCs w:val="24"/>
                <w:highlight w:val="none"/>
                <w:lang w:bidi="ar"/>
              </w:rPr>
              <w:t>主要负责人、安全管理人员</w:t>
            </w:r>
            <w:r>
              <w:rPr>
                <w:rFonts w:hint="eastAsia" w:ascii="仿宋" w:hAnsi="仿宋" w:eastAsia="仿宋" w:cs="仿宋"/>
                <w:color w:val="auto"/>
                <w:spacing w:val="-27"/>
                <w:kern w:val="0"/>
                <w:szCs w:val="24"/>
                <w:highlight w:val="none"/>
                <w:lang w:bidi="ar"/>
              </w:rPr>
              <w:t xml:space="preserve"> </w:t>
            </w:r>
            <w:r>
              <w:rPr>
                <w:rFonts w:hint="eastAsia" w:ascii="仿宋" w:hAnsi="仿宋" w:eastAsia="仿宋" w:cs="仿宋"/>
                <w:color w:val="auto"/>
                <w:spacing w:val="-3"/>
                <w:kern w:val="0"/>
                <w:szCs w:val="24"/>
                <w:highlight w:val="none"/>
                <w:lang w:bidi="ar"/>
              </w:rPr>
              <w:t>100%持有</w:t>
            </w:r>
            <w:r>
              <w:rPr>
                <w:rFonts w:hint="eastAsia" w:ascii="仿宋" w:hAnsi="仿宋" w:eastAsia="仿宋" w:cs="仿宋"/>
                <w:color w:val="auto"/>
                <w:spacing w:val="-1"/>
                <w:kern w:val="0"/>
                <w:szCs w:val="24"/>
                <w:highlight w:val="none"/>
                <w:lang w:bidi="ar"/>
              </w:rPr>
              <w:t>有效安全生产考核合格证；特种（设</w:t>
            </w:r>
            <w:r>
              <w:rPr>
                <w:rFonts w:hint="eastAsia" w:ascii="仿宋" w:hAnsi="仿宋" w:eastAsia="仿宋" w:cs="仿宋"/>
                <w:color w:val="auto"/>
                <w:spacing w:val="-10"/>
                <w:kern w:val="0"/>
                <w:szCs w:val="24"/>
                <w:highlight w:val="none"/>
                <w:lang w:bidi="ar"/>
              </w:rPr>
              <w:t>备）作业人员</w:t>
            </w:r>
            <w:r>
              <w:rPr>
                <w:rFonts w:hint="eastAsia" w:ascii="仿宋" w:hAnsi="仿宋" w:eastAsia="仿宋" w:cs="仿宋"/>
                <w:color w:val="auto"/>
                <w:spacing w:val="-31"/>
                <w:kern w:val="0"/>
                <w:szCs w:val="24"/>
                <w:highlight w:val="none"/>
                <w:lang w:bidi="ar"/>
              </w:rPr>
              <w:t xml:space="preserve"> </w:t>
            </w:r>
            <w:r>
              <w:rPr>
                <w:rFonts w:hint="eastAsia" w:ascii="仿宋" w:hAnsi="仿宋" w:eastAsia="仿宋" w:cs="仿宋"/>
                <w:color w:val="auto"/>
                <w:spacing w:val="-10"/>
                <w:kern w:val="0"/>
                <w:szCs w:val="24"/>
                <w:highlight w:val="none"/>
                <w:lang w:bidi="ar"/>
              </w:rPr>
              <w:t>100%持有效操作证上岗。</w:t>
            </w:r>
            <w:r>
              <w:rPr>
                <w:rFonts w:hint="eastAsia" w:ascii="仿宋" w:hAnsi="仿宋" w:eastAsia="仿宋" w:cs="仿宋"/>
                <w:color w:val="auto"/>
                <w:spacing w:val="-4"/>
                <w:kern w:val="0"/>
                <w:szCs w:val="24"/>
                <w:highlight w:val="none"/>
                <w:lang w:bidi="ar"/>
              </w:rPr>
              <w:t>一人不符合扣</w:t>
            </w:r>
            <w:r>
              <w:rPr>
                <w:rFonts w:hint="eastAsia" w:ascii="仿宋" w:hAnsi="仿宋" w:eastAsia="仿宋" w:cs="仿宋"/>
                <w:color w:val="auto"/>
                <w:spacing w:val="-29"/>
                <w:kern w:val="0"/>
                <w:szCs w:val="24"/>
                <w:highlight w:val="none"/>
                <w:lang w:bidi="ar"/>
              </w:rPr>
              <w:t xml:space="preserve"> </w:t>
            </w:r>
            <w:r>
              <w:rPr>
                <w:rFonts w:hint="eastAsia" w:ascii="仿宋" w:hAnsi="仿宋" w:eastAsia="仿宋" w:cs="仿宋"/>
                <w:color w:val="auto"/>
                <w:spacing w:val="-4"/>
                <w:kern w:val="0"/>
                <w:szCs w:val="24"/>
                <w:highlight w:val="none"/>
                <w:lang w:bidi="ar"/>
              </w:rPr>
              <w:t>2</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4"/>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469B4696">
            <w:pPr>
              <w:rPr>
                <w:rFonts w:ascii="Arial" w:hAnsi="Calibri"/>
                <w:color w:val="auto"/>
                <w:szCs w:val="21"/>
                <w:highlight w:val="none"/>
              </w:rPr>
            </w:pPr>
          </w:p>
          <w:p w14:paraId="7C2AC2BF">
            <w:pPr>
              <w:rPr>
                <w:rFonts w:ascii="Arial" w:hAnsi="Calibri"/>
                <w:color w:val="auto"/>
                <w:szCs w:val="21"/>
                <w:highlight w:val="none"/>
              </w:rPr>
            </w:pPr>
          </w:p>
          <w:p w14:paraId="0DAA91A5">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B987115">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4BBAEA90">
            <w:pPr>
              <w:rPr>
                <w:rFonts w:ascii="Arial" w:hAnsi="Calibri"/>
                <w:color w:val="auto"/>
                <w:szCs w:val="21"/>
                <w:highlight w:val="none"/>
              </w:rPr>
            </w:pPr>
          </w:p>
        </w:tc>
      </w:tr>
      <w:tr w14:paraId="6C176A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779" w:type="dxa"/>
            <w:vMerge w:val="continue"/>
            <w:tcBorders>
              <w:top w:val="nil"/>
              <w:left w:val="single" w:color="000000" w:sz="2" w:space="0"/>
              <w:bottom w:val="nil"/>
              <w:right w:val="single" w:color="000000" w:sz="2" w:space="0"/>
            </w:tcBorders>
            <w:shd w:val="clear" w:color="auto" w:fill="auto"/>
          </w:tcPr>
          <w:p w14:paraId="423B4576">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55C2B214">
            <w:pPr>
              <w:pStyle w:val="18"/>
              <w:spacing w:before="253"/>
              <w:ind w:left="163" w:right="155" w:firstLine="43"/>
              <w:rPr>
                <w:rFonts w:ascii="仿宋" w:hAnsi="仿宋" w:eastAsia="仿宋" w:cs="仿宋"/>
                <w:color w:val="auto"/>
                <w:szCs w:val="24"/>
                <w:highlight w:val="none"/>
              </w:rPr>
            </w:pPr>
            <w:r>
              <w:rPr>
                <w:rFonts w:hint="eastAsia" w:ascii="仿宋" w:hAnsi="仿宋" w:eastAsia="仿宋" w:cs="仿宋"/>
                <w:color w:val="auto"/>
                <w:spacing w:val="-10"/>
                <w:kern w:val="0"/>
                <w:szCs w:val="24"/>
                <w:highlight w:val="none"/>
                <w:lang w:bidi="ar"/>
              </w:rPr>
              <w:t>1.3</w:t>
            </w:r>
            <w:r>
              <w:rPr>
                <w:rFonts w:hint="eastAsia" w:ascii="仿宋" w:hAnsi="仿宋" w:eastAsia="仿宋" w:cs="仿宋"/>
                <w:color w:val="auto"/>
                <w:spacing w:val="-46"/>
                <w:kern w:val="0"/>
                <w:szCs w:val="24"/>
                <w:highlight w:val="none"/>
                <w:lang w:bidi="ar"/>
              </w:rPr>
              <w:t xml:space="preserve"> </w:t>
            </w:r>
            <w:r>
              <w:rPr>
                <w:rFonts w:hint="eastAsia" w:ascii="仿宋" w:hAnsi="仿宋" w:eastAsia="仿宋" w:cs="仿宋"/>
                <w:color w:val="auto"/>
                <w:spacing w:val="-10"/>
                <w:kern w:val="0"/>
                <w:szCs w:val="24"/>
                <w:highlight w:val="none"/>
                <w:lang w:bidi="ar"/>
              </w:rPr>
              <w:t>合</w:t>
            </w:r>
            <w:r>
              <w:rPr>
                <w:rFonts w:hint="eastAsia" w:ascii="仿宋" w:hAnsi="仿宋" w:eastAsia="仿宋" w:cs="仿宋"/>
                <w:color w:val="auto"/>
                <w:spacing w:val="-4"/>
                <w:kern w:val="0"/>
                <w:szCs w:val="24"/>
                <w:highlight w:val="none"/>
                <w:lang w:bidi="ar"/>
              </w:rPr>
              <w:t>同与协议履约</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79571143">
            <w:pPr>
              <w:pStyle w:val="18"/>
              <w:spacing w:before="99"/>
              <w:ind w:left="127" w:right="202" w:hanging="7"/>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严格履行合同及安全环保管理协议中约定的全部安全责任与义务。发现一项重大违约本项不得分，一般违约一</w:t>
            </w:r>
            <w:r>
              <w:rPr>
                <w:rFonts w:hint="eastAsia" w:ascii="仿宋" w:hAnsi="仿宋" w:eastAsia="仿宋" w:cs="仿宋"/>
                <w:color w:val="auto"/>
                <w:spacing w:val="-10"/>
                <w:kern w:val="0"/>
                <w:szCs w:val="24"/>
                <w:highlight w:val="none"/>
                <w:lang w:bidi="ar"/>
              </w:rPr>
              <w:t>项扣</w:t>
            </w:r>
            <w:r>
              <w:rPr>
                <w:rFonts w:hint="eastAsia" w:ascii="仿宋" w:hAnsi="仿宋" w:eastAsia="仿宋" w:cs="仿宋"/>
                <w:color w:val="auto"/>
                <w:spacing w:val="-35"/>
                <w:kern w:val="0"/>
                <w:szCs w:val="24"/>
                <w:highlight w:val="none"/>
                <w:lang w:bidi="ar"/>
              </w:rPr>
              <w:t xml:space="preserve"> </w:t>
            </w:r>
            <w:r>
              <w:rPr>
                <w:rFonts w:hint="eastAsia" w:ascii="仿宋" w:hAnsi="仿宋" w:eastAsia="仿宋" w:cs="仿宋"/>
                <w:color w:val="auto"/>
                <w:spacing w:val="-10"/>
                <w:kern w:val="0"/>
                <w:szCs w:val="24"/>
                <w:highlight w:val="none"/>
                <w:lang w:bidi="ar"/>
              </w:rPr>
              <w:t>1</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10"/>
                <w:kern w:val="0"/>
                <w:szCs w:val="2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498C20F5">
            <w:pPr>
              <w:rPr>
                <w:rFonts w:ascii="Arial" w:hAnsi="Calibri"/>
                <w:color w:val="auto"/>
                <w:szCs w:val="21"/>
                <w:highlight w:val="none"/>
              </w:rPr>
            </w:pPr>
          </w:p>
          <w:p w14:paraId="6D1FD7F4">
            <w:pPr>
              <w:rPr>
                <w:rFonts w:ascii="Arial" w:hAnsi="Calibri"/>
                <w:color w:val="auto"/>
                <w:szCs w:val="21"/>
                <w:highlight w:val="none"/>
              </w:rPr>
            </w:pPr>
          </w:p>
          <w:p w14:paraId="5854CD72">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694B012">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73630CC8">
            <w:pPr>
              <w:rPr>
                <w:rFonts w:ascii="Arial" w:hAnsi="Calibri"/>
                <w:color w:val="auto"/>
                <w:szCs w:val="21"/>
                <w:highlight w:val="none"/>
              </w:rPr>
            </w:pPr>
          </w:p>
        </w:tc>
      </w:tr>
      <w:tr w14:paraId="4978AB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779" w:type="dxa"/>
            <w:vMerge w:val="restart"/>
            <w:tcBorders>
              <w:top w:val="nil"/>
              <w:left w:val="single" w:color="000000" w:sz="2" w:space="0"/>
              <w:bottom w:val="nil"/>
              <w:right w:val="single" w:color="000000" w:sz="2" w:space="0"/>
            </w:tcBorders>
            <w:shd w:val="clear" w:color="auto" w:fill="auto"/>
          </w:tcPr>
          <w:p w14:paraId="48FC2955">
            <w:pPr>
              <w:spacing w:line="242" w:lineRule="auto"/>
              <w:rPr>
                <w:rFonts w:ascii="Arial" w:hAnsi="Calibri"/>
                <w:color w:val="auto"/>
                <w:szCs w:val="21"/>
                <w:highlight w:val="none"/>
              </w:rPr>
            </w:pPr>
          </w:p>
          <w:p w14:paraId="660FAE3D">
            <w:pPr>
              <w:spacing w:line="242" w:lineRule="auto"/>
              <w:rPr>
                <w:rFonts w:ascii="Arial" w:hAnsi="Calibri"/>
                <w:color w:val="auto"/>
                <w:szCs w:val="21"/>
                <w:highlight w:val="none"/>
              </w:rPr>
            </w:pPr>
          </w:p>
          <w:p w14:paraId="6DA24BA9">
            <w:pPr>
              <w:spacing w:line="244" w:lineRule="auto"/>
              <w:rPr>
                <w:rFonts w:ascii="Arial" w:hAnsi="Calibri"/>
                <w:color w:val="auto"/>
                <w:szCs w:val="21"/>
                <w:highlight w:val="none"/>
              </w:rPr>
            </w:pPr>
          </w:p>
          <w:p w14:paraId="405C5501">
            <w:pPr>
              <w:pStyle w:val="18"/>
              <w:spacing w:before="78"/>
              <w:ind w:left="158" w:right="147" w:firstLine="6"/>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2.人员与培训</w:t>
            </w:r>
            <w:r>
              <w:rPr>
                <w:rFonts w:hint="eastAsia" w:ascii="仿宋" w:hAnsi="仿宋" w:eastAsia="仿宋" w:cs="仿宋"/>
                <w:color w:val="auto"/>
                <w:spacing w:val="15"/>
                <w:kern w:val="0"/>
                <w:szCs w:val="24"/>
                <w:highlight w:val="none"/>
                <w:lang w:bidi="ar"/>
              </w:rPr>
              <w:t>(15</w:t>
            </w:r>
            <w:r>
              <w:rPr>
                <w:rFonts w:hint="eastAsia" w:ascii="仿宋" w:hAnsi="仿宋" w:eastAsia="仿宋" w:cs="仿宋"/>
                <w:color w:val="auto"/>
                <w:spacing w:val="23"/>
                <w:kern w:val="0"/>
                <w:szCs w:val="24"/>
                <w:highlight w:val="none"/>
                <w:lang w:bidi="ar"/>
              </w:rPr>
              <w:t>分)</w:t>
            </w: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7C6DE3EA">
            <w:pPr>
              <w:pStyle w:val="18"/>
              <w:spacing w:before="99"/>
              <w:ind w:left="181" w:right="155" w:firstLine="20"/>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2.1</w:t>
            </w:r>
            <w:r>
              <w:rPr>
                <w:rFonts w:hint="eastAsia" w:ascii="仿宋" w:hAnsi="仿宋" w:eastAsia="仿宋" w:cs="仿宋"/>
                <w:color w:val="auto"/>
                <w:spacing w:val="-48"/>
                <w:kern w:val="0"/>
                <w:szCs w:val="24"/>
                <w:highlight w:val="none"/>
                <w:lang w:bidi="ar"/>
              </w:rPr>
              <w:t xml:space="preserve"> </w:t>
            </w:r>
            <w:r>
              <w:rPr>
                <w:rFonts w:hint="eastAsia" w:ascii="仿宋" w:hAnsi="仿宋" w:eastAsia="仿宋" w:cs="仿宋"/>
                <w:color w:val="auto"/>
                <w:spacing w:val="-8"/>
                <w:kern w:val="0"/>
                <w:szCs w:val="24"/>
                <w:highlight w:val="none"/>
                <w:lang w:bidi="ar"/>
              </w:rPr>
              <w:t>人</w:t>
            </w:r>
            <w:r>
              <w:rPr>
                <w:rFonts w:hint="eastAsia" w:ascii="仿宋" w:hAnsi="仿宋" w:eastAsia="仿宋" w:cs="仿宋"/>
                <w:color w:val="auto"/>
                <w:spacing w:val="-10"/>
                <w:kern w:val="0"/>
                <w:szCs w:val="24"/>
                <w:highlight w:val="none"/>
                <w:lang w:bidi="ar"/>
              </w:rPr>
              <w:t>员能力</w:t>
            </w:r>
          </w:p>
          <w:p w14:paraId="7BC622B3">
            <w:pPr>
              <w:pStyle w:val="18"/>
              <w:ind w:left="176"/>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与资质</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11750550">
            <w:pPr>
              <w:pStyle w:val="18"/>
              <w:spacing w:before="99"/>
              <w:ind w:left="131" w:right="202" w:hanging="1"/>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从业人员学历、技能满足岗位要求，</w:t>
            </w:r>
            <w:r>
              <w:rPr>
                <w:rFonts w:hint="eastAsia" w:ascii="仿宋" w:hAnsi="仿宋" w:eastAsia="仿宋" w:cs="仿宋"/>
                <w:color w:val="auto"/>
                <w:spacing w:val="-2"/>
                <w:kern w:val="0"/>
                <w:szCs w:val="24"/>
                <w:highlight w:val="none"/>
                <w:lang w:bidi="ar"/>
              </w:rPr>
              <w:t>无职业禁忌症，体检合格。抽查发现</w:t>
            </w:r>
            <w:r>
              <w:rPr>
                <w:rFonts w:hint="eastAsia" w:ascii="仿宋" w:hAnsi="仿宋" w:eastAsia="仿宋" w:cs="仿宋"/>
                <w:color w:val="auto"/>
                <w:spacing w:val="-4"/>
                <w:kern w:val="0"/>
                <w:szCs w:val="24"/>
                <w:highlight w:val="none"/>
                <w:lang w:bidi="ar"/>
              </w:rPr>
              <w:t>一人不符合扣</w:t>
            </w:r>
            <w:r>
              <w:rPr>
                <w:rFonts w:hint="eastAsia" w:ascii="仿宋" w:hAnsi="仿宋" w:eastAsia="仿宋" w:cs="仿宋"/>
                <w:color w:val="auto"/>
                <w:spacing w:val="-34"/>
                <w:kern w:val="0"/>
                <w:szCs w:val="24"/>
                <w:highlight w:val="none"/>
                <w:lang w:bidi="ar"/>
              </w:rPr>
              <w:t xml:space="preserve"> </w:t>
            </w:r>
            <w:r>
              <w:rPr>
                <w:rFonts w:hint="eastAsia" w:ascii="仿宋" w:hAnsi="仿宋" w:eastAsia="仿宋" w:cs="仿宋"/>
                <w:color w:val="auto"/>
                <w:spacing w:val="-4"/>
                <w:kern w:val="0"/>
                <w:szCs w:val="24"/>
                <w:highlight w:val="none"/>
                <w:lang w:bidi="ar"/>
              </w:rPr>
              <w:t>1</w:t>
            </w:r>
            <w:r>
              <w:rPr>
                <w:rFonts w:hint="eastAsia" w:ascii="仿宋" w:hAnsi="仿宋" w:eastAsia="仿宋" w:cs="仿宋"/>
                <w:color w:val="auto"/>
                <w:spacing w:val="-48"/>
                <w:kern w:val="0"/>
                <w:szCs w:val="24"/>
                <w:highlight w:val="none"/>
                <w:lang w:bidi="ar"/>
              </w:rPr>
              <w:t xml:space="preserve"> </w:t>
            </w:r>
            <w:r>
              <w:rPr>
                <w:rFonts w:hint="eastAsia" w:ascii="仿宋" w:hAnsi="仿宋" w:eastAsia="仿宋" w:cs="仿宋"/>
                <w:color w:val="auto"/>
                <w:spacing w:val="-4"/>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0038E3A5">
            <w:pPr>
              <w:spacing w:line="328" w:lineRule="auto"/>
              <w:rPr>
                <w:rFonts w:ascii="Arial" w:hAnsi="Calibri"/>
                <w:color w:val="auto"/>
                <w:szCs w:val="21"/>
                <w:highlight w:val="none"/>
              </w:rPr>
            </w:pPr>
          </w:p>
          <w:p w14:paraId="5880C42F">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EAB8878">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64AFE16E">
            <w:pPr>
              <w:rPr>
                <w:rFonts w:ascii="Arial" w:hAnsi="Calibri"/>
                <w:color w:val="auto"/>
                <w:szCs w:val="21"/>
                <w:highlight w:val="none"/>
              </w:rPr>
            </w:pPr>
          </w:p>
        </w:tc>
      </w:tr>
      <w:tr w14:paraId="24F887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5" w:hRule="atLeast"/>
        </w:trPr>
        <w:tc>
          <w:tcPr>
            <w:tcW w:w="779" w:type="dxa"/>
            <w:vMerge w:val="continue"/>
            <w:tcBorders>
              <w:top w:val="nil"/>
              <w:left w:val="single" w:color="000000" w:sz="2" w:space="0"/>
              <w:bottom w:val="nil"/>
              <w:right w:val="single" w:color="000000" w:sz="2" w:space="0"/>
            </w:tcBorders>
            <w:shd w:val="clear" w:color="auto" w:fill="auto"/>
          </w:tcPr>
          <w:p w14:paraId="32F61CE6">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1996ACF4">
            <w:pPr>
              <w:pStyle w:val="18"/>
              <w:spacing w:before="97"/>
              <w:ind w:left="201"/>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2.2</w:t>
            </w:r>
            <w:r>
              <w:rPr>
                <w:rFonts w:hint="eastAsia" w:ascii="仿宋" w:hAnsi="仿宋" w:eastAsia="仿宋" w:cs="仿宋"/>
                <w:color w:val="auto"/>
                <w:spacing w:val="-48"/>
                <w:kern w:val="0"/>
                <w:szCs w:val="24"/>
                <w:highlight w:val="none"/>
                <w:lang w:bidi="ar"/>
              </w:rPr>
              <w:t xml:space="preserve"> </w:t>
            </w:r>
            <w:r>
              <w:rPr>
                <w:rFonts w:hint="eastAsia" w:ascii="仿宋" w:hAnsi="仿宋" w:eastAsia="仿宋" w:cs="仿宋"/>
                <w:color w:val="auto"/>
                <w:spacing w:val="-5"/>
                <w:kern w:val="0"/>
                <w:szCs w:val="24"/>
                <w:highlight w:val="none"/>
                <w:lang w:bidi="ar"/>
              </w:rPr>
              <w:t>培</w:t>
            </w:r>
          </w:p>
          <w:p w14:paraId="489C4F23">
            <w:pPr>
              <w:pStyle w:val="18"/>
              <w:spacing w:before="28"/>
              <w:ind w:left="169"/>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训与考</w:t>
            </w:r>
          </w:p>
          <w:p w14:paraId="6A8B71BC">
            <w:pPr>
              <w:pStyle w:val="18"/>
              <w:spacing w:before="29"/>
              <w:ind w:left="402"/>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核</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2B751463">
            <w:pPr>
              <w:pStyle w:val="18"/>
              <w:spacing w:before="98"/>
              <w:ind w:left="128" w:right="202" w:hanging="2"/>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承包商自主培训、发包方安全教育和专项培训记录完整，考核合格。一项</w:t>
            </w:r>
            <w:r>
              <w:rPr>
                <w:rFonts w:hint="eastAsia" w:ascii="仿宋" w:hAnsi="仿宋" w:eastAsia="仿宋" w:cs="仿宋"/>
                <w:color w:val="auto"/>
                <w:spacing w:val="-4"/>
                <w:kern w:val="0"/>
                <w:szCs w:val="24"/>
                <w:highlight w:val="none"/>
                <w:lang w:bidi="ar"/>
              </w:rPr>
              <w:t>不符合扣</w:t>
            </w:r>
            <w:r>
              <w:rPr>
                <w:rFonts w:hint="eastAsia" w:ascii="仿宋" w:hAnsi="仿宋" w:eastAsia="仿宋" w:cs="仿宋"/>
                <w:color w:val="auto"/>
                <w:spacing w:val="-39"/>
                <w:kern w:val="0"/>
                <w:szCs w:val="24"/>
                <w:highlight w:val="none"/>
                <w:lang w:bidi="ar"/>
              </w:rPr>
              <w:t xml:space="preserve"> </w:t>
            </w:r>
            <w:r>
              <w:rPr>
                <w:rFonts w:hint="eastAsia" w:ascii="仿宋" w:hAnsi="仿宋" w:eastAsia="仿宋" w:cs="仿宋"/>
                <w:color w:val="auto"/>
                <w:spacing w:val="-4"/>
                <w:kern w:val="0"/>
                <w:szCs w:val="24"/>
                <w:highlight w:val="none"/>
                <w:lang w:bidi="ar"/>
              </w:rPr>
              <w:t>2</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4"/>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4CBD8670">
            <w:pPr>
              <w:spacing w:line="328" w:lineRule="auto"/>
              <w:rPr>
                <w:rFonts w:ascii="Arial" w:hAnsi="Calibri"/>
                <w:color w:val="auto"/>
                <w:szCs w:val="21"/>
                <w:highlight w:val="none"/>
              </w:rPr>
            </w:pPr>
          </w:p>
          <w:p w14:paraId="2CBA86F9">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ACDA31D">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1A6A6A6A">
            <w:pPr>
              <w:rPr>
                <w:rFonts w:ascii="Arial" w:hAnsi="Calibri"/>
                <w:color w:val="auto"/>
                <w:szCs w:val="21"/>
                <w:highlight w:val="none"/>
              </w:rPr>
            </w:pPr>
          </w:p>
        </w:tc>
      </w:tr>
      <w:tr w14:paraId="510C5A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779" w:type="dxa"/>
            <w:vMerge w:val="continue"/>
            <w:tcBorders>
              <w:top w:val="nil"/>
              <w:left w:val="single" w:color="000000" w:sz="2" w:space="0"/>
              <w:bottom w:val="nil"/>
              <w:right w:val="single" w:color="000000" w:sz="2" w:space="0"/>
            </w:tcBorders>
            <w:shd w:val="clear" w:color="auto" w:fill="auto"/>
          </w:tcPr>
          <w:p w14:paraId="6DA895CF">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72363901">
            <w:pPr>
              <w:pStyle w:val="18"/>
              <w:spacing w:before="101"/>
              <w:ind w:left="201"/>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2.3</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5"/>
                <w:kern w:val="0"/>
                <w:szCs w:val="24"/>
                <w:highlight w:val="none"/>
                <w:lang w:bidi="ar"/>
              </w:rPr>
              <w:t>人</w:t>
            </w:r>
          </w:p>
          <w:p w14:paraId="56E91B87">
            <w:pPr>
              <w:pStyle w:val="18"/>
              <w:spacing w:before="24"/>
              <w:ind w:left="181"/>
              <w:rPr>
                <w:rFonts w:ascii="仿宋" w:hAnsi="仿宋" w:eastAsia="仿宋" w:cs="仿宋"/>
                <w:color w:val="auto"/>
                <w:szCs w:val="24"/>
                <w:highlight w:val="none"/>
              </w:rPr>
            </w:pPr>
            <w:r>
              <w:rPr>
                <w:rFonts w:hint="eastAsia" w:ascii="仿宋" w:hAnsi="仿宋" w:eastAsia="仿宋" w:cs="仿宋"/>
                <w:color w:val="auto"/>
                <w:spacing w:val="-10"/>
                <w:kern w:val="0"/>
                <w:szCs w:val="24"/>
                <w:highlight w:val="none"/>
                <w:lang w:bidi="ar"/>
              </w:rPr>
              <w:t>员稳定</w:t>
            </w:r>
          </w:p>
          <w:p w14:paraId="54D58D4D">
            <w:pPr>
              <w:pStyle w:val="18"/>
              <w:spacing w:before="33"/>
              <w:ind w:left="408"/>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性</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19F42F31">
            <w:pPr>
              <w:pStyle w:val="18"/>
              <w:spacing w:before="99"/>
              <w:ind w:left="131" w:right="64" w:hanging="5"/>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承包商关键岗位及作业人员月流动比</w:t>
            </w:r>
            <w:r>
              <w:rPr>
                <w:rFonts w:hint="eastAsia" w:ascii="仿宋" w:hAnsi="仿宋" w:eastAsia="仿宋" w:cs="仿宋"/>
                <w:color w:val="auto"/>
                <w:spacing w:val="-18"/>
                <w:kern w:val="0"/>
                <w:szCs w:val="24"/>
                <w:highlight w:val="none"/>
                <w:lang w:bidi="ar"/>
              </w:rPr>
              <w:t>率≤10%。每超标</w:t>
            </w:r>
            <w:r>
              <w:rPr>
                <w:rFonts w:hint="eastAsia" w:ascii="仿宋" w:hAnsi="仿宋" w:eastAsia="仿宋" w:cs="仿宋"/>
                <w:color w:val="auto"/>
                <w:spacing w:val="-36"/>
                <w:kern w:val="0"/>
                <w:szCs w:val="24"/>
                <w:highlight w:val="none"/>
                <w:lang w:bidi="ar"/>
              </w:rPr>
              <w:t xml:space="preserve"> </w:t>
            </w:r>
            <w:r>
              <w:rPr>
                <w:rFonts w:hint="eastAsia" w:ascii="仿宋" w:hAnsi="仿宋" w:eastAsia="仿宋" w:cs="仿宋"/>
                <w:color w:val="auto"/>
                <w:spacing w:val="-18"/>
                <w:kern w:val="0"/>
                <w:szCs w:val="24"/>
                <w:highlight w:val="none"/>
                <w:lang w:bidi="ar"/>
              </w:rPr>
              <w:t>1%扣</w:t>
            </w:r>
            <w:r>
              <w:rPr>
                <w:rFonts w:hint="eastAsia" w:ascii="仿宋" w:hAnsi="仿宋" w:eastAsia="仿宋" w:cs="仿宋"/>
                <w:color w:val="auto"/>
                <w:spacing w:val="-35"/>
                <w:kern w:val="0"/>
                <w:szCs w:val="24"/>
                <w:highlight w:val="none"/>
                <w:lang w:bidi="ar"/>
              </w:rPr>
              <w:t xml:space="preserve"> </w:t>
            </w:r>
            <w:r>
              <w:rPr>
                <w:rFonts w:hint="eastAsia" w:ascii="仿宋" w:hAnsi="仿宋" w:eastAsia="仿宋" w:cs="仿宋"/>
                <w:color w:val="auto"/>
                <w:spacing w:val="-18"/>
                <w:kern w:val="0"/>
                <w:szCs w:val="24"/>
                <w:highlight w:val="none"/>
                <w:lang w:bidi="ar"/>
              </w:rPr>
              <w:t>1</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18"/>
                <w:kern w:val="0"/>
                <w:szCs w:val="24"/>
                <w:highlight w:val="none"/>
                <w:lang w:bidi="ar"/>
              </w:rPr>
              <w:t>分，扣完为止；</w:t>
            </w:r>
            <w:r>
              <w:rPr>
                <w:rFonts w:hint="eastAsia" w:ascii="仿宋" w:hAnsi="仿宋" w:eastAsia="仿宋" w:cs="仿宋"/>
                <w:color w:val="auto"/>
                <w:spacing w:val="-4"/>
                <w:kern w:val="0"/>
                <w:szCs w:val="24"/>
                <w:highlight w:val="none"/>
                <w:lang w:bidi="ar"/>
              </w:rPr>
              <w:t>关键岗位擅自换岗一人扣</w:t>
            </w:r>
            <w:r>
              <w:rPr>
                <w:rFonts w:hint="eastAsia" w:ascii="仿宋" w:hAnsi="仿宋" w:eastAsia="仿宋" w:cs="仿宋"/>
                <w:color w:val="auto"/>
                <w:spacing w:val="-34"/>
                <w:kern w:val="0"/>
                <w:szCs w:val="24"/>
                <w:highlight w:val="none"/>
                <w:lang w:bidi="ar"/>
              </w:rPr>
              <w:t xml:space="preserve"> </w:t>
            </w:r>
            <w:r>
              <w:rPr>
                <w:rFonts w:hint="eastAsia" w:ascii="仿宋" w:hAnsi="仿宋" w:eastAsia="仿宋" w:cs="仿宋"/>
                <w:color w:val="auto"/>
                <w:spacing w:val="-4"/>
                <w:kern w:val="0"/>
                <w:szCs w:val="24"/>
                <w:highlight w:val="none"/>
                <w:lang w:bidi="ar"/>
              </w:rPr>
              <w:t>2</w:t>
            </w:r>
            <w:r>
              <w:rPr>
                <w:rFonts w:hint="eastAsia" w:ascii="仿宋" w:hAnsi="仿宋" w:eastAsia="仿宋" w:cs="仿宋"/>
                <w:color w:val="auto"/>
                <w:spacing w:val="-48"/>
                <w:kern w:val="0"/>
                <w:szCs w:val="24"/>
                <w:highlight w:val="none"/>
                <w:lang w:bidi="ar"/>
              </w:rPr>
              <w:t xml:space="preserve"> </w:t>
            </w:r>
            <w:r>
              <w:rPr>
                <w:rFonts w:hint="eastAsia" w:ascii="仿宋" w:hAnsi="仿宋" w:eastAsia="仿宋" w:cs="仿宋"/>
                <w:color w:val="auto"/>
                <w:spacing w:val="-4"/>
                <w:kern w:val="0"/>
                <w:szCs w:val="2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7E6D9386">
            <w:pPr>
              <w:spacing w:line="331" w:lineRule="auto"/>
              <w:rPr>
                <w:rFonts w:ascii="Arial" w:hAnsi="Calibri"/>
                <w:color w:val="auto"/>
                <w:szCs w:val="21"/>
                <w:highlight w:val="none"/>
              </w:rPr>
            </w:pPr>
          </w:p>
          <w:p w14:paraId="2B34BBF5">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75E2BB9">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34BB230A">
            <w:pPr>
              <w:rPr>
                <w:rFonts w:ascii="Arial" w:hAnsi="Calibri"/>
                <w:color w:val="auto"/>
                <w:szCs w:val="21"/>
                <w:highlight w:val="none"/>
              </w:rPr>
            </w:pPr>
          </w:p>
        </w:tc>
      </w:tr>
      <w:tr w14:paraId="53A301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779" w:type="dxa"/>
            <w:vMerge w:val="restart"/>
            <w:tcBorders>
              <w:top w:val="nil"/>
              <w:left w:val="single" w:color="000000" w:sz="2" w:space="0"/>
              <w:bottom w:val="nil"/>
              <w:right w:val="single" w:color="000000" w:sz="2" w:space="0"/>
            </w:tcBorders>
            <w:shd w:val="clear" w:color="auto" w:fill="auto"/>
          </w:tcPr>
          <w:p w14:paraId="70FED979">
            <w:pPr>
              <w:spacing w:line="271" w:lineRule="auto"/>
              <w:rPr>
                <w:rFonts w:ascii="Arial" w:hAnsi="Calibri"/>
                <w:color w:val="auto"/>
                <w:szCs w:val="21"/>
                <w:highlight w:val="none"/>
              </w:rPr>
            </w:pPr>
          </w:p>
          <w:p w14:paraId="0CFE5089">
            <w:pPr>
              <w:spacing w:line="271" w:lineRule="auto"/>
              <w:rPr>
                <w:rFonts w:ascii="Arial" w:hAnsi="Calibri"/>
                <w:color w:val="auto"/>
                <w:szCs w:val="21"/>
                <w:highlight w:val="none"/>
              </w:rPr>
            </w:pPr>
          </w:p>
          <w:p w14:paraId="038F429F">
            <w:pPr>
              <w:spacing w:line="271" w:lineRule="auto"/>
              <w:rPr>
                <w:rFonts w:ascii="Arial" w:hAnsi="Calibri"/>
                <w:color w:val="auto"/>
                <w:szCs w:val="21"/>
                <w:highlight w:val="none"/>
              </w:rPr>
            </w:pPr>
          </w:p>
          <w:p w14:paraId="480F5651">
            <w:pPr>
              <w:spacing w:line="271" w:lineRule="auto"/>
              <w:rPr>
                <w:rFonts w:ascii="Arial" w:hAnsi="Calibri"/>
                <w:color w:val="auto"/>
                <w:szCs w:val="21"/>
                <w:highlight w:val="none"/>
              </w:rPr>
            </w:pPr>
          </w:p>
          <w:p w14:paraId="3AFC26E7">
            <w:pPr>
              <w:pStyle w:val="18"/>
              <w:spacing w:before="78"/>
              <w:ind w:left="174"/>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3.作</w:t>
            </w:r>
          </w:p>
          <w:p w14:paraId="5BE281CA">
            <w:pPr>
              <w:pStyle w:val="18"/>
              <w:spacing w:before="31"/>
              <w:ind w:left="165"/>
              <w:rPr>
                <w:rFonts w:ascii="仿宋" w:hAnsi="仿宋" w:eastAsia="仿宋" w:cs="仿宋"/>
                <w:color w:val="auto"/>
                <w:szCs w:val="24"/>
                <w:highlight w:val="none"/>
              </w:rPr>
            </w:pPr>
            <w:r>
              <w:rPr>
                <w:rFonts w:hint="eastAsia" w:ascii="仿宋" w:hAnsi="仿宋" w:eastAsia="仿宋" w:cs="仿宋"/>
                <w:color w:val="auto"/>
                <w:spacing w:val="-10"/>
                <w:kern w:val="0"/>
                <w:szCs w:val="24"/>
                <w:highlight w:val="none"/>
                <w:lang w:bidi="ar"/>
              </w:rPr>
              <w:t>业安</w:t>
            </w:r>
          </w:p>
          <w:p w14:paraId="4EC70F9B">
            <w:pPr>
              <w:pStyle w:val="18"/>
              <w:spacing w:before="27"/>
              <w:ind w:left="154"/>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全控</w:t>
            </w:r>
          </w:p>
          <w:p w14:paraId="39AFAEC2">
            <w:pPr>
              <w:pStyle w:val="18"/>
              <w:spacing w:before="29"/>
              <w:ind w:left="283"/>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制</w:t>
            </w:r>
          </w:p>
          <w:p w14:paraId="3EA26D86">
            <w:pPr>
              <w:pStyle w:val="18"/>
              <w:spacing w:before="30"/>
              <w:ind w:left="266"/>
              <w:rPr>
                <w:rFonts w:ascii="仿宋" w:hAnsi="仿宋" w:eastAsia="仿宋" w:cs="仿宋"/>
                <w:color w:val="auto"/>
                <w:szCs w:val="24"/>
                <w:highlight w:val="none"/>
              </w:rPr>
            </w:pPr>
            <w:r>
              <w:rPr>
                <w:rFonts w:hint="eastAsia" w:ascii="仿宋" w:hAnsi="仿宋" w:eastAsia="仿宋" w:cs="仿宋"/>
                <w:color w:val="auto"/>
                <w:spacing w:val="-20"/>
                <w:kern w:val="0"/>
                <w:szCs w:val="24"/>
                <w:highlight w:val="none"/>
                <w:lang w:bidi="ar"/>
              </w:rPr>
              <w:t>(25</w:t>
            </w:r>
          </w:p>
          <w:p w14:paraId="00D29076">
            <w:pPr>
              <w:pStyle w:val="18"/>
              <w:spacing w:before="28"/>
              <w:ind w:left="217"/>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分)</w:t>
            </w: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62019D72">
            <w:pPr>
              <w:pStyle w:val="18"/>
              <w:spacing w:before="256"/>
              <w:ind w:left="174" w:right="155" w:firstLine="37"/>
              <w:rPr>
                <w:rFonts w:ascii="仿宋" w:hAnsi="仿宋" w:eastAsia="仿宋" w:cs="仿宋"/>
                <w:color w:val="auto"/>
                <w:szCs w:val="24"/>
                <w:highlight w:val="none"/>
              </w:rPr>
            </w:pPr>
            <w:r>
              <w:rPr>
                <w:rFonts w:hint="eastAsia" w:ascii="仿宋" w:hAnsi="仿宋" w:eastAsia="仿宋" w:cs="仿宋"/>
                <w:color w:val="auto"/>
                <w:spacing w:val="-11"/>
                <w:kern w:val="0"/>
                <w:szCs w:val="24"/>
                <w:highlight w:val="none"/>
                <w:lang w:bidi="ar"/>
              </w:rPr>
              <w:t>3.1</w:t>
            </w:r>
            <w:r>
              <w:rPr>
                <w:rFonts w:hint="eastAsia" w:ascii="仿宋" w:hAnsi="仿宋" w:eastAsia="仿宋" w:cs="仿宋"/>
                <w:color w:val="auto"/>
                <w:spacing w:val="-46"/>
                <w:kern w:val="0"/>
                <w:szCs w:val="24"/>
                <w:highlight w:val="none"/>
                <w:lang w:bidi="ar"/>
              </w:rPr>
              <w:t xml:space="preserve"> </w:t>
            </w:r>
            <w:r>
              <w:rPr>
                <w:rFonts w:hint="eastAsia" w:ascii="仿宋" w:hAnsi="仿宋" w:eastAsia="仿宋" w:cs="仿宋"/>
                <w:color w:val="auto"/>
                <w:spacing w:val="-11"/>
                <w:kern w:val="0"/>
                <w:szCs w:val="24"/>
                <w:highlight w:val="none"/>
                <w:lang w:bidi="ar"/>
              </w:rPr>
              <w:t>作</w:t>
            </w:r>
            <w:r>
              <w:rPr>
                <w:rFonts w:hint="eastAsia" w:ascii="仿宋" w:hAnsi="仿宋" w:eastAsia="仿宋" w:cs="仿宋"/>
                <w:color w:val="auto"/>
                <w:spacing w:val="-7"/>
                <w:kern w:val="0"/>
                <w:szCs w:val="24"/>
                <w:highlight w:val="none"/>
                <w:lang w:bidi="ar"/>
              </w:rPr>
              <w:t>业许可与交底</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3C0CA774">
            <w:pPr>
              <w:pStyle w:val="18"/>
              <w:spacing w:before="99"/>
              <w:ind w:left="124" w:right="55" w:hanging="4"/>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严格执行特殊作业许可制度，作业前</w:t>
            </w:r>
            <w:r>
              <w:rPr>
                <w:rFonts w:hint="eastAsia" w:ascii="仿宋" w:hAnsi="仿宋" w:eastAsia="仿宋" w:cs="仿宋"/>
                <w:color w:val="auto"/>
                <w:spacing w:val="1"/>
                <w:kern w:val="0"/>
                <w:szCs w:val="24"/>
                <w:highlight w:val="none"/>
                <w:lang w:bidi="ar"/>
              </w:rPr>
              <w:t>进行充分风险辨识和安全技术交底，</w:t>
            </w:r>
            <w:r>
              <w:rPr>
                <w:rFonts w:hint="eastAsia" w:ascii="仿宋" w:hAnsi="仿宋" w:eastAsia="仿宋" w:cs="仿宋"/>
                <w:color w:val="auto"/>
                <w:spacing w:val="-9"/>
                <w:kern w:val="0"/>
                <w:szCs w:val="24"/>
                <w:highlight w:val="none"/>
                <w:lang w:bidi="ar"/>
              </w:rPr>
              <w:t>资料完整可追溯。一项不符合扣</w:t>
            </w:r>
            <w:r>
              <w:rPr>
                <w:rFonts w:hint="eastAsia" w:ascii="仿宋" w:hAnsi="仿宋" w:eastAsia="仿宋" w:cs="仿宋"/>
                <w:color w:val="auto"/>
                <w:spacing w:val="-22"/>
                <w:kern w:val="0"/>
                <w:szCs w:val="24"/>
                <w:highlight w:val="none"/>
                <w:lang w:bidi="ar"/>
              </w:rPr>
              <w:t xml:space="preserve"> </w:t>
            </w:r>
            <w:r>
              <w:rPr>
                <w:rFonts w:hint="eastAsia" w:ascii="仿宋" w:hAnsi="仿宋" w:eastAsia="仿宋" w:cs="仿宋"/>
                <w:color w:val="auto"/>
                <w:spacing w:val="-9"/>
                <w:kern w:val="0"/>
                <w:szCs w:val="24"/>
                <w:highlight w:val="none"/>
                <w:lang w:bidi="ar"/>
              </w:rPr>
              <w:t>3</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9"/>
                <w:kern w:val="0"/>
                <w:szCs w:val="24"/>
                <w:highlight w:val="none"/>
                <w:lang w:bidi="ar"/>
              </w:rPr>
              <w:t>分，</w:t>
            </w:r>
            <w:r>
              <w:rPr>
                <w:rFonts w:hint="eastAsia" w:ascii="仿宋" w:hAnsi="仿宋" w:eastAsia="仿宋" w:cs="仿宋"/>
                <w:color w:val="auto"/>
                <w:spacing w:val="-2"/>
                <w:kern w:val="0"/>
                <w:szCs w:val="24"/>
                <w:highlight w:val="none"/>
                <w:lang w:bidi="ar"/>
              </w:rPr>
              <w:t>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1AB41928">
            <w:pPr>
              <w:rPr>
                <w:rFonts w:ascii="Arial" w:hAnsi="Calibri"/>
                <w:color w:val="auto"/>
                <w:szCs w:val="21"/>
                <w:highlight w:val="none"/>
              </w:rPr>
            </w:pPr>
          </w:p>
          <w:p w14:paraId="4F201799">
            <w:pPr>
              <w:spacing w:line="242" w:lineRule="auto"/>
              <w:rPr>
                <w:rFonts w:ascii="Arial" w:hAnsi="Calibri"/>
                <w:color w:val="auto"/>
                <w:szCs w:val="21"/>
                <w:highlight w:val="none"/>
              </w:rPr>
            </w:pPr>
          </w:p>
          <w:p w14:paraId="12B514F7">
            <w:pPr>
              <w:pStyle w:val="18"/>
              <w:spacing w:before="78"/>
              <w:ind w:left="295"/>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6</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193728C">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0CF0AA15">
            <w:pPr>
              <w:rPr>
                <w:rFonts w:ascii="Arial" w:hAnsi="Calibri"/>
                <w:color w:val="auto"/>
                <w:szCs w:val="21"/>
                <w:highlight w:val="none"/>
              </w:rPr>
            </w:pPr>
          </w:p>
        </w:tc>
      </w:tr>
      <w:tr w14:paraId="22A57C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779" w:type="dxa"/>
            <w:vMerge w:val="continue"/>
            <w:tcBorders>
              <w:top w:val="nil"/>
              <w:left w:val="single" w:color="000000" w:sz="2" w:space="0"/>
              <w:bottom w:val="nil"/>
              <w:right w:val="single" w:color="000000" w:sz="2" w:space="0"/>
            </w:tcBorders>
            <w:shd w:val="clear" w:color="auto" w:fill="auto"/>
          </w:tcPr>
          <w:p w14:paraId="1FBDFFFE">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291858D1">
            <w:pPr>
              <w:pStyle w:val="18"/>
              <w:spacing w:before="101"/>
              <w:ind w:left="211"/>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3.2</w:t>
            </w:r>
            <w:r>
              <w:rPr>
                <w:rFonts w:hint="eastAsia" w:ascii="仿宋" w:hAnsi="仿宋" w:eastAsia="仿宋" w:cs="仿宋"/>
                <w:color w:val="auto"/>
                <w:spacing w:val="-41"/>
                <w:kern w:val="0"/>
                <w:szCs w:val="24"/>
                <w:highlight w:val="none"/>
                <w:lang w:bidi="ar"/>
              </w:rPr>
              <w:t xml:space="preserve"> </w:t>
            </w:r>
            <w:r>
              <w:rPr>
                <w:rFonts w:hint="eastAsia" w:ascii="仿宋" w:hAnsi="仿宋" w:eastAsia="仿宋" w:cs="仿宋"/>
                <w:color w:val="auto"/>
                <w:spacing w:val="-8"/>
                <w:kern w:val="0"/>
                <w:szCs w:val="24"/>
                <w:highlight w:val="none"/>
                <w:lang w:bidi="ar"/>
              </w:rPr>
              <w:t>现</w:t>
            </w:r>
          </w:p>
          <w:p w14:paraId="63A13CEA">
            <w:pPr>
              <w:pStyle w:val="18"/>
              <w:spacing w:before="25"/>
              <w:ind w:left="162"/>
              <w:rPr>
                <w:rFonts w:ascii="仿宋" w:hAnsi="仿宋" w:eastAsia="仿宋" w:cs="仿宋"/>
                <w:color w:val="auto"/>
                <w:szCs w:val="24"/>
                <w:highlight w:val="none"/>
              </w:rPr>
            </w:pPr>
            <w:r>
              <w:rPr>
                <w:rFonts w:hint="eastAsia" w:ascii="仿宋" w:hAnsi="仿宋" w:eastAsia="仿宋" w:cs="仿宋"/>
                <w:color w:val="auto"/>
                <w:spacing w:val="-3"/>
                <w:kern w:val="0"/>
                <w:szCs w:val="24"/>
                <w:highlight w:val="none"/>
                <w:lang w:bidi="ar"/>
              </w:rPr>
              <w:t>场安全</w:t>
            </w:r>
          </w:p>
          <w:p w14:paraId="71583179">
            <w:pPr>
              <w:pStyle w:val="18"/>
              <w:spacing w:before="28"/>
              <w:ind w:left="283"/>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措施</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3BDCD777">
            <w:pPr>
              <w:pStyle w:val="18"/>
              <w:spacing w:before="99"/>
              <w:ind w:left="124" w:right="202" w:firstLine="7"/>
              <w:rPr>
                <w:rFonts w:ascii="仿宋" w:hAnsi="仿宋" w:eastAsia="仿宋" w:cs="仿宋"/>
                <w:color w:val="auto"/>
                <w:szCs w:val="24"/>
                <w:highlight w:val="none"/>
              </w:rPr>
            </w:pPr>
            <w:r>
              <w:rPr>
                <w:rFonts w:hint="eastAsia" w:ascii="仿宋" w:hAnsi="仿宋" w:eastAsia="仿宋" w:cs="仿宋"/>
                <w:color w:val="auto"/>
                <w:spacing w:val="-2"/>
                <w:kern w:val="0"/>
                <w:szCs w:val="24"/>
                <w:highlight w:val="none"/>
                <w:lang w:bidi="ar"/>
              </w:rPr>
              <w:t>现场隔离、警示、通风、消防等安全</w:t>
            </w:r>
            <w:r>
              <w:rPr>
                <w:rFonts w:hint="eastAsia" w:ascii="仿宋" w:hAnsi="仿宋" w:eastAsia="仿宋" w:cs="仿宋"/>
                <w:color w:val="auto"/>
                <w:spacing w:val="-1"/>
                <w:kern w:val="0"/>
                <w:szCs w:val="24"/>
                <w:highlight w:val="none"/>
                <w:lang w:bidi="ar"/>
              </w:rPr>
              <w:t>措施落实到位，劳动防护用品规范使</w:t>
            </w:r>
            <w:r>
              <w:rPr>
                <w:rFonts w:hint="eastAsia" w:ascii="仿宋" w:hAnsi="仿宋" w:eastAsia="仿宋" w:cs="仿宋"/>
                <w:color w:val="auto"/>
                <w:spacing w:val="-3"/>
                <w:kern w:val="0"/>
                <w:szCs w:val="24"/>
                <w:highlight w:val="none"/>
                <w:lang w:bidi="ar"/>
              </w:rPr>
              <w:t>用。一处不符合扣</w:t>
            </w:r>
            <w:r>
              <w:rPr>
                <w:rFonts w:hint="eastAsia" w:ascii="仿宋" w:hAnsi="仿宋" w:eastAsia="仿宋" w:cs="仿宋"/>
                <w:color w:val="auto"/>
                <w:spacing w:val="-34"/>
                <w:kern w:val="0"/>
                <w:szCs w:val="24"/>
                <w:highlight w:val="none"/>
                <w:lang w:bidi="ar"/>
              </w:rPr>
              <w:t xml:space="preserve"> </w:t>
            </w:r>
            <w:r>
              <w:rPr>
                <w:rFonts w:hint="eastAsia" w:ascii="仿宋" w:hAnsi="仿宋" w:eastAsia="仿宋" w:cs="仿宋"/>
                <w:color w:val="auto"/>
                <w:spacing w:val="-3"/>
                <w:kern w:val="0"/>
                <w:szCs w:val="24"/>
                <w:highlight w:val="none"/>
                <w:lang w:bidi="ar"/>
              </w:rPr>
              <w:t>2</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3"/>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3D726C07">
            <w:pPr>
              <w:spacing w:line="331" w:lineRule="auto"/>
              <w:rPr>
                <w:rFonts w:ascii="Arial" w:hAnsi="Calibri"/>
                <w:color w:val="auto"/>
                <w:szCs w:val="21"/>
                <w:highlight w:val="none"/>
              </w:rPr>
            </w:pPr>
          </w:p>
          <w:p w14:paraId="38BC0DB2">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78BFF92">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126C647D">
            <w:pPr>
              <w:rPr>
                <w:rFonts w:ascii="Arial" w:hAnsi="Calibri"/>
                <w:color w:val="auto"/>
                <w:szCs w:val="21"/>
                <w:highlight w:val="none"/>
              </w:rPr>
            </w:pPr>
          </w:p>
        </w:tc>
      </w:tr>
      <w:tr w14:paraId="673C9B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779" w:type="dxa"/>
            <w:vMerge w:val="continue"/>
            <w:tcBorders>
              <w:top w:val="nil"/>
              <w:left w:val="single" w:color="000000" w:sz="2" w:space="0"/>
              <w:bottom w:val="nil"/>
              <w:right w:val="single" w:color="000000" w:sz="2" w:space="0"/>
            </w:tcBorders>
            <w:shd w:val="clear" w:color="auto" w:fill="auto"/>
          </w:tcPr>
          <w:p w14:paraId="2760AA99">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5E9D1685">
            <w:pPr>
              <w:pStyle w:val="18"/>
              <w:spacing w:before="99"/>
              <w:ind w:left="211"/>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3.3</w:t>
            </w:r>
            <w:r>
              <w:rPr>
                <w:rFonts w:hint="eastAsia" w:ascii="仿宋" w:hAnsi="仿宋" w:eastAsia="仿宋" w:cs="仿宋"/>
                <w:color w:val="auto"/>
                <w:spacing w:val="-42"/>
                <w:kern w:val="0"/>
                <w:szCs w:val="24"/>
                <w:highlight w:val="none"/>
                <w:lang w:bidi="ar"/>
              </w:rPr>
              <w:t xml:space="preserve"> </w:t>
            </w:r>
            <w:r>
              <w:rPr>
                <w:rFonts w:hint="eastAsia" w:ascii="仿宋" w:hAnsi="仿宋" w:eastAsia="仿宋" w:cs="仿宋"/>
                <w:color w:val="auto"/>
                <w:spacing w:val="-8"/>
                <w:kern w:val="0"/>
                <w:szCs w:val="24"/>
                <w:highlight w:val="none"/>
                <w:lang w:bidi="ar"/>
              </w:rPr>
              <w:t>工</w:t>
            </w:r>
          </w:p>
          <w:p w14:paraId="3C66AB41">
            <w:pPr>
              <w:pStyle w:val="18"/>
              <w:spacing w:before="6"/>
              <w:ind w:left="161"/>
              <w:rPr>
                <w:rFonts w:ascii="仿宋" w:hAnsi="仿宋" w:eastAsia="仿宋" w:cs="仿宋"/>
                <w:color w:val="auto"/>
                <w:szCs w:val="24"/>
                <w:highlight w:val="none"/>
              </w:rPr>
            </w:pPr>
            <w:r>
              <w:rPr>
                <w:rFonts w:hint="eastAsia" w:ascii="仿宋" w:hAnsi="仿宋" w:eastAsia="仿宋" w:cs="仿宋"/>
                <w:color w:val="auto"/>
                <w:spacing w:val="-3"/>
                <w:kern w:val="0"/>
                <w:szCs w:val="24"/>
                <w:highlight w:val="none"/>
                <w:lang w:bidi="ar"/>
              </w:rPr>
              <w:t>机具与</w:t>
            </w:r>
          </w:p>
          <w:p w14:paraId="0A4BE062">
            <w:pPr>
              <w:pStyle w:val="18"/>
              <w:spacing w:before="29"/>
              <w:ind w:left="283"/>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设备</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49AB8F18">
            <w:pPr>
              <w:pStyle w:val="18"/>
              <w:spacing w:before="99"/>
              <w:ind w:left="127" w:right="55" w:firstLine="2"/>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工机具入场检验合格，安全状态良好，</w:t>
            </w:r>
            <w:r>
              <w:rPr>
                <w:rFonts w:hint="eastAsia" w:ascii="仿宋" w:hAnsi="仿宋" w:eastAsia="仿宋" w:cs="仿宋"/>
                <w:color w:val="auto"/>
                <w:spacing w:val="-1"/>
                <w:kern w:val="0"/>
                <w:szCs w:val="24"/>
                <w:highlight w:val="none"/>
                <w:lang w:bidi="ar"/>
              </w:rPr>
              <w:t>特种设备检验标识清晰、在检验周期</w:t>
            </w:r>
            <w:r>
              <w:rPr>
                <w:rFonts w:hint="eastAsia" w:ascii="仿宋" w:hAnsi="仿宋" w:eastAsia="仿宋" w:cs="仿宋"/>
                <w:color w:val="auto"/>
                <w:spacing w:val="-3"/>
                <w:kern w:val="0"/>
                <w:szCs w:val="24"/>
                <w:highlight w:val="none"/>
                <w:lang w:bidi="ar"/>
              </w:rPr>
              <w:t>内。一项不符合扣</w:t>
            </w:r>
            <w:r>
              <w:rPr>
                <w:rFonts w:hint="eastAsia" w:ascii="仿宋" w:hAnsi="仿宋" w:eastAsia="仿宋" w:cs="仿宋"/>
                <w:color w:val="auto"/>
                <w:spacing w:val="-37"/>
                <w:kern w:val="0"/>
                <w:szCs w:val="24"/>
                <w:highlight w:val="none"/>
                <w:lang w:bidi="ar"/>
              </w:rPr>
              <w:t xml:space="preserve"> </w:t>
            </w:r>
            <w:r>
              <w:rPr>
                <w:rFonts w:hint="eastAsia" w:ascii="仿宋" w:hAnsi="仿宋" w:eastAsia="仿宋" w:cs="仿宋"/>
                <w:color w:val="auto"/>
                <w:spacing w:val="-3"/>
                <w:kern w:val="0"/>
                <w:szCs w:val="24"/>
                <w:highlight w:val="none"/>
                <w:lang w:bidi="ar"/>
              </w:rPr>
              <w:t>2</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3"/>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7F65B79F">
            <w:pPr>
              <w:spacing w:line="331" w:lineRule="auto"/>
              <w:rPr>
                <w:rFonts w:ascii="Arial" w:hAnsi="Calibri"/>
                <w:color w:val="auto"/>
                <w:szCs w:val="21"/>
                <w:highlight w:val="none"/>
              </w:rPr>
            </w:pPr>
          </w:p>
          <w:p w14:paraId="1AD33EDD">
            <w:pPr>
              <w:pStyle w:val="18"/>
              <w:spacing w:before="78"/>
              <w:ind w:left="292"/>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4</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C3C8A6A">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19A7DAA8">
            <w:pPr>
              <w:rPr>
                <w:rFonts w:ascii="Arial" w:hAnsi="Calibri"/>
                <w:color w:val="auto"/>
                <w:szCs w:val="21"/>
                <w:highlight w:val="none"/>
              </w:rPr>
            </w:pPr>
          </w:p>
        </w:tc>
      </w:tr>
      <w:tr w14:paraId="648B61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4" w:hRule="atLeast"/>
        </w:trPr>
        <w:tc>
          <w:tcPr>
            <w:tcW w:w="779" w:type="dxa"/>
            <w:vMerge w:val="continue"/>
            <w:tcBorders>
              <w:top w:val="nil"/>
              <w:left w:val="single" w:color="000000" w:sz="2" w:space="0"/>
              <w:bottom w:val="nil"/>
              <w:right w:val="single" w:color="000000" w:sz="2" w:space="0"/>
            </w:tcBorders>
            <w:shd w:val="clear" w:color="auto" w:fill="auto"/>
          </w:tcPr>
          <w:p w14:paraId="40EEE6DD">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02D0A544">
            <w:pPr>
              <w:pStyle w:val="18"/>
              <w:spacing w:before="100"/>
              <w:ind w:left="166" w:right="119" w:hanging="22"/>
              <w:rPr>
                <w:rFonts w:ascii="仿宋" w:hAnsi="仿宋" w:eastAsia="仿宋" w:cs="仿宋"/>
                <w:color w:val="auto"/>
                <w:szCs w:val="24"/>
                <w:highlight w:val="none"/>
              </w:rPr>
            </w:pPr>
            <w:r>
              <w:rPr>
                <w:rFonts w:hint="eastAsia" w:ascii="仿宋" w:hAnsi="仿宋" w:eastAsia="仿宋" w:cs="仿宋"/>
                <w:color w:val="auto"/>
                <w:spacing w:val="-15"/>
                <w:kern w:val="0"/>
                <w:szCs w:val="24"/>
                <w:highlight w:val="none"/>
                <w:lang w:bidi="ar"/>
              </w:rPr>
              <w:t>3.4“三</w:t>
            </w:r>
            <w:r>
              <w:rPr>
                <w:rFonts w:hint="eastAsia" w:ascii="仿宋" w:hAnsi="仿宋" w:eastAsia="仿宋" w:cs="仿宋"/>
                <w:color w:val="auto"/>
                <w:spacing w:val="-5"/>
                <w:kern w:val="0"/>
                <w:szCs w:val="24"/>
                <w:highlight w:val="none"/>
                <w:lang w:bidi="ar"/>
              </w:rPr>
              <w:t>违”行</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0FC815A7">
            <w:pPr>
              <w:pStyle w:val="18"/>
              <w:spacing w:before="100"/>
              <w:ind w:left="131" w:right="202" w:hanging="9"/>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建立</w:t>
            </w:r>
            <w:r>
              <w:rPr>
                <w:rFonts w:hint="eastAsia" w:ascii="仿宋" w:hAnsi="仿宋" w:eastAsia="仿宋" w:cs="仿宋"/>
                <w:color w:val="auto"/>
                <w:spacing w:val="-76"/>
                <w:kern w:val="0"/>
                <w:szCs w:val="24"/>
                <w:highlight w:val="none"/>
                <w:lang w:bidi="ar"/>
              </w:rPr>
              <w:t xml:space="preserve"> </w:t>
            </w:r>
            <w:r>
              <w:rPr>
                <w:rFonts w:hint="eastAsia" w:ascii="仿宋" w:hAnsi="仿宋" w:eastAsia="仿宋" w:cs="仿宋"/>
                <w:color w:val="auto"/>
                <w:spacing w:val="-5"/>
                <w:kern w:val="0"/>
                <w:szCs w:val="24"/>
                <w:highlight w:val="none"/>
                <w:lang w:bidi="ar"/>
              </w:rPr>
              <w:t>“</w:t>
            </w:r>
            <w:r>
              <w:rPr>
                <w:rFonts w:hint="eastAsia" w:ascii="仿宋" w:hAnsi="仿宋" w:eastAsia="仿宋" w:cs="仿宋"/>
                <w:color w:val="auto"/>
                <w:spacing w:val="-93"/>
                <w:kern w:val="0"/>
                <w:szCs w:val="24"/>
                <w:highlight w:val="none"/>
                <w:lang w:bidi="ar"/>
              </w:rPr>
              <w:t xml:space="preserve"> </w:t>
            </w:r>
            <w:r>
              <w:rPr>
                <w:rFonts w:hint="eastAsia" w:ascii="仿宋" w:hAnsi="仿宋" w:eastAsia="仿宋" w:cs="仿宋"/>
                <w:color w:val="auto"/>
                <w:spacing w:val="-5"/>
                <w:kern w:val="0"/>
                <w:szCs w:val="24"/>
                <w:highlight w:val="none"/>
                <w:lang w:bidi="ar"/>
              </w:rPr>
              <w:t>三违”行为查处与统计分析机</w:t>
            </w:r>
            <w:r>
              <w:rPr>
                <w:rFonts w:hint="eastAsia" w:ascii="仿宋" w:hAnsi="仿宋" w:eastAsia="仿宋" w:cs="仿宋"/>
                <w:color w:val="auto"/>
                <w:spacing w:val="-2"/>
                <w:kern w:val="0"/>
                <w:szCs w:val="24"/>
                <w:highlight w:val="none"/>
                <w:lang w:bidi="ar"/>
              </w:rPr>
              <w:t>制，有记录、有整改、有考核。未建</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325E4767">
            <w:pPr>
              <w:pStyle w:val="18"/>
              <w:spacing w:before="256"/>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95A657C">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0BEAA069">
            <w:pPr>
              <w:rPr>
                <w:rFonts w:ascii="Arial" w:hAnsi="Calibri"/>
                <w:color w:val="auto"/>
                <w:szCs w:val="21"/>
                <w:highlight w:val="none"/>
              </w:rPr>
            </w:pPr>
          </w:p>
        </w:tc>
      </w:tr>
    </w:tbl>
    <w:p w14:paraId="5DD3D07B">
      <w:pPr>
        <w:rPr>
          <w:rFonts w:ascii="Arial" w:hAnsi="Arial" w:cs="Arial"/>
          <w:color w:val="auto"/>
          <w:szCs w:val="21"/>
          <w:highlight w:val="none"/>
        </w:rPr>
        <w:sectPr>
          <w:headerReference r:id="rId8" w:type="default"/>
          <w:footerReference r:id="rId9" w:type="default"/>
          <w:type w:val="continuous"/>
          <w:pgSz w:w="11906" w:h="16839"/>
          <w:pgMar w:top="1999" w:right="1065" w:bottom="1223" w:left="1677" w:header="1508" w:footer="1061" w:gutter="0"/>
          <w:cols w:space="720" w:num="1"/>
          <w:formProt w:val="0"/>
          <w:docGrid w:type="linesAndChars" w:linePitch="312" w:charSpace="0"/>
        </w:sectPr>
      </w:pPr>
    </w:p>
    <w:p w14:paraId="6314CC74">
      <w:pPr>
        <w:spacing w:before="18"/>
        <w:rPr>
          <w:rFonts w:ascii="Calibri" w:hAnsi="Calibri"/>
          <w:color w:val="auto"/>
          <w:szCs w:val="21"/>
          <w:highlight w:val="none"/>
        </w:rPr>
      </w:pPr>
      <w:r>
        <w:rPr>
          <w:rFonts w:ascii="Calibri" w:hAnsi="Calibri"/>
          <w:color w:val="auto"/>
          <w:kern w:val="0"/>
          <w:szCs w:val="21"/>
          <w:highlight w:val="none"/>
          <w:lang w:bidi="ar"/>
        </w:rPr>
        <w:t xml:space="preserve"> </w:t>
      </w:r>
    </w:p>
    <w:tbl>
      <w:tblPr>
        <w:tblStyle w:val="68"/>
        <w:tblW w:w="9157" w:type="dxa"/>
        <w:tblInd w:w="1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9"/>
        <w:gridCol w:w="1035"/>
        <w:gridCol w:w="4163"/>
        <w:gridCol w:w="671"/>
        <w:gridCol w:w="491"/>
        <w:gridCol w:w="2018"/>
      </w:tblGrid>
      <w:tr w14:paraId="7FF8E2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8" w:hRule="atLeast"/>
        </w:trPr>
        <w:tc>
          <w:tcPr>
            <w:tcW w:w="779" w:type="dxa"/>
            <w:vMerge w:val="restart"/>
            <w:tcBorders>
              <w:top w:val="single" w:color="000000" w:sz="2" w:space="0"/>
              <w:left w:val="single" w:color="000000" w:sz="2" w:space="0"/>
              <w:bottom w:val="nil"/>
              <w:right w:val="single" w:color="000000" w:sz="2" w:space="0"/>
            </w:tcBorders>
            <w:shd w:val="clear" w:color="auto" w:fill="auto"/>
          </w:tcPr>
          <w:p w14:paraId="4B9FEA45">
            <w:pPr>
              <w:rPr>
                <w:rFonts w:ascii="Arial" w:hAnsi="Calibri"/>
                <w:color w:val="auto"/>
                <w:szCs w:val="21"/>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5E39DD9D">
            <w:pPr>
              <w:pStyle w:val="18"/>
              <w:spacing w:before="97"/>
              <w:ind w:left="171"/>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为管控</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418ACB77">
            <w:pPr>
              <w:pStyle w:val="18"/>
              <w:spacing w:before="97"/>
              <w:ind w:left="139" w:hanging="4"/>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立机制本项不得分；发现一般“</w:t>
            </w:r>
            <w:r>
              <w:rPr>
                <w:rFonts w:hint="eastAsia" w:ascii="仿宋" w:hAnsi="仿宋" w:eastAsia="仿宋" w:cs="仿宋"/>
                <w:color w:val="auto"/>
                <w:spacing w:val="-94"/>
                <w:kern w:val="0"/>
                <w:szCs w:val="24"/>
                <w:highlight w:val="none"/>
                <w:lang w:bidi="ar"/>
              </w:rPr>
              <w:t xml:space="preserve"> </w:t>
            </w:r>
            <w:r>
              <w:rPr>
                <w:rFonts w:hint="eastAsia" w:ascii="仿宋" w:hAnsi="仿宋" w:eastAsia="仿宋" w:cs="仿宋"/>
                <w:color w:val="auto"/>
                <w:spacing w:val="-5"/>
                <w:kern w:val="0"/>
                <w:szCs w:val="24"/>
                <w:highlight w:val="none"/>
                <w:lang w:bidi="ar"/>
              </w:rPr>
              <w:t>三违”</w:t>
            </w:r>
            <w:r>
              <w:rPr>
                <w:rFonts w:hint="eastAsia" w:ascii="仿宋" w:hAnsi="仿宋" w:eastAsia="仿宋" w:cs="仿宋"/>
                <w:color w:val="auto"/>
                <w:spacing w:val="-12"/>
                <w:kern w:val="0"/>
                <w:szCs w:val="24"/>
                <w:highlight w:val="none"/>
                <w:lang w:bidi="ar"/>
              </w:rPr>
              <w:t>一次扣</w:t>
            </w:r>
            <w:r>
              <w:rPr>
                <w:rFonts w:hint="eastAsia" w:ascii="仿宋" w:hAnsi="仿宋" w:eastAsia="仿宋" w:cs="仿宋"/>
                <w:color w:val="auto"/>
                <w:spacing w:val="-36"/>
                <w:kern w:val="0"/>
                <w:szCs w:val="24"/>
                <w:highlight w:val="none"/>
                <w:lang w:bidi="ar"/>
              </w:rPr>
              <w:t xml:space="preserve"> </w:t>
            </w:r>
            <w:r>
              <w:rPr>
                <w:rFonts w:hint="eastAsia" w:ascii="仿宋" w:hAnsi="仿宋" w:eastAsia="仿宋" w:cs="仿宋"/>
                <w:color w:val="auto"/>
                <w:spacing w:val="-12"/>
                <w:kern w:val="0"/>
                <w:szCs w:val="24"/>
                <w:highlight w:val="none"/>
                <w:lang w:bidi="ar"/>
              </w:rPr>
              <w:t>2</w:t>
            </w:r>
            <w:r>
              <w:rPr>
                <w:rFonts w:hint="eastAsia" w:ascii="仿宋" w:hAnsi="仿宋" w:eastAsia="仿宋" w:cs="仿宋"/>
                <w:color w:val="auto"/>
                <w:spacing w:val="-51"/>
                <w:kern w:val="0"/>
                <w:szCs w:val="24"/>
                <w:highlight w:val="none"/>
                <w:lang w:bidi="ar"/>
              </w:rPr>
              <w:t xml:space="preserve"> </w:t>
            </w:r>
            <w:r>
              <w:rPr>
                <w:rFonts w:hint="eastAsia" w:ascii="仿宋" w:hAnsi="仿宋" w:eastAsia="仿宋" w:cs="仿宋"/>
                <w:color w:val="auto"/>
                <w:spacing w:val="-12"/>
                <w:kern w:val="0"/>
                <w:szCs w:val="24"/>
                <w:highlight w:val="none"/>
                <w:lang w:bidi="ar"/>
              </w:rPr>
              <w:t>分，严重</w:t>
            </w:r>
            <w:r>
              <w:rPr>
                <w:rFonts w:hint="eastAsia" w:ascii="仿宋" w:hAnsi="仿宋" w:eastAsia="仿宋" w:cs="仿宋"/>
                <w:color w:val="auto"/>
                <w:spacing w:val="-90"/>
                <w:kern w:val="0"/>
                <w:szCs w:val="24"/>
                <w:highlight w:val="none"/>
                <w:lang w:bidi="ar"/>
              </w:rPr>
              <w:t xml:space="preserve"> </w:t>
            </w:r>
            <w:r>
              <w:rPr>
                <w:rFonts w:hint="eastAsia" w:ascii="仿宋" w:hAnsi="仿宋" w:eastAsia="仿宋" w:cs="仿宋"/>
                <w:color w:val="auto"/>
                <w:spacing w:val="-12"/>
                <w:kern w:val="0"/>
                <w:szCs w:val="24"/>
                <w:highlight w:val="none"/>
                <w:lang w:bidi="ar"/>
              </w:rPr>
              <w:t>“三违”一次扣</w:t>
            </w:r>
            <w:r>
              <w:rPr>
                <w:rFonts w:hint="eastAsia" w:ascii="仿宋" w:hAnsi="仿宋" w:eastAsia="仿宋" w:cs="仿宋"/>
                <w:color w:val="auto"/>
                <w:spacing w:val="-40"/>
                <w:kern w:val="0"/>
                <w:szCs w:val="24"/>
                <w:highlight w:val="none"/>
                <w:lang w:bidi="ar"/>
              </w:rPr>
              <w:t xml:space="preserve"> </w:t>
            </w:r>
            <w:r>
              <w:rPr>
                <w:rFonts w:hint="eastAsia" w:ascii="仿宋" w:hAnsi="仿宋" w:eastAsia="仿宋" w:cs="仿宋"/>
                <w:color w:val="auto"/>
                <w:spacing w:val="-12"/>
                <w:kern w:val="0"/>
                <w:szCs w:val="24"/>
                <w:highlight w:val="none"/>
                <w:lang w:bidi="ar"/>
              </w:rPr>
              <w:t>5</w:t>
            </w:r>
          </w:p>
          <w:p w14:paraId="18B5F7DC">
            <w:pPr>
              <w:pStyle w:val="18"/>
              <w:ind w:left="126"/>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7BAE9EE8">
            <w:pPr>
              <w:rPr>
                <w:rFonts w:ascii="Arial" w:hAnsi="Calibri"/>
                <w:color w:val="auto"/>
                <w:szCs w:val="21"/>
                <w:highlight w:val="none"/>
              </w:rPr>
            </w:pP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7D9042CA">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540F134B">
            <w:pPr>
              <w:rPr>
                <w:rFonts w:ascii="Arial" w:hAnsi="Calibri"/>
                <w:color w:val="auto"/>
                <w:szCs w:val="21"/>
                <w:highlight w:val="none"/>
              </w:rPr>
            </w:pPr>
          </w:p>
        </w:tc>
      </w:tr>
      <w:tr w14:paraId="4C6314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779" w:type="dxa"/>
            <w:vMerge w:val="continue"/>
            <w:tcBorders>
              <w:top w:val="single" w:color="000000" w:sz="2" w:space="0"/>
              <w:left w:val="single" w:color="000000" w:sz="2" w:space="0"/>
              <w:bottom w:val="nil"/>
              <w:right w:val="single" w:color="000000" w:sz="2" w:space="0"/>
            </w:tcBorders>
            <w:shd w:val="clear" w:color="auto" w:fill="auto"/>
          </w:tcPr>
          <w:p w14:paraId="6D0B5014">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5E54B408">
            <w:pPr>
              <w:pStyle w:val="18"/>
              <w:spacing w:before="250"/>
              <w:ind w:left="211"/>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3.5</w:t>
            </w:r>
            <w:r>
              <w:rPr>
                <w:rFonts w:hint="eastAsia" w:ascii="仿宋" w:hAnsi="仿宋" w:eastAsia="仿宋" w:cs="仿宋"/>
                <w:color w:val="auto"/>
                <w:spacing w:val="-41"/>
                <w:kern w:val="0"/>
                <w:szCs w:val="24"/>
                <w:highlight w:val="none"/>
                <w:lang w:bidi="ar"/>
              </w:rPr>
              <w:t xml:space="preserve"> </w:t>
            </w:r>
            <w:r>
              <w:rPr>
                <w:rFonts w:hint="eastAsia" w:ascii="仿宋" w:hAnsi="仿宋" w:eastAsia="仿宋" w:cs="仿宋"/>
                <w:color w:val="auto"/>
                <w:spacing w:val="-8"/>
                <w:kern w:val="0"/>
                <w:szCs w:val="24"/>
                <w:highlight w:val="none"/>
                <w:lang w:bidi="ar"/>
              </w:rPr>
              <w:t>监</w:t>
            </w:r>
          </w:p>
          <w:p w14:paraId="20C3261E">
            <w:pPr>
              <w:pStyle w:val="18"/>
              <w:spacing w:before="19"/>
              <w:ind w:left="174"/>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护人履</w:t>
            </w:r>
          </w:p>
          <w:p w14:paraId="489EAEA2">
            <w:pPr>
              <w:pStyle w:val="18"/>
              <w:spacing w:before="30"/>
              <w:ind w:left="414"/>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职</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4B4A5CC8">
            <w:pPr>
              <w:pStyle w:val="18"/>
              <w:spacing w:before="94"/>
              <w:ind w:left="126" w:right="202" w:firstLine="8"/>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高风险作业按要求设置</w:t>
            </w:r>
            <w:r>
              <w:rPr>
                <w:rFonts w:hint="eastAsia" w:ascii="仿宋" w:hAnsi="仿宋" w:eastAsia="仿宋" w:cs="仿宋"/>
                <w:color w:val="auto"/>
                <w:spacing w:val="-78"/>
                <w:kern w:val="0"/>
                <w:szCs w:val="24"/>
                <w:highlight w:val="none"/>
                <w:lang w:bidi="ar"/>
              </w:rPr>
              <w:t xml:space="preserve"> </w:t>
            </w:r>
            <w:r>
              <w:rPr>
                <w:rFonts w:hint="eastAsia" w:ascii="仿宋" w:hAnsi="仿宋" w:eastAsia="仿宋" w:cs="仿宋"/>
                <w:color w:val="auto"/>
                <w:spacing w:val="-6"/>
                <w:kern w:val="0"/>
                <w:szCs w:val="24"/>
                <w:highlight w:val="none"/>
                <w:lang w:bidi="ar"/>
              </w:rPr>
              <w:t>“双监护”</w:t>
            </w:r>
            <w:r>
              <w:rPr>
                <w:rFonts w:hint="eastAsia" w:ascii="仿宋" w:hAnsi="仿宋" w:eastAsia="仿宋" w:cs="仿宋"/>
                <w:color w:val="auto"/>
                <w:spacing w:val="-87"/>
                <w:kern w:val="0"/>
                <w:szCs w:val="24"/>
                <w:highlight w:val="none"/>
                <w:lang w:bidi="ar"/>
              </w:rPr>
              <w:t xml:space="preserve"> </w:t>
            </w:r>
            <w:r>
              <w:rPr>
                <w:rFonts w:hint="eastAsia" w:ascii="仿宋" w:hAnsi="仿宋" w:eastAsia="仿宋" w:cs="仿宋"/>
                <w:color w:val="auto"/>
                <w:spacing w:val="-6"/>
                <w:kern w:val="0"/>
                <w:szCs w:val="24"/>
                <w:highlight w:val="none"/>
                <w:lang w:bidi="ar"/>
              </w:rPr>
              <w:t>，</w:t>
            </w:r>
            <w:r>
              <w:rPr>
                <w:rFonts w:hint="eastAsia" w:ascii="仿宋" w:hAnsi="仿宋" w:eastAsia="仿宋" w:cs="仿宋"/>
                <w:color w:val="auto"/>
                <w:spacing w:val="-1"/>
                <w:kern w:val="0"/>
                <w:szCs w:val="24"/>
                <w:highlight w:val="none"/>
                <w:lang w:bidi="ar"/>
              </w:rPr>
              <w:t>中风险作业由发包方专人监护，监护</w:t>
            </w:r>
            <w:r>
              <w:rPr>
                <w:rFonts w:hint="eastAsia" w:ascii="仿宋" w:hAnsi="仿宋" w:eastAsia="仿宋" w:cs="仿宋"/>
                <w:color w:val="auto"/>
                <w:spacing w:val="-3"/>
                <w:kern w:val="0"/>
                <w:szCs w:val="24"/>
                <w:highlight w:val="none"/>
                <w:lang w:bidi="ar"/>
              </w:rPr>
              <w:t>人持证并在岗履职。一处不符合扣</w:t>
            </w:r>
            <w:r>
              <w:rPr>
                <w:rFonts w:hint="eastAsia" w:ascii="仿宋" w:hAnsi="仿宋" w:eastAsia="仿宋" w:cs="仿宋"/>
                <w:color w:val="auto"/>
                <w:spacing w:val="-25"/>
                <w:kern w:val="0"/>
                <w:szCs w:val="24"/>
                <w:highlight w:val="none"/>
                <w:lang w:bidi="ar"/>
              </w:rPr>
              <w:t xml:space="preserve"> </w:t>
            </w:r>
            <w:r>
              <w:rPr>
                <w:rFonts w:hint="eastAsia" w:ascii="仿宋" w:hAnsi="仿宋" w:eastAsia="仿宋" w:cs="仿宋"/>
                <w:color w:val="auto"/>
                <w:spacing w:val="-3"/>
                <w:kern w:val="0"/>
                <w:szCs w:val="24"/>
                <w:highlight w:val="none"/>
                <w:lang w:bidi="ar"/>
              </w:rPr>
              <w:t>3</w:t>
            </w:r>
            <w:r>
              <w:rPr>
                <w:rFonts w:hint="eastAsia" w:ascii="仿宋" w:hAnsi="仿宋" w:eastAsia="仿宋" w:cs="仿宋"/>
                <w:color w:val="auto"/>
                <w:spacing w:val="-2"/>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3ACF5D8A">
            <w:pPr>
              <w:rPr>
                <w:rFonts w:ascii="Arial" w:hAnsi="Calibri"/>
                <w:color w:val="auto"/>
                <w:szCs w:val="21"/>
                <w:highlight w:val="none"/>
              </w:rPr>
            </w:pPr>
          </w:p>
          <w:p w14:paraId="3B688D7B">
            <w:pPr>
              <w:rPr>
                <w:rFonts w:ascii="Arial" w:hAnsi="Calibri"/>
                <w:color w:val="auto"/>
                <w:szCs w:val="21"/>
                <w:highlight w:val="none"/>
              </w:rPr>
            </w:pPr>
          </w:p>
          <w:p w14:paraId="2C15488B">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293BA8CB">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3D064995">
            <w:pPr>
              <w:rPr>
                <w:rFonts w:ascii="Arial" w:hAnsi="Calibri"/>
                <w:color w:val="auto"/>
                <w:szCs w:val="21"/>
                <w:highlight w:val="none"/>
              </w:rPr>
            </w:pPr>
          </w:p>
        </w:tc>
      </w:tr>
      <w:tr w14:paraId="2434B9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779" w:type="dxa"/>
            <w:vMerge w:val="restart"/>
            <w:tcBorders>
              <w:top w:val="nil"/>
              <w:left w:val="single" w:color="000000" w:sz="2" w:space="0"/>
              <w:bottom w:val="nil"/>
              <w:right w:val="single" w:color="000000" w:sz="2" w:space="0"/>
            </w:tcBorders>
            <w:shd w:val="clear" w:color="auto" w:fill="auto"/>
          </w:tcPr>
          <w:p w14:paraId="013BC7BC">
            <w:pPr>
              <w:spacing w:line="256" w:lineRule="auto"/>
              <w:rPr>
                <w:rFonts w:ascii="Arial" w:hAnsi="Calibri"/>
                <w:color w:val="auto"/>
                <w:szCs w:val="21"/>
                <w:highlight w:val="none"/>
              </w:rPr>
            </w:pPr>
          </w:p>
          <w:p w14:paraId="13BA11F8">
            <w:pPr>
              <w:spacing w:line="256" w:lineRule="auto"/>
              <w:rPr>
                <w:rFonts w:ascii="Arial" w:hAnsi="Calibri"/>
                <w:color w:val="auto"/>
                <w:szCs w:val="21"/>
                <w:highlight w:val="none"/>
              </w:rPr>
            </w:pPr>
          </w:p>
          <w:p w14:paraId="34FC906B">
            <w:pPr>
              <w:spacing w:line="256" w:lineRule="auto"/>
              <w:rPr>
                <w:rFonts w:ascii="Arial" w:hAnsi="Calibri"/>
                <w:color w:val="auto"/>
                <w:szCs w:val="21"/>
                <w:highlight w:val="none"/>
              </w:rPr>
            </w:pPr>
          </w:p>
          <w:p w14:paraId="618368FF">
            <w:pPr>
              <w:spacing w:line="256" w:lineRule="auto"/>
              <w:rPr>
                <w:rFonts w:ascii="Arial" w:hAnsi="Calibri"/>
                <w:color w:val="auto"/>
                <w:szCs w:val="21"/>
                <w:highlight w:val="none"/>
              </w:rPr>
            </w:pPr>
          </w:p>
          <w:p w14:paraId="6EDAB79E">
            <w:pPr>
              <w:spacing w:line="256" w:lineRule="auto"/>
              <w:rPr>
                <w:rFonts w:ascii="Arial" w:hAnsi="Calibri"/>
                <w:color w:val="auto"/>
                <w:szCs w:val="21"/>
                <w:highlight w:val="none"/>
              </w:rPr>
            </w:pPr>
          </w:p>
          <w:p w14:paraId="1C4AF4B4">
            <w:pPr>
              <w:spacing w:line="256" w:lineRule="auto"/>
              <w:rPr>
                <w:rFonts w:ascii="Arial" w:hAnsi="Calibri"/>
                <w:color w:val="auto"/>
                <w:szCs w:val="21"/>
                <w:highlight w:val="none"/>
              </w:rPr>
            </w:pPr>
          </w:p>
          <w:p w14:paraId="4BBD519F">
            <w:pPr>
              <w:spacing w:line="256" w:lineRule="auto"/>
              <w:rPr>
                <w:rFonts w:ascii="Arial" w:hAnsi="Calibri"/>
                <w:color w:val="auto"/>
                <w:szCs w:val="21"/>
                <w:highlight w:val="none"/>
              </w:rPr>
            </w:pPr>
          </w:p>
          <w:p w14:paraId="6E9BBD23">
            <w:pPr>
              <w:spacing w:line="256" w:lineRule="auto"/>
              <w:rPr>
                <w:rFonts w:ascii="Arial" w:hAnsi="Calibri"/>
                <w:color w:val="auto"/>
                <w:szCs w:val="21"/>
                <w:highlight w:val="none"/>
              </w:rPr>
            </w:pPr>
          </w:p>
          <w:p w14:paraId="3654CE64">
            <w:pPr>
              <w:spacing w:line="256" w:lineRule="auto"/>
              <w:rPr>
                <w:rFonts w:ascii="Arial" w:hAnsi="Calibri"/>
                <w:color w:val="auto"/>
                <w:szCs w:val="21"/>
                <w:highlight w:val="none"/>
              </w:rPr>
            </w:pPr>
          </w:p>
          <w:p w14:paraId="71EC4EEA">
            <w:pPr>
              <w:spacing w:line="256" w:lineRule="auto"/>
              <w:rPr>
                <w:rFonts w:ascii="Arial" w:hAnsi="Calibri"/>
                <w:color w:val="auto"/>
                <w:szCs w:val="21"/>
                <w:highlight w:val="none"/>
              </w:rPr>
            </w:pPr>
          </w:p>
          <w:p w14:paraId="5BCB62BC">
            <w:pPr>
              <w:spacing w:line="256" w:lineRule="auto"/>
              <w:rPr>
                <w:rFonts w:ascii="Arial" w:hAnsi="Calibri"/>
                <w:color w:val="auto"/>
                <w:szCs w:val="21"/>
                <w:highlight w:val="none"/>
              </w:rPr>
            </w:pPr>
          </w:p>
          <w:p w14:paraId="62B488C9">
            <w:pPr>
              <w:pStyle w:val="18"/>
              <w:spacing w:before="78"/>
              <w:ind w:left="154" w:right="147" w:firstLine="9"/>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4.安</w:t>
            </w:r>
            <w:r>
              <w:rPr>
                <w:rFonts w:hint="eastAsia" w:ascii="仿宋" w:hAnsi="仿宋" w:eastAsia="仿宋" w:cs="仿宋"/>
                <w:color w:val="auto"/>
                <w:spacing w:val="-5"/>
                <w:kern w:val="0"/>
                <w:szCs w:val="24"/>
                <w:highlight w:val="none"/>
                <w:lang w:bidi="ar"/>
              </w:rPr>
              <w:t>全绩效与改进</w:t>
            </w:r>
            <w:r>
              <w:rPr>
                <w:rFonts w:hint="eastAsia" w:ascii="仿宋" w:hAnsi="仿宋" w:eastAsia="仿宋" w:cs="仿宋"/>
                <w:color w:val="auto"/>
                <w:spacing w:val="17"/>
                <w:kern w:val="0"/>
                <w:szCs w:val="24"/>
                <w:highlight w:val="none"/>
                <w:lang w:bidi="ar"/>
              </w:rPr>
              <w:t>(30</w:t>
            </w:r>
            <w:r>
              <w:rPr>
                <w:rFonts w:hint="eastAsia" w:ascii="仿宋" w:hAnsi="仿宋" w:eastAsia="仿宋" w:cs="仿宋"/>
                <w:color w:val="auto"/>
                <w:spacing w:val="25"/>
                <w:kern w:val="0"/>
                <w:szCs w:val="24"/>
                <w:highlight w:val="none"/>
                <w:lang w:bidi="ar"/>
              </w:rPr>
              <w:t>分)</w:t>
            </w: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24F65A34">
            <w:pPr>
              <w:pStyle w:val="18"/>
              <w:spacing w:before="252"/>
              <w:ind w:left="200"/>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4.1</w:t>
            </w:r>
            <w:r>
              <w:rPr>
                <w:rFonts w:hint="eastAsia" w:ascii="仿宋" w:hAnsi="仿宋" w:eastAsia="仿宋" w:cs="仿宋"/>
                <w:color w:val="auto"/>
                <w:spacing w:val="-44"/>
                <w:kern w:val="0"/>
                <w:szCs w:val="24"/>
                <w:highlight w:val="none"/>
                <w:lang w:bidi="ar"/>
              </w:rPr>
              <w:t xml:space="preserve"> </w:t>
            </w:r>
            <w:r>
              <w:rPr>
                <w:rFonts w:hint="eastAsia" w:ascii="仿宋" w:hAnsi="仿宋" w:eastAsia="仿宋" w:cs="仿宋"/>
                <w:color w:val="auto"/>
                <w:spacing w:val="-5"/>
                <w:kern w:val="0"/>
                <w:szCs w:val="24"/>
                <w:highlight w:val="none"/>
                <w:lang w:bidi="ar"/>
              </w:rPr>
              <w:t>安</w:t>
            </w:r>
          </w:p>
          <w:p w14:paraId="072FE94D">
            <w:pPr>
              <w:pStyle w:val="18"/>
              <w:spacing w:before="27"/>
              <w:ind w:left="162"/>
              <w:rPr>
                <w:rFonts w:ascii="仿宋" w:hAnsi="仿宋" w:eastAsia="仿宋" w:cs="仿宋"/>
                <w:color w:val="auto"/>
                <w:szCs w:val="24"/>
                <w:highlight w:val="none"/>
              </w:rPr>
            </w:pPr>
            <w:r>
              <w:rPr>
                <w:rFonts w:hint="eastAsia" w:ascii="仿宋" w:hAnsi="仿宋" w:eastAsia="仿宋" w:cs="仿宋"/>
                <w:color w:val="auto"/>
                <w:spacing w:val="-3"/>
                <w:kern w:val="0"/>
                <w:szCs w:val="24"/>
                <w:highlight w:val="none"/>
                <w:lang w:bidi="ar"/>
              </w:rPr>
              <w:t>全事故</w:t>
            </w:r>
          </w:p>
          <w:p w14:paraId="4E493CD9">
            <w:pPr>
              <w:pStyle w:val="18"/>
              <w:spacing w:before="28"/>
              <w:ind w:left="293"/>
              <w:rPr>
                <w:rFonts w:ascii="仿宋" w:hAnsi="仿宋" w:eastAsia="仿宋" w:cs="仿宋"/>
                <w:color w:val="auto"/>
                <w:szCs w:val="24"/>
                <w:highlight w:val="none"/>
              </w:rPr>
            </w:pPr>
            <w:r>
              <w:rPr>
                <w:rFonts w:hint="eastAsia" w:ascii="仿宋" w:hAnsi="仿宋" w:eastAsia="仿宋" w:cs="仿宋"/>
                <w:color w:val="auto"/>
                <w:spacing w:val="-10"/>
                <w:kern w:val="0"/>
                <w:szCs w:val="24"/>
                <w:highlight w:val="none"/>
                <w:lang w:bidi="ar"/>
              </w:rPr>
              <w:t>情况</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24D58B91">
            <w:pPr>
              <w:pStyle w:val="18"/>
              <w:spacing w:before="94"/>
              <w:ind w:left="131" w:right="116" w:hanging="7"/>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评价期内未发生生产安全责任事故得</w:t>
            </w:r>
            <w:r>
              <w:rPr>
                <w:rFonts w:hint="eastAsia" w:ascii="仿宋" w:hAnsi="仿宋" w:eastAsia="仿宋" w:cs="仿宋"/>
                <w:color w:val="auto"/>
                <w:spacing w:val="-2"/>
                <w:kern w:val="0"/>
                <w:szCs w:val="24"/>
                <w:highlight w:val="none"/>
                <w:lang w:bidi="ar"/>
              </w:rPr>
              <w:t>10</w:t>
            </w:r>
            <w:r>
              <w:rPr>
                <w:rFonts w:hint="eastAsia" w:ascii="仿宋" w:hAnsi="仿宋" w:eastAsia="仿宋" w:cs="仿宋"/>
                <w:color w:val="auto"/>
                <w:spacing w:val="-44"/>
                <w:kern w:val="0"/>
                <w:szCs w:val="24"/>
                <w:highlight w:val="none"/>
                <w:lang w:bidi="ar"/>
              </w:rPr>
              <w:t xml:space="preserve"> </w:t>
            </w:r>
            <w:r>
              <w:rPr>
                <w:rFonts w:hint="eastAsia" w:ascii="仿宋" w:hAnsi="仿宋" w:eastAsia="仿宋" w:cs="仿宋"/>
                <w:color w:val="auto"/>
                <w:spacing w:val="-2"/>
                <w:kern w:val="0"/>
                <w:szCs w:val="24"/>
                <w:highlight w:val="none"/>
                <w:lang w:bidi="ar"/>
              </w:rPr>
              <w:t>分。发生生产安全责任事故，视严</w:t>
            </w:r>
            <w:r>
              <w:rPr>
                <w:rFonts w:hint="eastAsia" w:ascii="仿宋" w:hAnsi="仿宋" w:eastAsia="仿宋" w:cs="仿宋"/>
                <w:color w:val="auto"/>
                <w:spacing w:val="-5"/>
                <w:kern w:val="0"/>
                <w:szCs w:val="24"/>
                <w:highlight w:val="none"/>
                <w:lang w:bidi="ar"/>
              </w:rPr>
              <w:t>重程度扣</w:t>
            </w:r>
            <w:r>
              <w:rPr>
                <w:rFonts w:hint="eastAsia" w:ascii="仿宋" w:hAnsi="仿宋" w:eastAsia="仿宋" w:cs="仿宋"/>
                <w:color w:val="auto"/>
                <w:spacing w:val="-33"/>
                <w:kern w:val="0"/>
                <w:szCs w:val="24"/>
                <w:highlight w:val="none"/>
                <w:lang w:bidi="ar"/>
              </w:rPr>
              <w:t xml:space="preserve"> </w:t>
            </w:r>
            <w:r>
              <w:rPr>
                <w:rFonts w:hint="eastAsia" w:ascii="仿宋" w:hAnsi="仿宋" w:eastAsia="仿宋" w:cs="仿宋"/>
                <w:color w:val="auto"/>
                <w:spacing w:val="-5"/>
                <w:kern w:val="0"/>
                <w:szCs w:val="24"/>
                <w:highlight w:val="none"/>
                <w:lang w:bidi="ar"/>
              </w:rPr>
              <w:t>5-10</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5"/>
                <w:kern w:val="0"/>
                <w:szCs w:val="24"/>
                <w:highlight w:val="none"/>
                <w:lang w:bidi="ar"/>
              </w:rPr>
              <w:t>分；存在瞒报、谎报行</w:t>
            </w:r>
            <w:r>
              <w:rPr>
                <w:rFonts w:hint="eastAsia" w:ascii="仿宋" w:hAnsi="仿宋" w:eastAsia="仿宋" w:cs="仿宋"/>
                <w:color w:val="auto"/>
                <w:spacing w:val="-3"/>
                <w:kern w:val="0"/>
                <w:szCs w:val="24"/>
                <w:highlight w:val="none"/>
                <w:lang w:bidi="ar"/>
              </w:rPr>
              <w:t>为，本项不得分。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73993D4E">
            <w:pPr>
              <w:rPr>
                <w:rFonts w:ascii="Arial" w:hAnsi="Calibri"/>
                <w:color w:val="auto"/>
                <w:szCs w:val="21"/>
                <w:highlight w:val="none"/>
              </w:rPr>
            </w:pPr>
          </w:p>
          <w:p w14:paraId="11B3871C">
            <w:pPr>
              <w:rPr>
                <w:rFonts w:ascii="Arial" w:hAnsi="Calibri"/>
                <w:color w:val="auto"/>
                <w:szCs w:val="21"/>
                <w:highlight w:val="none"/>
              </w:rPr>
            </w:pPr>
          </w:p>
          <w:p w14:paraId="4C5B422B">
            <w:pPr>
              <w:pStyle w:val="18"/>
              <w:spacing w:before="78"/>
              <w:ind w:left="239"/>
              <w:rPr>
                <w:rFonts w:ascii="仿宋" w:hAnsi="仿宋" w:eastAsia="仿宋" w:cs="仿宋"/>
                <w:color w:val="auto"/>
                <w:szCs w:val="24"/>
                <w:highlight w:val="none"/>
              </w:rPr>
            </w:pPr>
            <w:r>
              <w:rPr>
                <w:rFonts w:hint="eastAsia" w:ascii="仿宋" w:hAnsi="仿宋" w:eastAsia="仿宋" w:cs="仿宋"/>
                <w:color w:val="auto"/>
                <w:spacing w:val="-13"/>
                <w:kern w:val="0"/>
                <w:szCs w:val="24"/>
                <w:highlight w:val="none"/>
                <w:lang w:bidi="ar"/>
              </w:rPr>
              <w:t>10</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2C9C46B4">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1452517D">
            <w:pPr>
              <w:rPr>
                <w:rFonts w:ascii="Arial" w:hAnsi="Calibri"/>
                <w:color w:val="auto"/>
                <w:szCs w:val="21"/>
                <w:highlight w:val="none"/>
              </w:rPr>
            </w:pPr>
          </w:p>
        </w:tc>
      </w:tr>
      <w:tr w14:paraId="709812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8" w:hRule="atLeast"/>
        </w:trPr>
        <w:tc>
          <w:tcPr>
            <w:tcW w:w="779" w:type="dxa"/>
            <w:vMerge w:val="continue"/>
            <w:tcBorders>
              <w:top w:val="nil"/>
              <w:left w:val="single" w:color="000000" w:sz="2" w:space="0"/>
              <w:bottom w:val="nil"/>
              <w:right w:val="single" w:color="000000" w:sz="2" w:space="0"/>
            </w:tcBorders>
            <w:shd w:val="clear" w:color="auto" w:fill="auto"/>
          </w:tcPr>
          <w:p w14:paraId="7F0EF1AE">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46D81DE4">
            <w:pPr>
              <w:pStyle w:val="18"/>
              <w:spacing w:before="98"/>
              <w:ind w:left="180" w:right="40" w:hanging="47"/>
              <w:rPr>
                <w:rFonts w:ascii="仿宋" w:hAnsi="仿宋" w:eastAsia="仿宋" w:cs="仿宋"/>
                <w:color w:val="auto"/>
                <w:szCs w:val="24"/>
                <w:highlight w:val="none"/>
              </w:rPr>
            </w:pPr>
            <w:r>
              <w:rPr>
                <w:rFonts w:hint="eastAsia" w:ascii="仿宋" w:hAnsi="仿宋" w:eastAsia="仿宋" w:cs="仿宋"/>
                <w:color w:val="auto"/>
                <w:spacing w:val="-13"/>
                <w:kern w:val="0"/>
                <w:szCs w:val="24"/>
                <w:highlight w:val="none"/>
                <w:lang w:bidi="ar"/>
              </w:rPr>
              <w:t>4.2“吹</w:t>
            </w:r>
            <w:r>
              <w:rPr>
                <w:rFonts w:hint="eastAsia" w:ascii="仿宋" w:hAnsi="仿宋" w:eastAsia="仿宋" w:cs="仿宋"/>
                <w:color w:val="auto"/>
                <w:spacing w:val="29"/>
                <w:kern w:val="0"/>
                <w:szCs w:val="24"/>
                <w:highlight w:val="none"/>
                <w:lang w:bidi="ar"/>
              </w:rPr>
              <w:t>哨人”</w:t>
            </w:r>
          </w:p>
          <w:p w14:paraId="0395F156">
            <w:pPr>
              <w:pStyle w:val="18"/>
              <w:spacing w:before="2"/>
              <w:ind w:left="403" w:right="155" w:hanging="232"/>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制度执</w:t>
            </w:r>
            <w:r>
              <w:rPr>
                <w:rFonts w:hint="eastAsia" w:ascii="仿宋" w:hAnsi="仿宋" w:eastAsia="仿宋" w:cs="仿宋"/>
                <w:color w:val="auto"/>
                <w:kern w:val="0"/>
                <w:szCs w:val="24"/>
                <w:highlight w:val="none"/>
                <w:lang w:bidi="ar"/>
              </w:rPr>
              <w:t>行</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499D55FB">
            <w:pPr>
              <w:pStyle w:val="18"/>
              <w:spacing w:before="100"/>
              <w:ind w:left="120" w:right="202" w:firstLine="1"/>
              <w:rPr>
                <w:rFonts w:ascii="仿宋" w:hAnsi="仿宋" w:eastAsia="仿宋" w:cs="仿宋"/>
                <w:color w:val="auto"/>
                <w:szCs w:val="24"/>
                <w:highlight w:val="none"/>
              </w:rPr>
            </w:pPr>
            <w:r>
              <w:rPr>
                <w:rFonts w:hint="eastAsia" w:ascii="仿宋" w:hAnsi="仿宋" w:eastAsia="仿宋" w:cs="仿宋"/>
                <w:color w:val="auto"/>
                <w:spacing w:val="-3"/>
                <w:kern w:val="0"/>
                <w:szCs w:val="24"/>
                <w:highlight w:val="none"/>
                <w:lang w:bidi="ar"/>
              </w:rPr>
              <w:t>建立并有效执行</w:t>
            </w:r>
            <w:r>
              <w:rPr>
                <w:rFonts w:hint="eastAsia" w:ascii="仿宋" w:hAnsi="仿宋" w:eastAsia="仿宋" w:cs="仿宋"/>
                <w:color w:val="auto"/>
                <w:spacing w:val="-81"/>
                <w:kern w:val="0"/>
                <w:szCs w:val="24"/>
                <w:highlight w:val="none"/>
                <w:lang w:bidi="ar"/>
              </w:rPr>
              <w:t xml:space="preserve"> </w:t>
            </w:r>
            <w:r>
              <w:rPr>
                <w:rFonts w:hint="eastAsia" w:ascii="仿宋" w:hAnsi="仿宋" w:eastAsia="仿宋" w:cs="仿宋"/>
                <w:color w:val="auto"/>
                <w:spacing w:val="-3"/>
                <w:kern w:val="0"/>
                <w:szCs w:val="24"/>
                <w:highlight w:val="none"/>
                <w:lang w:bidi="ar"/>
              </w:rPr>
              <w:t>“吹哨人”及隐患内</w:t>
            </w:r>
            <w:r>
              <w:rPr>
                <w:rFonts w:hint="eastAsia" w:ascii="仿宋" w:hAnsi="仿宋" w:eastAsia="仿宋" w:cs="仿宋"/>
                <w:color w:val="auto"/>
                <w:spacing w:val="-1"/>
                <w:kern w:val="0"/>
                <w:szCs w:val="24"/>
                <w:highlight w:val="none"/>
                <w:lang w:bidi="ar"/>
              </w:rPr>
              <w:t>部报告制度，奖励标准明确、落实到位，有完整台账记录。制度未建立不</w:t>
            </w:r>
            <w:r>
              <w:rPr>
                <w:rFonts w:hint="eastAsia" w:ascii="仿宋" w:hAnsi="仿宋" w:eastAsia="仿宋" w:cs="仿宋"/>
                <w:color w:val="auto"/>
                <w:spacing w:val="-4"/>
                <w:kern w:val="0"/>
                <w:szCs w:val="24"/>
                <w:highlight w:val="none"/>
                <w:lang w:bidi="ar"/>
              </w:rPr>
              <w:t>得分；执行不到位扣</w:t>
            </w:r>
            <w:r>
              <w:rPr>
                <w:rFonts w:hint="eastAsia" w:ascii="仿宋" w:hAnsi="仿宋" w:eastAsia="仿宋" w:cs="仿宋"/>
                <w:color w:val="auto"/>
                <w:spacing w:val="-22"/>
                <w:kern w:val="0"/>
                <w:szCs w:val="24"/>
                <w:highlight w:val="none"/>
                <w:lang w:bidi="ar"/>
              </w:rPr>
              <w:t xml:space="preserve"> </w:t>
            </w:r>
            <w:r>
              <w:rPr>
                <w:rFonts w:hint="eastAsia" w:ascii="仿宋" w:hAnsi="仿宋" w:eastAsia="仿宋" w:cs="仿宋"/>
                <w:color w:val="auto"/>
                <w:spacing w:val="-4"/>
                <w:kern w:val="0"/>
                <w:szCs w:val="24"/>
                <w:highlight w:val="none"/>
                <w:lang w:bidi="ar"/>
              </w:rPr>
              <w:t>3-5</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4"/>
                <w:kern w:val="0"/>
                <w:szCs w:val="2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07F9F498">
            <w:pPr>
              <w:rPr>
                <w:rFonts w:ascii="Arial" w:hAnsi="Calibri"/>
                <w:color w:val="auto"/>
                <w:szCs w:val="21"/>
                <w:highlight w:val="none"/>
              </w:rPr>
            </w:pPr>
          </w:p>
          <w:p w14:paraId="32A219B4">
            <w:pPr>
              <w:spacing w:line="242" w:lineRule="auto"/>
              <w:rPr>
                <w:rFonts w:ascii="Arial" w:hAnsi="Calibri"/>
                <w:color w:val="auto"/>
                <w:szCs w:val="21"/>
                <w:highlight w:val="none"/>
              </w:rPr>
            </w:pPr>
          </w:p>
          <w:p w14:paraId="07F69E31">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2C10FEBF">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410EB5E7">
            <w:pPr>
              <w:rPr>
                <w:rFonts w:ascii="Arial" w:hAnsi="Calibri"/>
                <w:color w:val="auto"/>
                <w:szCs w:val="21"/>
                <w:highlight w:val="none"/>
              </w:rPr>
            </w:pPr>
          </w:p>
        </w:tc>
      </w:tr>
      <w:tr w14:paraId="6BC9C0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8" w:hRule="atLeast"/>
        </w:trPr>
        <w:tc>
          <w:tcPr>
            <w:tcW w:w="779" w:type="dxa"/>
            <w:vMerge w:val="continue"/>
            <w:tcBorders>
              <w:top w:val="nil"/>
              <w:left w:val="single" w:color="000000" w:sz="2" w:space="0"/>
              <w:bottom w:val="nil"/>
              <w:right w:val="single" w:color="000000" w:sz="2" w:space="0"/>
            </w:tcBorders>
            <w:shd w:val="clear" w:color="auto" w:fill="auto"/>
          </w:tcPr>
          <w:p w14:paraId="0608BFEE">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48DD1954">
            <w:pPr>
              <w:pStyle w:val="18"/>
              <w:spacing w:before="252"/>
              <w:ind w:left="200"/>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4.3</w:t>
            </w:r>
            <w:r>
              <w:rPr>
                <w:rFonts w:hint="eastAsia" w:ascii="仿宋" w:hAnsi="仿宋" w:eastAsia="仿宋" w:cs="仿宋"/>
                <w:color w:val="auto"/>
                <w:spacing w:val="-31"/>
                <w:kern w:val="0"/>
                <w:szCs w:val="24"/>
                <w:highlight w:val="none"/>
                <w:lang w:bidi="ar"/>
              </w:rPr>
              <w:t xml:space="preserve"> </w:t>
            </w:r>
            <w:r>
              <w:rPr>
                <w:rFonts w:hint="eastAsia" w:ascii="仿宋" w:hAnsi="仿宋" w:eastAsia="仿宋" w:cs="仿宋"/>
                <w:color w:val="auto"/>
                <w:spacing w:val="-5"/>
                <w:kern w:val="0"/>
                <w:szCs w:val="24"/>
                <w:highlight w:val="none"/>
                <w:lang w:bidi="ar"/>
              </w:rPr>
              <w:t>隐</w:t>
            </w:r>
          </w:p>
          <w:p w14:paraId="15669B37">
            <w:pPr>
              <w:pStyle w:val="18"/>
              <w:spacing w:before="27"/>
              <w:ind w:left="177"/>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患整改</w:t>
            </w:r>
          </w:p>
          <w:p w14:paraId="005BEBD5">
            <w:pPr>
              <w:pStyle w:val="18"/>
              <w:spacing w:before="29"/>
              <w:ind w:left="307"/>
              <w:rPr>
                <w:rFonts w:ascii="仿宋" w:hAnsi="仿宋" w:eastAsia="仿宋" w:cs="仿宋"/>
                <w:color w:val="auto"/>
                <w:szCs w:val="24"/>
                <w:highlight w:val="none"/>
              </w:rPr>
            </w:pPr>
            <w:r>
              <w:rPr>
                <w:rFonts w:hint="eastAsia" w:ascii="仿宋" w:hAnsi="仿宋" w:eastAsia="仿宋" w:cs="仿宋"/>
                <w:color w:val="auto"/>
                <w:spacing w:val="-17"/>
                <w:kern w:val="0"/>
                <w:szCs w:val="24"/>
                <w:highlight w:val="none"/>
                <w:lang w:bidi="ar"/>
              </w:rPr>
              <w:t>闭环</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077B0E21">
            <w:pPr>
              <w:pStyle w:val="18"/>
              <w:spacing w:before="95"/>
              <w:ind w:left="118" w:right="202" w:firstLine="11"/>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对发包方及自查隐患整改响应及时，</w:t>
            </w:r>
            <w:r>
              <w:rPr>
                <w:rFonts w:hint="eastAsia" w:ascii="仿宋" w:hAnsi="仿宋" w:eastAsia="仿宋" w:cs="仿宋"/>
                <w:color w:val="auto"/>
                <w:spacing w:val="-5"/>
                <w:kern w:val="0"/>
                <w:szCs w:val="24"/>
                <w:highlight w:val="none"/>
                <w:lang w:bidi="ar"/>
              </w:rPr>
              <w:t>形成</w:t>
            </w:r>
            <w:r>
              <w:rPr>
                <w:rFonts w:hint="eastAsia" w:ascii="仿宋" w:hAnsi="仿宋" w:eastAsia="仿宋" w:cs="仿宋"/>
                <w:color w:val="auto"/>
                <w:spacing w:val="-72"/>
                <w:kern w:val="0"/>
                <w:szCs w:val="24"/>
                <w:highlight w:val="none"/>
                <w:lang w:bidi="ar"/>
              </w:rPr>
              <w:t xml:space="preserve"> </w:t>
            </w:r>
            <w:r>
              <w:rPr>
                <w:rFonts w:hint="eastAsia" w:ascii="仿宋" w:hAnsi="仿宋" w:eastAsia="仿宋" w:cs="仿宋"/>
                <w:color w:val="auto"/>
                <w:spacing w:val="-5"/>
                <w:kern w:val="0"/>
                <w:szCs w:val="24"/>
                <w:highlight w:val="none"/>
                <w:lang w:bidi="ar"/>
              </w:rPr>
              <w:t>“发现-整改-验证”</w:t>
            </w:r>
            <w:r>
              <w:rPr>
                <w:rFonts w:hint="eastAsia" w:ascii="仿宋" w:hAnsi="仿宋" w:eastAsia="仿宋" w:cs="仿宋"/>
                <w:color w:val="auto"/>
                <w:spacing w:val="-87"/>
                <w:kern w:val="0"/>
                <w:szCs w:val="24"/>
                <w:highlight w:val="none"/>
                <w:lang w:bidi="ar"/>
              </w:rPr>
              <w:t xml:space="preserve"> </w:t>
            </w:r>
            <w:r>
              <w:rPr>
                <w:rFonts w:hint="eastAsia" w:ascii="仿宋" w:hAnsi="仿宋" w:eastAsia="仿宋" w:cs="仿宋"/>
                <w:color w:val="auto"/>
                <w:spacing w:val="-5"/>
                <w:kern w:val="0"/>
                <w:szCs w:val="24"/>
                <w:highlight w:val="none"/>
                <w:lang w:bidi="ar"/>
              </w:rPr>
              <w:t>闭环。一项</w:t>
            </w:r>
            <w:r>
              <w:rPr>
                <w:rFonts w:hint="eastAsia" w:ascii="仿宋" w:hAnsi="仿宋" w:eastAsia="仿宋" w:cs="仿宋"/>
                <w:color w:val="auto"/>
                <w:spacing w:val="-3"/>
                <w:kern w:val="0"/>
                <w:szCs w:val="24"/>
                <w:highlight w:val="none"/>
                <w:lang w:bidi="ar"/>
              </w:rPr>
              <w:t>未闭环扣</w:t>
            </w:r>
            <w:r>
              <w:rPr>
                <w:rFonts w:hint="eastAsia" w:ascii="仿宋" w:hAnsi="仿宋" w:eastAsia="仿宋" w:cs="仿宋"/>
                <w:color w:val="auto"/>
                <w:spacing w:val="-28"/>
                <w:kern w:val="0"/>
                <w:szCs w:val="24"/>
                <w:highlight w:val="none"/>
                <w:lang w:bidi="ar"/>
              </w:rPr>
              <w:t xml:space="preserve"> </w:t>
            </w:r>
            <w:r>
              <w:rPr>
                <w:rFonts w:hint="eastAsia" w:ascii="仿宋" w:hAnsi="仿宋" w:eastAsia="仿宋" w:cs="仿宋"/>
                <w:color w:val="auto"/>
                <w:spacing w:val="-3"/>
                <w:kern w:val="0"/>
                <w:szCs w:val="24"/>
                <w:highlight w:val="none"/>
                <w:lang w:bidi="ar"/>
              </w:rPr>
              <w:t>2</w:t>
            </w:r>
            <w:r>
              <w:rPr>
                <w:rFonts w:hint="eastAsia" w:ascii="仿宋" w:hAnsi="仿宋" w:eastAsia="仿宋" w:cs="仿宋"/>
                <w:color w:val="auto"/>
                <w:spacing w:val="-48"/>
                <w:kern w:val="0"/>
                <w:szCs w:val="24"/>
                <w:highlight w:val="none"/>
                <w:lang w:bidi="ar"/>
              </w:rPr>
              <w:t xml:space="preserve"> </w:t>
            </w:r>
            <w:r>
              <w:rPr>
                <w:rFonts w:hint="eastAsia" w:ascii="仿宋" w:hAnsi="仿宋" w:eastAsia="仿宋" w:cs="仿宋"/>
                <w:color w:val="auto"/>
                <w:spacing w:val="-3"/>
                <w:kern w:val="0"/>
                <w:szCs w:val="24"/>
                <w:highlight w:val="none"/>
                <w:lang w:bidi="ar"/>
              </w:rPr>
              <w:t>分；重复出现同类隐患加</w:t>
            </w:r>
            <w:r>
              <w:rPr>
                <w:rFonts w:hint="eastAsia" w:ascii="仿宋" w:hAnsi="仿宋" w:eastAsia="仿宋" w:cs="仿宋"/>
                <w:color w:val="auto"/>
                <w:spacing w:val="-1"/>
                <w:kern w:val="0"/>
                <w:szCs w:val="24"/>
                <w:highlight w:val="none"/>
                <w:lang w:bidi="ar"/>
              </w:rPr>
              <w:t>倍扣分。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25522FC2">
            <w:pPr>
              <w:rPr>
                <w:rFonts w:ascii="Arial" w:hAnsi="Calibri"/>
                <w:color w:val="auto"/>
                <w:szCs w:val="21"/>
                <w:highlight w:val="none"/>
              </w:rPr>
            </w:pPr>
          </w:p>
          <w:p w14:paraId="613981BC">
            <w:pPr>
              <w:rPr>
                <w:rFonts w:ascii="Arial" w:hAnsi="Calibri"/>
                <w:color w:val="auto"/>
                <w:szCs w:val="21"/>
                <w:highlight w:val="none"/>
              </w:rPr>
            </w:pPr>
          </w:p>
          <w:p w14:paraId="06201E61">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2AE1AD59">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535BBD04">
            <w:pPr>
              <w:rPr>
                <w:rFonts w:ascii="Arial" w:hAnsi="Calibri"/>
                <w:color w:val="auto"/>
                <w:szCs w:val="21"/>
                <w:highlight w:val="none"/>
              </w:rPr>
            </w:pPr>
          </w:p>
        </w:tc>
      </w:tr>
      <w:tr w14:paraId="5A2185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61" w:hRule="atLeast"/>
        </w:trPr>
        <w:tc>
          <w:tcPr>
            <w:tcW w:w="779" w:type="dxa"/>
            <w:vMerge w:val="continue"/>
            <w:tcBorders>
              <w:top w:val="nil"/>
              <w:left w:val="single" w:color="000000" w:sz="2" w:space="0"/>
              <w:bottom w:val="nil"/>
              <w:right w:val="single" w:color="000000" w:sz="2" w:space="0"/>
            </w:tcBorders>
            <w:shd w:val="clear" w:color="auto" w:fill="auto"/>
          </w:tcPr>
          <w:p w14:paraId="1AFBCC23">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04E05E56">
            <w:pPr>
              <w:spacing w:line="242" w:lineRule="auto"/>
              <w:rPr>
                <w:rFonts w:ascii="Arial" w:hAnsi="Calibri"/>
                <w:color w:val="auto"/>
                <w:szCs w:val="21"/>
                <w:highlight w:val="none"/>
              </w:rPr>
            </w:pPr>
          </w:p>
          <w:p w14:paraId="4061CBEA">
            <w:pPr>
              <w:spacing w:line="242" w:lineRule="auto"/>
              <w:rPr>
                <w:rFonts w:ascii="Arial" w:hAnsi="Calibri"/>
                <w:color w:val="auto"/>
                <w:szCs w:val="21"/>
                <w:highlight w:val="none"/>
              </w:rPr>
            </w:pPr>
          </w:p>
          <w:p w14:paraId="305C8390">
            <w:pPr>
              <w:pStyle w:val="18"/>
              <w:spacing w:before="78"/>
              <w:ind w:left="171" w:right="155" w:firstLine="29"/>
              <w:rPr>
                <w:rFonts w:ascii="仿宋" w:hAnsi="仿宋" w:eastAsia="仿宋" w:cs="仿宋"/>
                <w:color w:val="auto"/>
                <w:szCs w:val="24"/>
                <w:highlight w:val="none"/>
              </w:rPr>
            </w:pPr>
            <w:r>
              <w:rPr>
                <w:rFonts w:hint="eastAsia" w:ascii="仿宋" w:hAnsi="仿宋" w:eastAsia="仿宋" w:cs="仿宋"/>
                <w:color w:val="auto"/>
                <w:spacing w:val="-9"/>
                <w:kern w:val="0"/>
                <w:szCs w:val="24"/>
                <w:highlight w:val="none"/>
                <w:lang w:bidi="ar"/>
              </w:rPr>
              <w:t>4.4</w:t>
            </w:r>
            <w:r>
              <w:rPr>
                <w:rFonts w:hint="eastAsia" w:ascii="仿宋" w:hAnsi="仿宋" w:eastAsia="仿宋" w:cs="仿宋"/>
                <w:color w:val="auto"/>
                <w:spacing w:val="-43"/>
                <w:kern w:val="0"/>
                <w:szCs w:val="24"/>
                <w:highlight w:val="none"/>
                <w:lang w:bidi="ar"/>
              </w:rPr>
              <w:t xml:space="preserve"> </w:t>
            </w:r>
            <w:r>
              <w:rPr>
                <w:rFonts w:hint="eastAsia" w:ascii="仿宋" w:hAnsi="仿宋" w:eastAsia="仿宋" w:cs="仿宋"/>
                <w:color w:val="auto"/>
                <w:spacing w:val="-9"/>
                <w:kern w:val="0"/>
                <w:szCs w:val="24"/>
                <w:highlight w:val="none"/>
                <w:lang w:bidi="ar"/>
              </w:rPr>
              <w:t>事</w:t>
            </w:r>
            <w:r>
              <w:rPr>
                <w:rFonts w:hint="eastAsia" w:ascii="仿宋" w:hAnsi="仿宋" w:eastAsia="仿宋" w:cs="仿宋"/>
                <w:color w:val="auto"/>
                <w:spacing w:val="-6"/>
                <w:kern w:val="0"/>
                <w:szCs w:val="24"/>
                <w:highlight w:val="none"/>
                <w:lang w:bidi="ar"/>
              </w:rPr>
              <w:t>故事件</w:t>
            </w:r>
            <w:r>
              <w:rPr>
                <w:rFonts w:hint="eastAsia" w:ascii="仿宋" w:hAnsi="仿宋" w:eastAsia="仿宋" w:cs="仿宋"/>
                <w:color w:val="auto"/>
                <w:spacing w:val="51"/>
                <w:kern w:val="0"/>
                <w:szCs w:val="24"/>
                <w:highlight w:val="none"/>
                <w:lang w:bidi="ar"/>
              </w:rPr>
              <w:t>管理</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39452B9C">
            <w:pPr>
              <w:pStyle w:val="18"/>
              <w:spacing w:before="94"/>
              <w:ind w:left="124" w:right="49"/>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按规定报告事故事件，严格执行</w:t>
            </w:r>
            <w:r>
              <w:rPr>
                <w:rFonts w:hint="eastAsia" w:ascii="仿宋" w:hAnsi="仿宋" w:eastAsia="仿宋" w:cs="仿宋"/>
                <w:color w:val="auto"/>
                <w:spacing w:val="-73"/>
                <w:kern w:val="0"/>
                <w:szCs w:val="24"/>
                <w:highlight w:val="none"/>
                <w:lang w:bidi="ar"/>
              </w:rPr>
              <w:t xml:space="preserve"> </w:t>
            </w:r>
            <w:r>
              <w:rPr>
                <w:rFonts w:hint="eastAsia" w:ascii="仿宋" w:hAnsi="仿宋" w:eastAsia="仿宋" w:cs="仿宋"/>
                <w:color w:val="auto"/>
                <w:spacing w:val="-6"/>
                <w:kern w:val="0"/>
                <w:szCs w:val="24"/>
                <w:highlight w:val="none"/>
                <w:lang w:bidi="ar"/>
              </w:rPr>
              <w:t>“</w:t>
            </w:r>
            <w:r>
              <w:rPr>
                <w:rFonts w:hint="eastAsia" w:ascii="仿宋" w:hAnsi="仿宋" w:eastAsia="仿宋" w:cs="仿宋"/>
                <w:color w:val="auto"/>
                <w:spacing w:val="-83"/>
                <w:kern w:val="0"/>
                <w:szCs w:val="24"/>
                <w:highlight w:val="none"/>
                <w:lang w:bidi="ar"/>
              </w:rPr>
              <w:t xml:space="preserve"> </w:t>
            </w:r>
            <w:r>
              <w:rPr>
                <w:rFonts w:hint="eastAsia" w:ascii="仿宋" w:hAnsi="仿宋" w:eastAsia="仿宋" w:cs="仿宋"/>
                <w:color w:val="auto"/>
                <w:spacing w:val="-6"/>
                <w:kern w:val="0"/>
                <w:szCs w:val="24"/>
                <w:highlight w:val="none"/>
                <w:lang w:bidi="ar"/>
              </w:rPr>
              <w:t>四</w:t>
            </w:r>
            <w:r>
              <w:rPr>
                <w:rFonts w:hint="eastAsia" w:ascii="仿宋" w:hAnsi="仿宋" w:eastAsia="仿宋" w:cs="仿宋"/>
                <w:color w:val="auto"/>
                <w:spacing w:val="1"/>
                <w:kern w:val="0"/>
                <w:szCs w:val="24"/>
                <w:highlight w:val="none"/>
                <w:lang w:bidi="ar"/>
              </w:rPr>
              <w:t>不放过”原则（原因未查清不放过、</w:t>
            </w:r>
            <w:r>
              <w:rPr>
                <w:rFonts w:hint="eastAsia" w:ascii="仿宋" w:hAnsi="仿宋" w:eastAsia="仿宋" w:cs="仿宋"/>
                <w:color w:val="auto"/>
                <w:spacing w:val="-1"/>
                <w:kern w:val="0"/>
                <w:szCs w:val="24"/>
                <w:highlight w:val="none"/>
                <w:lang w:bidi="ar"/>
              </w:rPr>
              <w:t>责任人未处理不放过、措施未落实不</w:t>
            </w:r>
            <w:r>
              <w:rPr>
                <w:rFonts w:hint="eastAsia" w:ascii="仿宋" w:hAnsi="仿宋" w:eastAsia="仿宋" w:cs="仿宋"/>
                <w:color w:val="auto"/>
                <w:spacing w:val="-6"/>
                <w:kern w:val="0"/>
                <w:szCs w:val="24"/>
                <w:highlight w:val="none"/>
                <w:lang w:bidi="ar"/>
              </w:rPr>
              <w:t>放过、有关人员未受到教育不放过）。</w:t>
            </w:r>
            <w:r>
              <w:rPr>
                <w:rFonts w:hint="eastAsia" w:ascii="仿宋" w:hAnsi="仿宋" w:eastAsia="仿宋" w:cs="仿宋"/>
                <w:color w:val="auto"/>
                <w:spacing w:val="-1"/>
                <w:kern w:val="0"/>
                <w:szCs w:val="24"/>
                <w:highlight w:val="none"/>
                <w:lang w:bidi="ar"/>
              </w:rPr>
              <w:t>未按规定报告或处理本项不得分；处</w:t>
            </w:r>
            <w:r>
              <w:rPr>
                <w:rFonts w:hint="eastAsia" w:ascii="仿宋" w:hAnsi="仿宋" w:eastAsia="仿宋" w:cs="仿宋"/>
                <w:color w:val="auto"/>
                <w:spacing w:val="-5"/>
                <w:kern w:val="0"/>
                <w:szCs w:val="24"/>
                <w:highlight w:val="none"/>
                <w:lang w:bidi="ar"/>
              </w:rPr>
              <w:t>理不完善扣</w:t>
            </w:r>
            <w:r>
              <w:rPr>
                <w:rFonts w:hint="eastAsia" w:ascii="仿宋" w:hAnsi="仿宋" w:eastAsia="仿宋" w:cs="仿宋"/>
                <w:color w:val="auto"/>
                <w:spacing w:val="-32"/>
                <w:kern w:val="0"/>
                <w:szCs w:val="24"/>
                <w:highlight w:val="none"/>
                <w:lang w:bidi="ar"/>
              </w:rPr>
              <w:t xml:space="preserve"> </w:t>
            </w:r>
            <w:r>
              <w:rPr>
                <w:rFonts w:hint="eastAsia" w:ascii="仿宋" w:hAnsi="仿宋" w:eastAsia="仿宋" w:cs="仿宋"/>
                <w:color w:val="auto"/>
                <w:spacing w:val="-5"/>
                <w:kern w:val="0"/>
                <w:szCs w:val="24"/>
                <w:highlight w:val="none"/>
                <w:lang w:bidi="ar"/>
              </w:rPr>
              <w:t>3-5</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5"/>
                <w:kern w:val="0"/>
                <w:szCs w:val="2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1A588AE7">
            <w:pPr>
              <w:spacing w:line="264" w:lineRule="auto"/>
              <w:rPr>
                <w:rFonts w:ascii="Arial" w:hAnsi="Calibri"/>
                <w:color w:val="auto"/>
                <w:szCs w:val="21"/>
                <w:highlight w:val="none"/>
              </w:rPr>
            </w:pPr>
          </w:p>
          <w:p w14:paraId="14BC5586">
            <w:pPr>
              <w:spacing w:line="264" w:lineRule="auto"/>
              <w:rPr>
                <w:rFonts w:ascii="Arial" w:hAnsi="Calibri"/>
                <w:color w:val="auto"/>
                <w:szCs w:val="21"/>
                <w:highlight w:val="none"/>
              </w:rPr>
            </w:pPr>
          </w:p>
          <w:p w14:paraId="664220E2">
            <w:pPr>
              <w:spacing w:line="264" w:lineRule="auto"/>
              <w:rPr>
                <w:rFonts w:ascii="Arial" w:hAnsi="Calibri"/>
                <w:color w:val="auto"/>
                <w:szCs w:val="21"/>
                <w:highlight w:val="none"/>
              </w:rPr>
            </w:pPr>
          </w:p>
          <w:p w14:paraId="62E41550">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6B1858C9">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008783BE">
            <w:pPr>
              <w:rPr>
                <w:rFonts w:ascii="Arial" w:hAnsi="Calibri"/>
                <w:color w:val="auto"/>
                <w:szCs w:val="21"/>
                <w:highlight w:val="none"/>
              </w:rPr>
            </w:pPr>
          </w:p>
        </w:tc>
      </w:tr>
      <w:tr w14:paraId="668A6A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49" w:hRule="atLeast"/>
        </w:trPr>
        <w:tc>
          <w:tcPr>
            <w:tcW w:w="779" w:type="dxa"/>
            <w:vMerge w:val="continue"/>
            <w:tcBorders>
              <w:top w:val="nil"/>
              <w:left w:val="single" w:color="000000" w:sz="2" w:space="0"/>
              <w:bottom w:val="nil"/>
              <w:right w:val="single" w:color="000000" w:sz="2" w:space="0"/>
            </w:tcBorders>
            <w:shd w:val="clear" w:color="auto" w:fill="auto"/>
          </w:tcPr>
          <w:p w14:paraId="56A4F5A5">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4315C900">
            <w:pPr>
              <w:spacing w:line="328" w:lineRule="auto"/>
              <w:rPr>
                <w:rFonts w:ascii="Arial" w:hAnsi="Calibri"/>
                <w:color w:val="auto"/>
                <w:szCs w:val="21"/>
                <w:highlight w:val="none"/>
              </w:rPr>
            </w:pPr>
          </w:p>
          <w:p w14:paraId="12CD9A4A">
            <w:pPr>
              <w:pStyle w:val="18"/>
              <w:spacing w:before="78"/>
              <w:ind w:left="165" w:right="155" w:firstLine="35"/>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4.5</w:t>
            </w:r>
            <w:r>
              <w:rPr>
                <w:rFonts w:hint="eastAsia" w:ascii="仿宋" w:hAnsi="仿宋" w:eastAsia="仿宋" w:cs="仿宋"/>
                <w:color w:val="auto"/>
                <w:spacing w:val="-47"/>
                <w:kern w:val="0"/>
                <w:szCs w:val="24"/>
                <w:highlight w:val="none"/>
                <w:lang w:bidi="ar"/>
              </w:rPr>
              <w:t xml:space="preserve"> </w:t>
            </w:r>
            <w:r>
              <w:rPr>
                <w:rFonts w:hint="eastAsia" w:ascii="仿宋" w:hAnsi="仿宋" w:eastAsia="仿宋" w:cs="仿宋"/>
                <w:color w:val="auto"/>
                <w:spacing w:val="-8"/>
                <w:kern w:val="0"/>
                <w:szCs w:val="24"/>
                <w:highlight w:val="none"/>
                <w:lang w:bidi="ar"/>
              </w:rPr>
              <w:t>项</w:t>
            </w:r>
            <w:r>
              <w:rPr>
                <w:rFonts w:hint="eastAsia" w:ascii="仿宋" w:hAnsi="仿宋" w:eastAsia="仿宋" w:cs="仿宋"/>
                <w:color w:val="auto"/>
                <w:spacing w:val="-4"/>
                <w:kern w:val="0"/>
                <w:szCs w:val="24"/>
                <w:highlight w:val="none"/>
                <w:lang w:bidi="ar"/>
              </w:rPr>
              <w:t>目负责人履职</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18194B6D">
            <w:pPr>
              <w:pStyle w:val="18"/>
              <w:spacing w:before="98"/>
              <w:ind w:left="124" w:right="202" w:firstLine="2"/>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项目（现场）负责人技术能力与安全管理经验匹配，在岗履职，变更需经发包方批准。评价期内擅离岗位或未经批准变更本项不得分；履职不到位</w:t>
            </w:r>
            <w:r>
              <w:rPr>
                <w:rFonts w:hint="eastAsia" w:ascii="仿宋" w:hAnsi="仿宋" w:eastAsia="仿宋" w:cs="仿宋"/>
                <w:color w:val="auto"/>
                <w:spacing w:val="-7"/>
                <w:kern w:val="0"/>
                <w:szCs w:val="24"/>
                <w:highlight w:val="none"/>
                <w:lang w:bidi="ar"/>
              </w:rPr>
              <w:t>扣</w:t>
            </w:r>
            <w:r>
              <w:rPr>
                <w:rFonts w:hint="eastAsia" w:ascii="仿宋" w:hAnsi="仿宋" w:eastAsia="仿宋" w:cs="仿宋"/>
                <w:color w:val="auto"/>
                <w:spacing w:val="-40"/>
                <w:kern w:val="0"/>
                <w:szCs w:val="24"/>
                <w:highlight w:val="none"/>
                <w:lang w:bidi="ar"/>
              </w:rPr>
              <w:t xml:space="preserve"> </w:t>
            </w:r>
            <w:r>
              <w:rPr>
                <w:rFonts w:hint="eastAsia" w:ascii="仿宋" w:hAnsi="仿宋" w:eastAsia="仿宋" w:cs="仿宋"/>
                <w:color w:val="auto"/>
                <w:spacing w:val="-7"/>
                <w:kern w:val="0"/>
                <w:szCs w:val="24"/>
                <w:highlight w:val="none"/>
                <w:lang w:bidi="ar"/>
              </w:rPr>
              <w:t>2-3</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7"/>
                <w:kern w:val="0"/>
                <w:szCs w:val="2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393D3854">
            <w:pPr>
              <w:spacing w:line="316" w:lineRule="auto"/>
              <w:rPr>
                <w:rFonts w:ascii="Arial" w:hAnsi="Calibri"/>
                <w:color w:val="auto"/>
                <w:szCs w:val="21"/>
                <w:highlight w:val="none"/>
              </w:rPr>
            </w:pPr>
          </w:p>
          <w:p w14:paraId="051FBD71">
            <w:pPr>
              <w:spacing w:line="319" w:lineRule="auto"/>
              <w:rPr>
                <w:rFonts w:ascii="Arial" w:hAnsi="Calibri"/>
                <w:color w:val="auto"/>
                <w:szCs w:val="21"/>
                <w:highlight w:val="none"/>
              </w:rPr>
            </w:pPr>
          </w:p>
          <w:p w14:paraId="5E017F9B">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14CEA617">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6CC15B93">
            <w:pPr>
              <w:rPr>
                <w:rFonts w:ascii="Arial" w:hAnsi="Calibri"/>
                <w:color w:val="auto"/>
                <w:szCs w:val="21"/>
                <w:highlight w:val="none"/>
              </w:rPr>
            </w:pPr>
          </w:p>
        </w:tc>
      </w:tr>
      <w:tr w14:paraId="736480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779" w:type="dxa"/>
            <w:vMerge w:val="restart"/>
            <w:tcBorders>
              <w:top w:val="nil"/>
              <w:left w:val="single" w:color="000000" w:sz="2" w:space="0"/>
              <w:bottom w:val="nil"/>
              <w:right w:val="single" w:color="000000" w:sz="2" w:space="0"/>
            </w:tcBorders>
            <w:shd w:val="clear" w:color="auto" w:fill="auto"/>
          </w:tcPr>
          <w:p w14:paraId="0273EEEA">
            <w:pPr>
              <w:spacing w:line="244" w:lineRule="auto"/>
              <w:rPr>
                <w:rFonts w:ascii="Arial" w:hAnsi="Calibri"/>
                <w:color w:val="auto"/>
                <w:szCs w:val="21"/>
                <w:highlight w:val="none"/>
              </w:rPr>
            </w:pPr>
          </w:p>
          <w:p w14:paraId="1F53D5A0">
            <w:pPr>
              <w:spacing w:line="244" w:lineRule="auto"/>
              <w:rPr>
                <w:rFonts w:ascii="Arial" w:hAnsi="Calibri"/>
                <w:color w:val="auto"/>
                <w:szCs w:val="21"/>
                <w:highlight w:val="none"/>
              </w:rPr>
            </w:pPr>
          </w:p>
          <w:p w14:paraId="298D5B91">
            <w:pPr>
              <w:spacing w:line="244" w:lineRule="auto"/>
              <w:rPr>
                <w:rFonts w:ascii="Arial" w:hAnsi="Calibri"/>
                <w:color w:val="auto"/>
                <w:szCs w:val="21"/>
                <w:highlight w:val="none"/>
              </w:rPr>
            </w:pPr>
          </w:p>
          <w:p w14:paraId="71914A64">
            <w:pPr>
              <w:pStyle w:val="18"/>
              <w:spacing w:before="78"/>
              <w:ind w:left="158" w:right="147" w:firstLine="9"/>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5.综</w:t>
            </w:r>
            <w:r>
              <w:rPr>
                <w:rFonts w:hint="eastAsia" w:ascii="仿宋" w:hAnsi="仿宋" w:eastAsia="仿宋" w:cs="仿宋"/>
                <w:color w:val="auto"/>
                <w:spacing w:val="-7"/>
                <w:kern w:val="0"/>
                <w:szCs w:val="24"/>
                <w:highlight w:val="none"/>
                <w:lang w:bidi="ar"/>
              </w:rPr>
              <w:t>合管理与文化</w:t>
            </w:r>
            <w:r>
              <w:rPr>
                <w:rFonts w:hint="eastAsia" w:ascii="仿宋" w:hAnsi="仿宋" w:eastAsia="仿宋" w:cs="仿宋"/>
                <w:color w:val="auto"/>
                <w:spacing w:val="15"/>
                <w:kern w:val="0"/>
                <w:szCs w:val="24"/>
                <w:highlight w:val="none"/>
                <w:lang w:bidi="ar"/>
              </w:rPr>
              <w:t>(15</w:t>
            </w:r>
            <w:r>
              <w:rPr>
                <w:rFonts w:hint="eastAsia" w:ascii="仿宋" w:hAnsi="仿宋" w:eastAsia="仿宋" w:cs="仿宋"/>
                <w:color w:val="auto"/>
                <w:spacing w:val="23"/>
                <w:kern w:val="0"/>
                <w:szCs w:val="24"/>
                <w:highlight w:val="none"/>
                <w:lang w:bidi="ar"/>
              </w:rPr>
              <w:t>分)</w:t>
            </w: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2D2CE0F7">
            <w:pPr>
              <w:pStyle w:val="18"/>
              <w:spacing w:before="99"/>
              <w:ind w:left="166" w:right="155" w:firstLine="38"/>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5.1</w:t>
            </w:r>
            <w:r>
              <w:rPr>
                <w:rFonts w:hint="eastAsia" w:ascii="仿宋" w:hAnsi="仿宋" w:eastAsia="仿宋" w:cs="仿宋"/>
                <w:color w:val="auto"/>
                <w:spacing w:val="-50"/>
                <w:kern w:val="0"/>
                <w:szCs w:val="24"/>
                <w:highlight w:val="none"/>
                <w:lang w:bidi="ar"/>
              </w:rPr>
              <w:t xml:space="preserve"> </w:t>
            </w:r>
            <w:r>
              <w:rPr>
                <w:rFonts w:hint="eastAsia" w:ascii="仿宋" w:hAnsi="仿宋" w:eastAsia="仿宋" w:cs="仿宋"/>
                <w:color w:val="auto"/>
                <w:spacing w:val="-8"/>
                <w:kern w:val="0"/>
                <w:szCs w:val="24"/>
                <w:highlight w:val="none"/>
                <w:lang w:bidi="ar"/>
              </w:rPr>
              <w:t>管</w:t>
            </w:r>
            <w:r>
              <w:rPr>
                <w:rFonts w:hint="eastAsia" w:ascii="仿宋" w:hAnsi="仿宋" w:eastAsia="仿宋" w:cs="仿宋"/>
                <w:color w:val="auto"/>
                <w:spacing w:val="-5"/>
                <w:kern w:val="0"/>
                <w:szCs w:val="24"/>
                <w:highlight w:val="none"/>
                <w:lang w:bidi="ar"/>
              </w:rPr>
              <w:t>理机构</w:t>
            </w:r>
          </w:p>
          <w:p w14:paraId="7BF3DF2D">
            <w:pPr>
              <w:pStyle w:val="18"/>
              <w:spacing w:before="1"/>
              <w:ind w:left="176"/>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与责任</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5AF661EA">
            <w:pPr>
              <w:pStyle w:val="18"/>
              <w:spacing w:before="99"/>
              <w:ind w:left="134" w:right="49" w:hanging="4"/>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安全管理机构健全，人员配备满足作</w:t>
            </w:r>
            <w:r>
              <w:rPr>
                <w:rFonts w:hint="eastAsia" w:ascii="仿宋" w:hAnsi="仿宋" w:eastAsia="仿宋" w:cs="仿宋"/>
                <w:color w:val="auto"/>
                <w:spacing w:val="-2"/>
                <w:kern w:val="0"/>
                <w:szCs w:val="24"/>
                <w:highlight w:val="none"/>
                <w:lang w:bidi="ar"/>
              </w:rPr>
              <w:t>业需求，安全生产责任制层层落实至</w:t>
            </w:r>
            <w:r>
              <w:rPr>
                <w:rFonts w:hint="eastAsia" w:ascii="仿宋" w:hAnsi="仿宋" w:eastAsia="仿宋" w:cs="仿宋"/>
                <w:color w:val="auto"/>
                <w:spacing w:val="-9"/>
                <w:kern w:val="0"/>
                <w:szCs w:val="24"/>
                <w:highlight w:val="none"/>
                <w:lang w:bidi="ar"/>
              </w:rPr>
              <w:t>岗位。一项不符合扣</w:t>
            </w:r>
            <w:r>
              <w:rPr>
                <w:rFonts w:hint="eastAsia" w:ascii="仿宋" w:hAnsi="仿宋" w:eastAsia="仿宋" w:cs="仿宋"/>
                <w:color w:val="auto"/>
                <w:spacing w:val="-27"/>
                <w:kern w:val="0"/>
                <w:szCs w:val="24"/>
                <w:highlight w:val="none"/>
                <w:lang w:bidi="ar"/>
              </w:rPr>
              <w:t xml:space="preserve"> </w:t>
            </w:r>
            <w:r>
              <w:rPr>
                <w:rFonts w:hint="eastAsia" w:ascii="仿宋" w:hAnsi="仿宋" w:eastAsia="仿宋" w:cs="仿宋"/>
                <w:color w:val="auto"/>
                <w:spacing w:val="-9"/>
                <w:kern w:val="0"/>
                <w:szCs w:val="24"/>
                <w:highlight w:val="none"/>
                <w:lang w:bidi="ar"/>
              </w:rPr>
              <w:t>2</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9"/>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6D11C0BA">
            <w:pPr>
              <w:spacing w:line="328" w:lineRule="auto"/>
              <w:rPr>
                <w:rFonts w:ascii="Arial" w:hAnsi="Calibri"/>
                <w:color w:val="auto"/>
                <w:szCs w:val="21"/>
                <w:highlight w:val="none"/>
              </w:rPr>
            </w:pPr>
          </w:p>
          <w:p w14:paraId="335217AB">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293C772D">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51862E79">
            <w:pPr>
              <w:rPr>
                <w:rFonts w:ascii="Arial" w:hAnsi="Calibri"/>
                <w:color w:val="auto"/>
                <w:szCs w:val="21"/>
                <w:highlight w:val="none"/>
              </w:rPr>
            </w:pPr>
          </w:p>
        </w:tc>
      </w:tr>
      <w:tr w14:paraId="229F87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779" w:type="dxa"/>
            <w:vMerge w:val="continue"/>
            <w:tcBorders>
              <w:top w:val="nil"/>
              <w:left w:val="single" w:color="000000" w:sz="2" w:space="0"/>
              <w:bottom w:val="nil"/>
              <w:right w:val="single" w:color="000000" w:sz="2" w:space="0"/>
            </w:tcBorders>
            <w:shd w:val="clear" w:color="auto" w:fill="auto"/>
          </w:tcPr>
          <w:p w14:paraId="3FABAC44">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173B3065">
            <w:pPr>
              <w:pStyle w:val="18"/>
              <w:spacing w:before="100"/>
              <w:ind w:left="162" w:right="155" w:firstLine="41"/>
              <w:rPr>
                <w:rFonts w:ascii="仿宋" w:hAnsi="仿宋" w:eastAsia="仿宋" w:cs="仿宋"/>
                <w:color w:val="auto"/>
                <w:szCs w:val="24"/>
                <w:highlight w:val="none"/>
              </w:rPr>
            </w:pPr>
            <w:r>
              <w:rPr>
                <w:rFonts w:hint="eastAsia" w:ascii="仿宋" w:hAnsi="仿宋" w:eastAsia="仿宋" w:cs="仿宋"/>
                <w:color w:val="auto"/>
                <w:spacing w:val="-10"/>
                <w:kern w:val="0"/>
                <w:szCs w:val="24"/>
                <w:highlight w:val="none"/>
                <w:lang w:bidi="ar"/>
              </w:rPr>
              <w:t>5.2</w:t>
            </w:r>
            <w:r>
              <w:rPr>
                <w:rFonts w:hint="eastAsia" w:ascii="仿宋" w:hAnsi="仿宋" w:eastAsia="仿宋" w:cs="仿宋"/>
                <w:color w:val="auto"/>
                <w:spacing w:val="-43"/>
                <w:kern w:val="0"/>
                <w:szCs w:val="24"/>
                <w:highlight w:val="none"/>
                <w:lang w:bidi="ar"/>
              </w:rPr>
              <w:t xml:space="preserve"> </w:t>
            </w:r>
            <w:r>
              <w:rPr>
                <w:rFonts w:hint="eastAsia" w:ascii="仿宋" w:hAnsi="仿宋" w:eastAsia="仿宋" w:cs="仿宋"/>
                <w:color w:val="auto"/>
                <w:spacing w:val="-10"/>
                <w:kern w:val="0"/>
                <w:szCs w:val="24"/>
                <w:highlight w:val="none"/>
                <w:lang w:bidi="ar"/>
              </w:rPr>
              <w:t>制</w:t>
            </w:r>
            <w:r>
              <w:rPr>
                <w:rFonts w:hint="eastAsia" w:ascii="仿宋" w:hAnsi="仿宋" w:eastAsia="仿宋" w:cs="仿宋"/>
                <w:color w:val="auto"/>
                <w:spacing w:val="-3"/>
                <w:kern w:val="0"/>
                <w:szCs w:val="24"/>
                <w:highlight w:val="none"/>
                <w:lang w:bidi="ar"/>
              </w:rPr>
              <w:t>度与文</w:t>
            </w:r>
          </w:p>
          <w:p w14:paraId="218A0BB8">
            <w:pPr>
              <w:pStyle w:val="18"/>
              <w:spacing w:before="1"/>
              <w:ind w:left="408" w:right="155" w:hanging="236"/>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化匹配</w:t>
            </w:r>
            <w:r>
              <w:rPr>
                <w:rFonts w:hint="eastAsia" w:ascii="仿宋" w:hAnsi="仿宋" w:eastAsia="仿宋" w:cs="仿宋"/>
                <w:color w:val="auto"/>
                <w:kern w:val="0"/>
                <w:szCs w:val="24"/>
                <w:highlight w:val="none"/>
                <w:lang w:bidi="ar"/>
              </w:rPr>
              <w:t>性</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0641A03C">
            <w:pPr>
              <w:pStyle w:val="18"/>
              <w:spacing w:before="99"/>
              <w:ind w:left="132" w:right="49" w:hanging="2"/>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安全管理制度、操作规程与业务实际</w:t>
            </w:r>
            <w:r>
              <w:rPr>
                <w:rFonts w:hint="eastAsia" w:ascii="仿宋" w:hAnsi="仿宋" w:eastAsia="仿宋" w:cs="仿宋"/>
                <w:color w:val="auto"/>
                <w:spacing w:val="-2"/>
                <w:kern w:val="0"/>
                <w:szCs w:val="24"/>
                <w:highlight w:val="none"/>
                <w:lang w:bidi="ar"/>
              </w:rPr>
              <w:t>匹配，积极参与发包方组织的安全文</w:t>
            </w:r>
            <w:r>
              <w:rPr>
                <w:rFonts w:hint="eastAsia" w:ascii="仿宋" w:hAnsi="仿宋" w:eastAsia="仿宋" w:cs="仿宋"/>
                <w:color w:val="auto"/>
                <w:spacing w:val="-7"/>
                <w:kern w:val="0"/>
                <w:szCs w:val="24"/>
                <w:highlight w:val="none"/>
                <w:lang w:bidi="ar"/>
              </w:rPr>
              <w:t>化活动（如安全培训、应急演练等）。</w:t>
            </w:r>
            <w:r>
              <w:rPr>
                <w:rFonts w:hint="eastAsia" w:ascii="仿宋" w:hAnsi="仿宋" w:eastAsia="仿宋" w:cs="仿宋"/>
                <w:color w:val="auto"/>
                <w:spacing w:val="-4"/>
                <w:kern w:val="0"/>
                <w:szCs w:val="24"/>
                <w:highlight w:val="none"/>
                <w:lang w:bidi="ar"/>
              </w:rPr>
              <w:t>一项不符合扣</w:t>
            </w:r>
            <w:r>
              <w:rPr>
                <w:rFonts w:hint="eastAsia" w:ascii="仿宋" w:hAnsi="仿宋" w:eastAsia="仿宋" w:cs="仿宋"/>
                <w:color w:val="auto"/>
                <w:spacing w:val="-35"/>
                <w:kern w:val="0"/>
                <w:szCs w:val="24"/>
                <w:highlight w:val="none"/>
                <w:lang w:bidi="ar"/>
              </w:rPr>
              <w:t xml:space="preserve"> </w:t>
            </w:r>
            <w:r>
              <w:rPr>
                <w:rFonts w:hint="eastAsia" w:ascii="仿宋" w:hAnsi="仿宋" w:eastAsia="仿宋" w:cs="仿宋"/>
                <w:color w:val="auto"/>
                <w:spacing w:val="-4"/>
                <w:kern w:val="0"/>
                <w:szCs w:val="24"/>
                <w:highlight w:val="none"/>
                <w:lang w:bidi="ar"/>
              </w:rPr>
              <w:t>2</w:t>
            </w:r>
            <w:r>
              <w:rPr>
                <w:rFonts w:hint="eastAsia" w:ascii="仿宋" w:hAnsi="仿宋" w:eastAsia="仿宋" w:cs="仿宋"/>
                <w:color w:val="auto"/>
                <w:spacing w:val="-48"/>
                <w:kern w:val="0"/>
                <w:szCs w:val="24"/>
                <w:highlight w:val="none"/>
                <w:lang w:bidi="ar"/>
              </w:rPr>
              <w:t xml:space="preserve"> </w:t>
            </w:r>
            <w:r>
              <w:rPr>
                <w:rFonts w:hint="eastAsia" w:ascii="仿宋" w:hAnsi="仿宋" w:eastAsia="仿宋" w:cs="仿宋"/>
                <w:color w:val="auto"/>
                <w:spacing w:val="-4"/>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20E409A8">
            <w:pPr>
              <w:spacing w:line="242" w:lineRule="auto"/>
              <w:rPr>
                <w:rFonts w:ascii="Arial" w:hAnsi="Calibri"/>
                <w:color w:val="auto"/>
                <w:szCs w:val="21"/>
                <w:highlight w:val="none"/>
              </w:rPr>
            </w:pPr>
          </w:p>
          <w:p w14:paraId="26BC4609">
            <w:pPr>
              <w:spacing w:line="242" w:lineRule="auto"/>
              <w:rPr>
                <w:rFonts w:ascii="Arial" w:hAnsi="Calibri"/>
                <w:color w:val="auto"/>
                <w:szCs w:val="21"/>
                <w:highlight w:val="none"/>
              </w:rPr>
            </w:pPr>
          </w:p>
          <w:p w14:paraId="79008BB4">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5B6C4329">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5B2AF878">
            <w:pPr>
              <w:rPr>
                <w:rFonts w:ascii="Arial" w:hAnsi="Calibri"/>
                <w:color w:val="auto"/>
                <w:szCs w:val="21"/>
                <w:highlight w:val="none"/>
              </w:rPr>
            </w:pPr>
          </w:p>
        </w:tc>
      </w:tr>
      <w:tr w14:paraId="015555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779" w:type="dxa"/>
            <w:vMerge w:val="continue"/>
            <w:tcBorders>
              <w:top w:val="nil"/>
              <w:left w:val="single" w:color="000000" w:sz="2" w:space="0"/>
              <w:bottom w:val="nil"/>
              <w:right w:val="single" w:color="000000" w:sz="2" w:space="0"/>
            </w:tcBorders>
            <w:shd w:val="clear" w:color="auto" w:fill="auto"/>
          </w:tcPr>
          <w:p w14:paraId="5EA904B2">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5D8E0EFC">
            <w:pPr>
              <w:pStyle w:val="18"/>
              <w:spacing w:before="100"/>
              <w:ind w:left="182" w:right="155" w:firstLine="22"/>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5.3</w:t>
            </w:r>
            <w:r>
              <w:rPr>
                <w:rFonts w:hint="eastAsia" w:ascii="仿宋" w:hAnsi="仿宋" w:eastAsia="仿宋" w:cs="仿宋"/>
                <w:color w:val="auto"/>
                <w:spacing w:val="-51"/>
                <w:kern w:val="0"/>
                <w:szCs w:val="24"/>
                <w:highlight w:val="none"/>
                <w:lang w:bidi="ar"/>
              </w:rPr>
              <w:t xml:space="preserve"> </w:t>
            </w:r>
            <w:r>
              <w:rPr>
                <w:rFonts w:hint="eastAsia" w:ascii="仿宋" w:hAnsi="仿宋" w:eastAsia="仿宋" w:cs="仿宋"/>
                <w:color w:val="auto"/>
                <w:spacing w:val="-8"/>
                <w:kern w:val="0"/>
                <w:szCs w:val="24"/>
                <w:highlight w:val="none"/>
                <w:lang w:bidi="ar"/>
              </w:rPr>
              <w:t>保</w:t>
            </w:r>
            <w:r>
              <w:rPr>
                <w:rFonts w:hint="eastAsia" w:ascii="仿宋" w:hAnsi="仿宋" w:eastAsia="仿宋" w:cs="仿宋"/>
                <w:color w:val="auto"/>
                <w:spacing w:val="-10"/>
                <w:kern w:val="0"/>
                <w:szCs w:val="24"/>
                <w:highlight w:val="none"/>
                <w:lang w:bidi="ar"/>
              </w:rPr>
              <w:t>险与劳</w:t>
            </w:r>
          </w:p>
          <w:p w14:paraId="0D61DE53">
            <w:pPr>
              <w:pStyle w:val="18"/>
              <w:ind w:left="176"/>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动关系</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207CE015">
            <w:pPr>
              <w:pStyle w:val="18"/>
              <w:spacing w:before="99"/>
              <w:ind w:left="120" w:right="202"/>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依法为从业人员购买工伤保险等法定保险，劳动关系合法清晰，无劳务纠</w:t>
            </w:r>
            <w:r>
              <w:rPr>
                <w:rFonts w:hint="eastAsia" w:ascii="仿宋" w:hAnsi="仿宋" w:eastAsia="仿宋" w:cs="仿宋"/>
                <w:color w:val="auto"/>
                <w:spacing w:val="-3"/>
                <w:kern w:val="0"/>
                <w:szCs w:val="24"/>
                <w:highlight w:val="none"/>
                <w:lang w:bidi="ar"/>
              </w:rPr>
              <w:t>纷。一项不符合扣</w:t>
            </w:r>
            <w:r>
              <w:rPr>
                <w:rFonts w:hint="eastAsia" w:ascii="仿宋" w:hAnsi="仿宋" w:eastAsia="仿宋" w:cs="仿宋"/>
                <w:color w:val="auto"/>
                <w:spacing w:val="-31"/>
                <w:kern w:val="0"/>
                <w:szCs w:val="24"/>
                <w:highlight w:val="none"/>
                <w:lang w:bidi="ar"/>
              </w:rPr>
              <w:t xml:space="preserve"> </w:t>
            </w:r>
            <w:r>
              <w:rPr>
                <w:rFonts w:hint="eastAsia" w:ascii="仿宋" w:hAnsi="仿宋" w:eastAsia="仿宋" w:cs="仿宋"/>
                <w:color w:val="auto"/>
                <w:spacing w:val="-3"/>
                <w:kern w:val="0"/>
                <w:szCs w:val="24"/>
                <w:highlight w:val="none"/>
                <w:lang w:bidi="ar"/>
              </w:rPr>
              <w:t>2</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3"/>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3BF8B0C0">
            <w:pPr>
              <w:spacing w:line="331" w:lineRule="auto"/>
              <w:rPr>
                <w:rFonts w:ascii="Arial" w:hAnsi="Calibri"/>
                <w:color w:val="auto"/>
                <w:szCs w:val="21"/>
                <w:highlight w:val="none"/>
              </w:rPr>
            </w:pPr>
          </w:p>
          <w:p w14:paraId="289968B0">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5086BBD6">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0638F4F4">
            <w:pPr>
              <w:rPr>
                <w:rFonts w:ascii="Arial" w:hAnsi="Calibri"/>
                <w:color w:val="auto"/>
                <w:szCs w:val="21"/>
                <w:highlight w:val="none"/>
              </w:rPr>
            </w:pPr>
          </w:p>
        </w:tc>
      </w:tr>
      <w:tr w14:paraId="3D68D0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779" w:type="dxa"/>
            <w:tcBorders>
              <w:top w:val="single" w:color="000000" w:sz="2" w:space="0"/>
              <w:left w:val="single" w:color="000000" w:sz="2" w:space="0"/>
              <w:bottom w:val="single" w:color="000000" w:sz="2" w:space="0"/>
              <w:right w:val="single" w:color="000000" w:sz="2" w:space="0"/>
            </w:tcBorders>
            <w:shd w:val="clear" w:color="auto" w:fill="auto"/>
          </w:tcPr>
          <w:p w14:paraId="60ADFB16">
            <w:pPr>
              <w:pStyle w:val="18"/>
              <w:spacing w:before="101"/>
              <w:ind w:left="166"/>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6.加</w:t>
            </w: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421F84A9">
            <w:pPr>
              <w:pStyle w:val="18"/>
              <w:spacing w:before="101"/>
              <w:ind w:left="203"/>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6.1</w:t>
            </w:r>
            <w:r>
              <w:rPr>
                <w:rFonts w:hint="eastAsia" w:ascii="仿宋" w:hAnsi="仿宋" w:eastAsia="仿宋" w:cs="仿宋"/>
                <w:color w:val="auto"/>
                <w:spacing w:val="-41"/>
                <w:kern w:val="0"/>
                <w:szCs w:val="24"/>
                <w:highlight w:val="none"/>
                <w:lang w:bidi="ar"/>
              </w:rPr>
              <w:t xml:space="preserve"> </w:t>
            </w:r>
            <w:r>
              <w:rPr>
                <w:rFonts w:hint="eastAsia" w:ascii="仿宋" w:hAnsi="仿宋" w:eastAsia="仿宋" w:cs="仿宋"/>
                <w:color w:val="auto"/>
                <w:spacing w:val="-6"/>
                <w:kern w:val="0"/>
                <w:szCs w:val="24"/>
                <w:highlight w:val="none"/>
                <w:lang w:bidi="ar"/>
              </w:rPr>
              <w:t>事</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3098A5AB">
            <w:pPr>
              <w:pStyle w:val="18"/>
              <w:spacing w:before="101"/>
              <w:ind w:left="124"/>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发生事故后积极配合调查、有效落实</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6F44E1E8">
            <w:pPr>
              <w:pStyle w:val="18"/>
              <w:spacing w:before="100"/>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2E4CA3D8">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3CC27378">
            <w:pPr>
              <w:rPr>
                <w:rFonts w:ascii="Arial" w:hAnsi="Calibri"/>
                <w:color w:val="auto"/>
                <w:szCs w:val="21"/>
                <w:highlight w:val="none"/>
              </w:rPr>
            </w:pPr>
          </w:p>
        </w:tc>
      </w:tr>
    </w:tbl>
    <w:p w14:paraId="6465E388">
      <w:pPr>
        <w:rPr>
          <w:rFonts w:ascii="Arial" w:hAnsi="Calibri"/>
          <w:color w:val="auto"/>
          <w:szCs w:val="21"/>
          <w:highlight w:val="none"/>
        </w:rPr>
      </w:pPr>
      <w:r>
        <w:rPr>
          <w:rFonts w:ascii="Arial" w:hAnsi="Calibri"/>
          <w:color w:val="auto"/>
          <w:kern w:val="0"/>
          <w:szCs w:val="21"/>
          <w:highlight w:val="none"/>
          <w:lang w:bidi="ar"/>
        </w:rPr>
        <w:t xml:space="preserve"> </w:t>
      </w:r>
    </w:p>
    <w:p w14:paraId="53CF648E">
      <w:pPr>
        <w:rPr>
          <w:rFonts w:ascii="Arial" w:hAnsi="Arial" w:cs="Arial"/>
          <w:color w:val="auto"/>
          <w:szCs w:val="21"/>
          <w:highlight w:val="none"/>
        </w:rPr>
        <w:sectPr>
          <w:pgSz w:w="11906" w:h="16839"/>
          <w:pgMar w:top="400" w:right="1065" w:bottom="1223" w:left="1677" w:header="1" w:footer="1061" w:gutter="0"/>
          <w:cols w:space="720" w:num="1"/>
          <w:formProt w:val="0"/>
          <w:docGrid w:type="linesAndChars" w:linePitch="312" w:charSpace="0"/>
        </w:sectPr>
      </w:pPr>
    </w:p>
    <w:p w14:paraId="2A7EBD5A">
      <w:pPr>
        <w:spacing w:before="19"/>
        <w:rPr>
          <w:rFonts w:ascii="Calibri" w:hAnsi="Calibri"/>
          <w:color w:val="auto"/>
          <w:szCs w:val="21"/>
          <w:highlight w:val="none"/>
        </w:rPr>
      </w:pPr>
      <w:r>
        <w:rPr>
          <w:rFonts w:ascii="Calibri" w:hAnsi="Calibri"/>
          <w:color w:val="auto"/>
          <w:kern w:val="0"/>
          <w:szCs w:val="21"/>
          <w:highlight w:val="none"/>
          <w:lang w:bidi="ar"/>
        </w:rPr>
        <w:t xml:space="preserve"> </w:t>
      </w:r>
    </w:p>
    <w:p w14:paraId="11639514">
      <w:pPr>
        <w:spacing w:before="19"/>
        <w:rPr>
          <w:rFonts w:ascii="Calibri" w:hAnsi="Calibri"/>
          <w:color w:val="auto"/>
          <w:szCs w:val="21"/>
          <w:highlight w:val="none"/>
        </w:rPr>
      </w:pPr>
      <w:r>
        <w:rPr>
          <w:rFonts w:ascii="Calibri" w:hAnsi="Calibri"/>
          <w:color w:val="auto"/>
          <w:kern w:val="0"/>
          <w:szCs w:val="21"/>
          <w:highlight w:val="none"/>
          <w:lang w:bidi="ar"/>
        </w:rPr>
        <w:t xml:space="preserve"> </w:t>
      </w:r>
    </w:p>
    <w:p w14:paraId="27ABE204">
      <w:pPr>
        <w:spacing w:before="18"/>
        <w:rPr>
          <w:rFonts w:ascii="Calibri" w:hAnsi="Calibri"/>
          <w:color w:val="auto"/>
          <w:szCs w:val="21"/>
          <w:highlight w:val="none"/>
        </w:rPr>
      </w:pPr>
      <w:r>
        <w:rPr>
          <w:rFonts w:ascii="Calibri" w:hAnsi="Calibri"/>
          <w:color w:val="auto"/>
          <w:kern w:val="0"/>
          <w:szCs w:val="21"/>
          <w:highlight w:val="none"/>
          <w:lang w:bidi="ar"/>
        </w:rPr>
        <w:t xml:space="preserve"> </w:t>
      </w:r>
    </w:p>
    <w:p w14:paraId="5FD81EAC">
      <w:pPr>
        <w:spacing w:before="18"/>
        <w:rPr>
          <w:rFonts w:ascii="Calibri" w:hAnsi="Calibri"/>
          <w:color w:val="auto"/>
          <w:szCs w:val="21"/>
          <w:highlight w:val="none"/>
        </w:rPr>
      </w:pPr>
      <w:r>
        <w:rPr>
          <w:rFonts w:ascii="Calibri" w:hAnsi="Calibri"/>
          <w:color w:val="auto"/>
          <w:kern w:val="0"/>
          <w:szCs w:val="21"/>
          <w:highlight w:val="none"/>
          <w:lang w:bidi="ar"/>
        </w:rPr>
        <w:t xml:space="preserve"> </w:t>
      </w:r>
    </w:p>
    <w:tbl>
      <w:tblPr>
        <w:tblStyle w:val="68"/>
        <w:tblW w:w="9157" w:type="dxa"/>
        <w:tblInd w:w="1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9"/>
        <w:gridCol w:w="1035"/>
        <w:gridCol w:w="4163"/>
        <w:gridCol w:w="671"/>
        <w:gridCol w:w="491"/>
        <w:gridCol w:w="2018"/>
      </w:tblGrid>
      <w:tr w14:paraId="4119B9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6" w:hRule="atLeast"/>
        </w:trPr>
        <w:tc>
          <w:tcPr>
            <w:tcW w:w="779" w:type="dxa"/>
            <w:vMerge w:val="restart"/>
            <w:tcBorders>
              <w:top w:val="single" w:color="000000" w:sz="2" w:space="0"/>
              <w:left w:val="single" w:color="000000" w:sz="2" w:space="0"/>
              <w:bottom w:val="nil"/>
              <w:right w:val="single" w:color="000000" w:sz="2" w:space="0"/>
            </w:tcBorders>
            <w:shd w:val="clear" w:color="auto" w:fill="auto"/>
          </w:tcPr>
          <w:p w14:paraId="0ADA63FB">
            <w:pPr>
              <w:pStyle w:val="18"/>
              <w:spacing w:before="99"/>
              <w:ind w:left="217" w:right="147" w:hanging="60"/>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分项</w:t>
            </w:r>
            <w:r>
              <w:rPr>
                <w:rFonts w:hint="eastAsia" w:ascii="仿宋" w:hAnsi="仿宋" w:eastAsia="仿宋" w:cs="仿宋"/>
                <w:color w:val="auto"/>
                <w:spacing w:val="-4"/>
                <w:kern w:val="0"/>
                <w:szCs w:val="24"/>
                <w:highlight w:val="none"/>
                <w:lang w:bidi="ar"/>
              </w:rPr>
              <w:t>(10</w:t>
            </w:r>
            <w:r>
              <w:rPr>
                <w:rFonts w:hint="eastAsia" w:ascii="仿宋" w:hAnsi="仿宋" w:eastAsia="仿宋" w:cs="仿宋"/>
                <w:color w:val="auto"/>
                <w:spacing w:val="-6"/>
                <w:kern w:val="0"/>
                <w:szCs w:val="24"/>
                <w:highlight w:val="none"/>
                <w:lang w:bidi="ar"/>
              </w:rPr>
              <w:t>分)</w:t>
            </w: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75527B1D">
            <w:pPr>
              <w:pStyle w:val="18"/>
              <w:spacing w:before="97"/>
              <w:ind w:left="293" w:right="155" w:hanging="122"/>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故处理</w:t>
            </w:r>
            <w:r>
              <w:rPr>
                <w:rFonts w:hint="eastAsia" w:ascii="仿宋" w:hAnsi="仿宋" w:eastAsia="仿宋" w:cs="仿宋"/>
                <w:color w:val="auto"/>
                <w:spacing w:val="-10"/>
                <w:kern w:val="0"/>
                <w:szCs w:val="24"/>
                <w:highlight w:val="none"/>
                <w:lang w:bidi="ar"/>
              </w:rPr>
              <w:t>配合</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2D44E4E3">
            <w:pPr>
              <w:pStyle w:val="18"/>
              <w:spacing w:before="97"/>
              <w:ind w:left="127" w:right="202"/>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整改措施并形成案例共享。根据配合</w:t>
            </w:r>
            <w:r>
              <w:rPr>
                <w:rFonts w:hint="eastAsia" w:ascii="仿宋" w:hAnsi="仿宋" w:eastAsia="仿宋" w:cs="仿宋"/>
                <w:color w:val="auto"/>
                <w:spacing w:val="1"/>
                <w:kern w:val="0"/>
                <w:szCs w:val="24"/>
                <w:highlight w:val="none"/>
                <w:lang w:bidi="ar"/>
              </w:rPr>
              <w:t>程度与整改效果加</w:t>
            </w:r>
            <w:r>
              <w:rPr>
                <w:rFonts w:hint="eastAsia" w:ascii="仿宋" w:hAnsi="仿宋" w:eastAsia="仿宋" w:cs="仿宋"/>
                <w:color w:val="auto"/>
                <w:spacing w:val="-27"/>
                <w:kern w:val="0"/>
                <w:szCs w:val="24"/>
                <w:highlight w:val="none"/>
                <w:lang w:bidi="ar"/>
              </w:rPr>
              <w:t xml:space="preserve"> </w:t>
            </w:r>
            <w:r>
              <w:rPr>
                <w:rFonts w:hint="eastAsia" w:ascii="仿宋" w:hAnsi="仿宋" w:eastAsia="仿宋" w:cs="仿宋"/>
                <w:color w:val="auto"/>
                <w:spacing w:val="1"/>
                <w:kern w:val="0"/>
                <w:szCs w:val="24"/>
                <w:highlight w:val="none"/>
                <w:lang w:bidi="ar"/>
              </w:rPr>
              <w:t>3-5分。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10FC9F95">
            <w:pPr>
              <w:rPr>
                <w:rFonts w:ascii="Arial" w:hAnsi="Calibri"/>
                <w:color w:val="auto"/>
                <w:szCs w:val="21"/>
                <w:highlight w:val="none"/>
              </w:rPr>
            </w:pP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4359F2D3">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643EE0AC">
            <w:pPr>
              <w:rPr>
                <w:rFonts w:ascii="Arial" w:hAnsi="Calibri"/>
                <w:color w:val="auto"/>
                <w:szCs w:val="21"/>
                <w:highlight w:val="none"/>
              </w:rPr>
            </w:pPr>
          </w:p>
        </w:tc>
      </w:tr>
      <w:tr w14:paraId="79CA08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5" w:hRule="atLeast"/>
        </w:trPr>
        <w:tc>
          <w:tcPr>
            <w:tcW w:w="779" w:type="dxa"/>
            <w:vMerge w:val="continue"/>
            <w:tcBorders>
              <w:top w:val="single" w:color="000000" w:sz="2" w:space="0"/>
              <w:left w:val="single" w:color="000000" w:sz="2" w:space="0"/>
              <w:bottom w:val="nil"/>
              <w:right w:val="single" w:color="000000" w:sz="2" w:space="0"/>
            </w:tcBorders>
            <w:shd w:val="clear" w:color="auto" w:fill="auto"/>
          </w:tcPr>
          <w:p w14:paraId="7F037D46">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6121526F">
            <w:pPr>
              <w:pStyle w:val="18"/>
              <w:spacing w:before="251"/>
              <w:ind w:left="162" w:right="155" w:firstLine="41"/>
              <w:rPr>
                <w:rFonts w:ascii="仿宋" w:hAnsi="仿宋" w:eastAsia="仿宋" w:cs="仿宋"/>
                <w:color w:val="auto"/>
                <w:szCs w:val="24"/>
                <w:highlight w:val="none"/>
              </w:rPr>
            </w:pPr>
            <w:r>
              <w:rPr>
                <w:rFonts w:hint="eastAsia" w:ascii="仿宋" w:hAnsi="仿宋" w:eastAsia="仿宋" w:cs="仿宋"/>
                <w:color w:val="auto"/>
                <w:spacing w:val="-9"/>
                <w:kern w:val="0"/>
                <w:szCs w:val="24"/>
                <w:highlight w:val="none"/>
                <w:lang w:bidi="ar"/>
              </w:rPr>
              <w:t>6.2</w:t>
            </w:r>
            <w:r>
              <w:rPr>
                <w:rFonts w:hint="eastAsia" w:ascii="仿宋" w:hAnsi="仿宋" w:eastAsia="仿宋" w:cs="仿宋"/>
                <w:color w:val="auto"/>
                <w:spacing w:val="-45"/>
                <w:kern w:val="0"/>
                <w:szCs w:val="24"/>
                <w:highlight w:val="none"/>
                <w:lang w:bidi="ar"/>
              </w:rPr>
              <w:t xml:space="preserve"> </w:t>
            </w:r>
            <w:r>
              <w:rPr>
                <w:rFonts w:hint="eastAsia" w:ascii="仿宋" w:hAnsi="仿宋" w:eastAsia="仿宋" w:cs="仿宋"/>
                <w:color w:val="auto"/>
                <w:spacing w:val="-9"/>
                <w:kern w:val="0"/>
                <w:szCs w:val="24"/>
                <w:highlight w:val="none"/>
                <w:lang w:bidi="ar"/>
              </w:rPr>
              <w:t>安</w:t>
            </w:r>
            <w:r>
              <w:rPr>
                <w:rFonts w:hint="eastAsia" w:ascii="仿宋" w:hAnsi="仿宋" w:eastAsia="仿宋" w:cs="仿宋"/>
                <w:color w:val="auto"/>
                <w:spacing w:val="-3"/>
                <w:kern w:val="0"/>
                <w:szCs w:val="24"/>
                <w:highlight w:val="none"/>
                <w:lang w:bidi="ar"/>
              </w:rPr>
              <w:t>全创新</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01021FF0">
            <w:pPr>
              <w:pStyle w:val="18"/>
              <w:spacing w:before="90"/>
              <w:ind w:left="123" w:right="49" w:hanging="1"/>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提出安全管理创新建议（如作业方法优化、隐患防控措施改进等）被发包</w:t>
            </w:r>
            <w:r>
              <w:rPr>
                <w:rFonts w:hint="eastAsia" w:ascii="仿宋" w:hAnsi="仿宋" w:eastAsia="仿宋" w:cs="仿宋"/>
                <w:color w:val="auto"/>
                <w:spacing w:val="-10"/>
                <w:kern w:val="0"/>
                <w:szCs w:val="24"/>
                <w:highlight w:val="none"/>
                <w:lang w:bidi="ar"/>
              </w:rPr>
              <w:t>方采纳。一项加</w:t>
            </w:r>
            <w:r>
              <w:rPr>
                <w:rFonts w:hint="eastAsia" w:ascii="仿宋" w:hAnsi="仿宋" w:eastAsia="仿宋" w:cs="仿宋"/>
                <w:color w:val="auto"/>
                <w:spacing w:val="-29"/>
                <w:kern w:val="0"/>
                <w:szCs w:val="24"/>
                <w:highlight w:val="none"/>
                <w:lang w:bidi="ar"/>
              </w:rPr>
              <w:t xml:space="preserve"> </w:t>
            </w:r>
            <w:r>
              <w:rPr>
                <w:rFonts w:hint="eastAsia" w:ascii="仿宋" w:hAnsi="仿宋" w:eastAsia="仿宋" w:cs="仿宋"/>
                <w:color w:val="auto"/>
                <w:spacing w:val="-10"/>
                <w:kern w:val="0"/>
                <w:szCs w:val="24"/>
                <w:highlight w:val="none"/>
                <w:lang w:bidi="ar"/>
              </w:rPr>
              <w:t>2-3</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10"/>
                <w:kern w:val="0"/>
                <w:szCs w:val="24"/>
                <w:highlight w:val="none"/>
                <w:lang w:bidi="ar"/>
              </w:rPr>
              <w:t>分，最多加</w:t>
            </w:r>
            <w:r>
              <w:rPr>
                <w:rFonts w:hint="eastAsia" w:ascii="仿宋" w:hAnsi="仿宋" w:eastAsia="仿宋" w:cs="仿宋"/>
                <w:color w:val="auto"/>
                <w:spacing w:val="-31"/>
                <w:kern w:val="0"/>
                <w:szCs w:val="24"/>
                <w:highlight w:val="none"/>
                <w:lang w:bidi="ar"/>
              </w:rPr>
              <w:t xml:space="preserve"> </w:t>
            </w:r>
            <w:r>
              <w:rPr>
                <w:rFonts w:hint="eastAsia" w:ascii="仿宋" w:hAnsi="仿宋" w:eastAsia="仿宋" w:cs="仿宋"/>
                <w:color w:val="auto"/>
                <w:spacing w:val="-10"/>
                <w:kern w:val="0"/>
                <w:szCs w:val="24"/>
                <w:highlight w:val="none"/>
                <w:lang w:bidi="ar"/>
              </w:rPr>
              <w:t>3</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10"/>
                <w:kern w:val="0"/>
                <w:szCs w:val="2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6EB0B4D1">
            <w:pPr>
              <w:spacing w:line="324" w:lineRule="auto"/>
              <w:rPr>
                <w:rFonts w:ascii="Arial" w:hAnsi="Calibri"/>
                <w:color w:val="auto"/>
                <w:szCs w:val="21"/>
                <w:highlight w:val="none"/>
              </w:rPr>
            </w:pPr>
          </w:p>
          <w:p w14:paraId="591F4480">
            <w:pPr>
              <w:pStyle w:val="18"/>
              <w:spacing w:before="78"/>
              <w:ind w:left="302"/>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3</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5296834E">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7E4EC359">
            <w:pPr>
              <w:rPr>
                <w:rFonts w:ascii="Arial" w:hAnsi="Calibri"/>
                <w:color w:val="auto"/>
                <w:szCs w:val="21"/>
                <w:highlight w:val="none"/>
              </w:rPr>
            </w:pPr>
          </w:p>
        </w:tc>
      </w:tr>
      <w:tr w14:paraId="4D162D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5" w:hRule="atLeast"/>
        </w:trPr>
        <w:tc>
          <w:tcPr>
            <w:tcW w:w="779" w:type="dxa"/>
            <w:vMerge w:val="continue"/>
            <w:tcBorders>
              <w:top w:val="single" w:color="000000" w:sz="2" w:space="0"/>
              <w:left w:val="single" w:color="000000" w:sz="2" w:space="0"/>
              <w:bottom w:val="nil"/>
              <w:right w:val="single" w:color="000000" w:sz="2" w:space="0"/>
            </w:tcBorders>
            <w:shd w:val="clear" w:color="auto" w:fill="auto"/>
          </w:tcPr>
          <w:p w14:paraId="5CF26CCD">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794ABB0C">
            <w:pPr>
              <w:pStyle w:val="18"/>
              <w:spacing w:before="253"/>
              <w:ind w:left="177" w:right="155" w:firstLine="25"/>
              <w:rPr>
                <w:rFonts w:ascii="仿宋" w:hAnsi="仿宋" w:eastAsia="仿宋" w:cs="仿宋"/>
                <w:color w:val="auto"/>
                <w:szCs w:val="24"/>
                <w:highlight w:val="none"/>
              </w:rPr>
            </w:pPr>
            <w:r>
              <w:rPr>
                <w:rFonts w:hint="eastAsia" w:ascii="仿宋" w:hAnsi="仿宋" w:eastAsia="仿宋" w:cs="仿宋"/>
                <w:color w:val="auto"/>
                <w:spacing w:val="-13"/>
                <w:kern w:val="0"/>
                <w:szCs w:val="24"/>
                <w:highlight w:val="none"/>
                <w:lang w:bidi="ar"/>
              </w:rPr>
              <w:t>6.3</w:t>
            </w:r>
            <w:r>
              <w:rPr>
                <w:rFonts w:hint="eastAsia" w:ascii="仿宋" w:hAnsi="仿宋" w:eastAsia="仿宋" w:cs="仿宋"/>
                <w:color w:val="auto"/>
                <w:spacing w:val="-30"/>
                <w:kern w:val="0"/>
                <w:szCs w:val="24"/>
                <w:highlight w:val="none"/>
                <w:lang w:bidi="ar"/>
              </w:rPr>
              <w:t xml:space="preserve"> </w:t>
            </w:r>
            <w:r>
              <w:rPr>
                <w:rFonts w:hint="eastAsia" w:ascii="仿宋" w:hAnsi="仿宋" w:eastAsia="仿宋" w:cs="仿宋"/>
                <w:color w:val="auto"/>
                <w:spacing w:val="-13"/>
                <w:kern w:val="0"/>
                <w:szCs w:val="24"/>
                <w:highlight w:val="none"/>
                <w:lang w:bidi="ar"/>
              </w:rPr>
              <w:t>隐</w:t>
            </w:r>
            <w:r>
              <w:rPr>
                <w:rFonts w:hint="eastAsia" w:ascii="仿宋" w:hAnsi="仿宋" w:eastAsia="仿宋" w:cs="仿宋"/>
                <w:color w:val="auto"/>
                <w:spacing w:val="-8"/>
                <w:kern w:val="0"/>
                <w:szCs w:val="24"/>
                <w:highlight w:val="none"/>
                <w:lang w:bidi="ar"/>
              </w:rPr>
              <w:t>患上报</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0B3C5A71">
            <w:pPr>
              <w:pStyle w:val="18"/>
              <w:spacing w:before="98"/>
              <w:ind w:left="122" w:right="116" w:firstLine="22"/>
              <w:rPr>
                <w:rFonts w:ascii="仿宋" w:hAnsi="仿宋" w:eastAsia="仿宋" w:cs="仿宋"/>
                <w:color w:val="auto"/>
                <w:szCs w:val="24"/>
                <w:highlight w:val="none"/>
              </w:rPr>
            </w:pPr>
            <w:r>
              <w:rPr>
                <w:rFonts w:hint="eastAsia" w:ascii="仿宋" w:hAnsi="仿宋" w:eastAsia="仿宋" w:cs="仿宋"/>
                <w:color w:val="auto"/>
                <w:spacing w:val="-2"/>
                <w:kern w:val="0"/>
                <w:szCs w:val="24"/>
                <w:highlight w:val="none"/>
                <w:lang w:bidi="ar"/>
              </w:rPr>
              <w:t>“吹哨人”主动上报重大安全隐患并</w:t>
            </w:r>
            <w:r>
              <w:rPr>
                <w:rFonts w:hint="eastAsia" w:ascii="仿宋" w:hAnsi="仿宋" w:eastAsia="仿宋" w:cs="仿宋"/>
                <w:color w:val="auto"/>
                <w:spacing w:val="-9"/>
                <w:kern w:val="0"/>
                <w:szCs w:val="24"/>
                <w:highlight w:val="none"/>
                <w:lang w:bidi="ar"/>
              </w:rPr>
              <w:t>避免事故发生。一次加</w:t>
            </w:r>
            <w:r>
              <w:rPr>
                <w:rFonts w:hint="eastAsia" w:ascii="仿宋" w:hAnsi="仿宋" w:eastAsia="仿宋" w:cs="仿宋"/>
                <w:color w:val="auto"/>
                <w:spacing w:val="-40"/>
                <w:kern w:val="0"/>
                <w:szCs w:val="24"/>
                <w:highlight w:val="none"/>
                <w:lang w:bidi="ar"/>
              </w:rPr>
              <w:t xml:space="preserve"> </w:t>
            </w:r>
            <w:r>
              <w:rPr>
                <w:rFonts w:hint="eastAsia" w:ascii="仿宋" w:hAnsi="仿宋" w:eastAsia="仿宋" w:cs="仿宋"/>
                <w:color w:val="auto"/>
                <w:spacing w:val="-9"/>
                <w:kern w:val="0"/>
                <w:szCs w:val="24"/>
                <w:highlight w:val="none"/>
                <w:lang w:bidi="ar"/>
              </w:rPr>
              <w:t>2</w:t>
            </w:r>
            <w:r>
              <w:rPr>
                <w:rFonts w:hint="eastAsia" w:ascii="仿宋" w:hAnsi="仿宋" w:eastAsia="仿宋" w:cs="仿宋"/>
                <w:color w:val="auto"/>
                <w:spacing w:val="-48"/>
                <w:kern w:val="0"/>
                <w:szCs w:val="24"/>
                <w:highlight w:val="none"/>
                <w:lang w:bidi="ar"/>
              </w:rPr>
              <w:t xml:space="preserve"> </w:t>
            </w:r>
            <w:r>
              <w:rPr>
                <w:rFonts w:hint="eastAsia" w:ascii="仿宋" w:hAnsi="仿宋" w:eastAsia="仿宋" w:cs="仿宋"/>
                <w:color w:val="auto"/>
                <w:spacing w:val="-9"/>
                <w:kern w:val="0"/>
                <w:szCs w:val="24"/>
                <w:highlight w:val="none"/>
                <w:lang w:bidi="ar"/>
              </w:rPr>
              <w:t>分，最多加</w:t>
            </w:r>
            <w:r>
              <w:rPr>
                <w:rFonts w:hint="eastAsia" w:ascii="仿宋" w:hAnsi="仿宋" w:eastAsia="仿宋" w:cs="仿宋"/>
                <w:color w:val="auto"/>
                <w:spacing w:val="-42"/>
                <w:kern w:val="0"/>
                <w:szCs w:val="24"/>
                <w:highlight w:val="none"/>
                <w:lang w:bidi="ar"/>
              </w:rPr>
              <w:t xml:space="preserve"> </w:t>
            </w:r>
            <w:r>
              <w:rPr>
                <w:rFonts w:hint="eastAsia" w:ascii="仿宋" w:hAnsi="仿宋" w:eastAsia="仿宋" w:cs="仿宋"/>
                <w:color w:val="auto"/>
                <w:spacing w:val="-9"/>
                <w:kern w:val="0"/>
                <w:szCs w:val="24"/>
                <w:highlight w:val="none"/>
                <w:lang w:bidi="ar"/>
              </w:rPr>
              <w:t>2</w:t>
            </w:r>
            <w:r>
              <w:rPr>
                <w:rFonts w:hint="eastAsia" w:ascii="仿宋" w:hAnsi="仿宋" w:eastAsia="仿宋" w:cs="仿宋"/>
                <w:color w:val="auto"/>
                <w:spacing w:val="-4"/>
                <w:kern w:val="0"/>
                <w:szCs w:val="2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25D87C37">
            <w:pPr>
              <w:spacing w:line="328" w:lineRule="auto"/>
              <w:rPr>
                <w:rFonts w:ascii="Arial" w:hAnsi="Calibri"/>
                <w:color w:val="auto"/>
                <w:szCs w:val="21"/>
                <w:highlight w:val="none"/>
              </w:rPr>
            </w:pPr>
          </w:p>
          <w:p w14:paraId="20A06AB3">
            <w:pPr>
              <w:pStyle w:val="18"/>
              <w:spacing w:before="78"/>
              <w:ind w:left="293"/>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2</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04AD40FF">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714C3D35">
            <w:pPr>
              <w:rPr>
                <w:rFonts w:ascii="Arial" w:hAnsi="Calibri"/>
                <w:color w:val="auto"/>
                <w:szCs w:val="21"/>
                <w:highlight w:val="none"/>
              </w:rPr>
            </w:pPr>
          </w:p>
        </w:tc>
      </w:tr>
      <w:tr w14:paraId="6DE930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3" w:hRule="atLeast"/>
        </w:trPr>
        <w:tc>
          <w:tcPr>
            <w:tcW w:w="779" w:type="dxa"/>
            <w:vMerge w:val="continue"/>
            <w:tcBorders>
              <w:top w:val="single" w:color="000000" w:sz="2" w:space="0"/>
              <w:left w:val="single" w:color="000000" w:sz="2" w:space="0"/>
              <w:bottom w:val="nil"/>
              <w:right w:val="single" w:color="000000" w:sz="2" w:space="0"/>
            </w:tcBorders>
            <w:shd w:val="clear" w:color="auto" w:fill="auto"/>
          </w:tcPr>
          <w:p w14:paraId="5E2C00D7">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729E4166">
            <w:pPr>
              <w:pStyle w:val="18"/>
              <w:spacing w:before="99"/>
              <w:ind w:left="408" w:right="155" w:hanging="245"/>
              <w:rPr>
                <w:rFonts w:ascii="仿宋" w:hAnsi="仿宋" w:eastAsia="仿宋" w:cs="仿宋"/>
                <w:color w:val="auto"/>
                <w:szCs w:val="24"/>
                <w:highlight w:val="none"/>
              </w:rPr>
            </w:pPr>
            <w:r>
              <w:rPr>
                <w:rFonts w:hint="eastAsia" w:ascii="仿宋" w:hAnsi="仿宋" w:eastAsia="仿宋" w:cs="仿宋"/>
                <w:color w:val="auto"/>
                <w:spacing w:val="-4"/>
                <w:kern w:val="0"/>
                <w:szCs w:val="24"/>
                <w:highlight w:val="none"/>
                <w:lang w:bidi="ar"/>
              </w:rPr>
              <w:t>加分小</w:t>
            </w:r>
            <w:r>
              <w:rPr>
                <w:rFonts w:hint="eastAsia" w:ascii="仿宋" w:hAnsi="仿宋" w:eastAsia="仿宋" w:cs="仿宋"/>
                <w:color w:val="auto"/>
                <w:kern w:val="0"/>
                <w:szCs w:val="24"/>
                <w:highlight w:val="none"/>
                <w:lang w:bidi="ar"/>
              </w:rPr>
              <w:t>计</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76DE97AB">
            <w:pPr>
              <w:pStyle w:val="18"/>
              <w:spacing w:before="254"/>
              <w:ind w:left="137"/>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累计加分不超过</w:t>
            </w:r>
            <w:r>
              <w:rPr>
                <w:rFonts w:hint="eastAsia" w:ascii="仿宋" w:hAnsi="仿宋" w:eastAsia="仿宋" w:cs="仿宋"/>
                <w:color w:val="auto"/>
                <w:spacing w:val="-33"/>
                <w:kern w:val="0"/>
                <w:szCs w:val="24"/>
                <w:highlight w:val="none"/>
                <w:lang w:bidi="ar"/>
              </w:rPr>
              <w:t xml:space="preserve"> </w:t>
            </w:r>
            <w:r>
              <w:rPr>
                <w:rFonts w:hint="eastAsia" w:ascii="仿宋" w:hAnsi="仿宋" w:eastAsia="仿宋" w:cs="仿宋"/>
                <w:color w:val="auto"/>
                <w:spacing w:val="-5"/>
                <w:kern w:val="0"/>
                <w:szCs w:val="24"/>
                <w:highlight w:val="none"/>
                <w:lang w:bidi="ar"/>
              </w:rPr>
              <w:t>10</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5"/>
                <w:kern w:val="0"/>
                <w:szCs w:val="2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2DAD6C7F">
            <w:pPr>
              <w:pStyle w:val="18"/>
              <w:spacing w:before="254"/>
              <w:ind w:left="239"/>
              <w:rPr>
                <w:rFonts w:ascii="仿宋" w:hAnsi="仿宋" w:eastAsia="仿宋" w:cs="仿宋"/>
                <w:color w:val="auto"/>
                <w:szCs w:val="24"/>
                <w:highlight w:val="none"/>
              </w:rPr>
            </w:pPr>
            <w:r>
              <w:rPr>
                <w:rFonts w:hint="eastAsia" w:ascii="仿宋" w:hAnsi="仿宋" w:eastAsia="仿宋" w:cs="仿宋"/>
                <w:color w:val="auto"/>
                <w:spacing w:val="-13"/>
                <w:kern w:val="0"/>
                <w:szCs w:val="24"/>
                <w:highlight w:val="none"/>
                <w:lang w:bidi="ar"/>
              </w:rPr>
              <w:t>10</w:t>
            </w:r>
          </w:p>
        </w:tc>
        <w:tc>
          <w:tcPr>
            <w:tcW w:w="2509" w:type="dxa"/>
            <w:gridSpan w:val="2"/>
            <w:tcBorders>
              <w:top w:val="single" w:color="000000" w:sz="2" w:space="0"/>
              <w:left w:val="single" w:color="000000" w:sz="2" w:space="0"/>
              <w:bottom w:val="single" w:color="000000" w:sz="2" w:space="0"/>
              <w:right w:val="single" w:color="000000" w:sz="2" w:space="0"/>
            </w:tcBorders>
            <w:shd w:val="clear" w:color="auto" w:fill="auto"/>
          </w:tcPr>
          <w:p w14:paraId="4564B3D4">
            <w:pPr>
              <w:rPr>
                <w:rFonts w:ascii="Arial" w:hAnsi="Calibri"/>
                <w:color w:val="auto"/>
                <w:szCs w:val="21"/>
                <w:highlight w:val="none"/>
              </w:rPr>
            </w:pPr>
          </w:p>
        </w:tc>
      </w:tr>
      <w:tr w14:paraId="2A55BF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5977" w:type="dxa"/>
            <w:gridSpan w:val="3"/>
            <w:tcBorders>
              <w:top w:val="single" w:color="000000" w:sz="2" w:space="0"/>
              <w:left w:val="single" w:color="000000" w:sz="2" w:space="0"/>
              <w:bottom w:val="single" w:color="000000" w:sz="2" w:space="0"/>
              <w:right w:val="single" w:color="000000" w:sz="2" w:space="0"/>
            </w:tcBorders>
            <w:shd w:val="clear" w:color="auto" w:fill="auto"/>
          </w:tcPr>
          <w:p w14:paraId="55C380C0">
            <w:pPr>
              <w:pStyle w:val="18"/>
              <w:spacing w:before="98"/>
              <w:ind w:left="1870"/>
              <w:rPr>
                <w:rFonts w:ascii="仿宋" w:hAnsi="仿宋" w:eastAsia="仿宋" w:cs="仿宋"/>
                <w:color w:val="auto"/>
                <w:szCs w:val="24"/>
                <w:highlight w:val="none"/>
              </w:rPr>
            </w:pPr>
            <w:r>
              <w:rPr>
                <w:rFonts w:hint="eastAsia" w:ascii="仿宋" w:hAnsi="仿宋" w:eastAsia="仿宋" w:cs="仿宋"/>
                <w:color w:val="auto"/>
                <w:spacing w:val="-3"/>
                <w:kern w:val="0"/>
                <w:szCs w:val="24"/>
                <w:highlight w:val="none"/>
                <w:lang w:bidi="ar"/>
              </w:rPr>
              <w:t>总分（标准分+加分）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5AE9C54E">
            <w:pPr>
              <w:pStyle w:val="18"/>
              <w:spacing w:before="98"/>
              <w:ind w:left="179"/>
              <w:rPr>
                <w:rFonts w:ascii="仿宋" w:hAnsi="仿宋" w:eastAsia="仿宋" w:cs="仿宋"/>
                <w:color w:val="auto"/>
                <w:szCs w:val="24"/>
                <w:highlight w:val="none"/>
              </w:rPr>
            </w:pPr>
            <w:r>
              <w:rPr>
                <w:rFonts w:hint="eastAsia" w:ascii="仿宋" w:hAnsi="仿宋" w:eastAsia="仿宋" w:cs="仿宋"/>
                <w:color w:val="auto"/>
                <w:spacing w:val="-9"/>
                <w:kern w:val="0"/>
                <w:szCs w:val="24"/>
                <w:highlight w:val="none"/>
                <w:lang w:bidi="ar"/>
              </w:rPr>
              <w:t>110</w:t>
            </w:r>
          </w:p>
        </w:tc>
        <w:tc>
          <w:tcPr>
            <w:tcW w:w="2509" w:type="dxa"/>
            <w:gridSpan w:val="2"/>
            <w:tcBorders>
              <w:top w:val="single" w:color="000000" w:sz="2" w:space="0"/>
              <w:left w:val="single" w:color="000000" w:sz="2" w:space="0"/>
              <w:bottom w:val="single" w:color="000000" w:sz="2" w:space="0"/>
              <w:right w:val="single" w:color="000000" w:sz="2" w:space="0"/>
            </w:tcBorders>
            <w:shd w:val="clear" w:color="auto" w:fill="auto"/>
          </w:tcPr>
          <w:p w14:paraId="6731B2E6">
            <w:pPr>
              <w:rPr>
                <w:rFonts w:ascii="Arial" w:hAnsi="Calibri"/>
                <w:color w:val="auto"/>
                <w:szCs w:val="21"/>
                <w:highlight w:val="none"/>
              </w:rPr>
            </w:pPr>
          </w:p>
        </w:tc>
      </w:tr>
      <w:tr w14:paraId="5107C1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9" w:hRule="atLeast"/>
        </w:trPr>
        <w:tc>
          <w:tcPr>
            <w:tcW w:w="9157" w:type="dxa"/>
            <w:gridSpan w:val="6"/>
            <w:tcBorders>
              <w:top w:val="single" w:color="000000" w:sz="2" w:space="0"/>
              <w:left w:val="single" w:color="000000" w:sz="2" w:space="0"/>
              <w:bottom w:val="single" w:color="000000" w:sz="2" w:space="0"/>
              <w:right w:val="single" w:color="000000" w:sz="2" w:space="0"/>
            </w:tcBorders>
            <w:shd w:val="clear" w:color="auto" w:fill="auto"/>
          </w:tcPr>
          <w:p w14:paraId="55EF40EF">
            <w:pPr>
              <w:pStyle w:val="18"/>
              <w:spacing w:before="100"/>
              <w:ind w:left="126"/>
              <w:rPr>
                <w:rFonts w:ascii="仿宋" w:hAnsi="仿宋" w:eastAsia="仿宋" w:cs="仿宋"/>
                <w:color w:val="auto"/>
                <w:szCs w:val="24"/>
                <w:highlight w:val="none"/>
              </w:rPr>
            </w:pPr>
            <w:r>
              <w:rPr>
                <w:rFonts w:hint="eastAsia" w:ascii="仿宋" w:hAnsi="仿宋" w:eastAsia="仿宋" w:cs="仿宋"/>
                <w:b/>
                <w:bCs/>
                <w:color w:val="auto"/>
                <w:spacing w:val="-7"/>
                <w:kern w:val="0"/>
                <w:szCs w:val="24"/>
                <w:highlight w:val="none"/>
                <w:lang w:bidi="ar"/>
              </w:rPr>
              <w:t>评价等级：</w:t>
            </w:r>
            <w:r>
              <w:rPr>
                <w:rFonts w:hint="eastAsia" w:ascii="微软雅黑" w:hAnsi="微软雅黑" w:eastAsia="微软雅黑" w:cs="微软雅黑"/>
                <w:color w:val="auto"/>
                <w:spacing w:val="-7"/>
                <w:kern w:val="0"/>
                <w:szCs w:val="24"/>
                <w:highlight w:val="none"/>
                <w:lang w:bidi="ar"/>
              </w:rPr>
              <w:t>□</w:t>
            </w:r>
            <w:r>
              <w:rPr>
                <w:rFonts w:hint="eastAsia" w:ascii="仿宋" w:hAnsi="仿宋" w:eastAsia="仿宋" w:cs="仿宋"/>
                <w:color w:val="auto"/>
                <w:spacing w:val="-7"/>
                <w:kern w:val="0"/>
                <w:szCs w:val="24"/>
                <w:highlight w:val="none"/>
                <w:lang w:bidi="ar"/>
              </w:rPr>
              <w:t>A</w:t>
            </w:r>
            <w:r>
              <w:rPr>
                <w:rFonts w:hint="eastAsia" w:ascii="仿宋" w:hAnsi="仿宋" w:eastAsia="仿宋" w:cs="仿宋"/>
                <w:color w:val="auto"/>
                <w:spacing w:val="-41"/>
                <w:kern w:val="0"/>
                <w:szCs w:val="24"/>
                <w:highlight w:val="none"/>
                <w:lang w:bidi="ar"/>
              </w:rPr>
              <w:t xml:space="preserve"> </w:t>
            </w:r>
            <w:r>
              <w:rPr>
                <w:rFonts w:hint="eastAsia" w:ascii="仿宋" w:hAnsi="仿宋" w:eastAsia="仿宋" w:cs="仿宋"/>
                <w:color w:val="auto"/>
                <w:spacing w:val="-7"/>
                <w:kern w:val="0"/>
                <w:szCs w:val="24"/>
                <w:highlight w:val="none"/>
                <w:lang w:bidi="ar"/>
              </w:rPr>
              <w:t>级（得分≥90</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7"/>
                <w:kern w:val="0"/>
                <w:szCs w:val="24"/>
                <w:highlight w:val="none"/>
                <w:lang w:bidi="ar"/>
              </w:rPr>
              <w:t>分）□B</w:t>
            </w:r>
            <w:r>
              <w:rPr>
                <w:rFonts w:hint="eastAsia" w:ascii="仿宋" w:hAnsi="仿宋" w:eastAsia="仿宋" w:cs="仿宋"/>
                <w:color w:val="auto"/>
                <w:spacing w:val="-41"/>
                <w:kern w:val="0"/>
                <w:szCs w:val="24"/>
                <w:highlight w:val="none"/>
                <w:lang w:bidi="ar"/>
              </w:rPr>
              <w:t xml:space="preserve"> </w:t>
            </w:r>
            <w:r>
              <w:rPr>
                <w:rFonts w:hint="eastAsia" w:ascii="仿宋" w:hAnsi="仿宋" w:eastAsia="仿宋" w:cs="仿宋"/>
                <w:color w:val="auto"/>
                <w:spacing w:val="-7"/>
                <w:kern w:val="0"/>
                <w:szCs w:val="24"/>
                <w:highlight w:val="none"/>
                <w:lang w:bidi="ar"/>
              </w:rPr>
              <w:t>级（70</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7"/>
                <w:kern w:val="0"/>
                <w:szCs w:val="24"/>
                <w:highlight w:val="none"/>
                <w:lang w:bidi="ar"/>
              </w:rPr>
              <w:t>分≤得分＜90</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7"/>
                <w:kern w:val="0"/>
                <w:szCs w:val="24"/>
                <w:highlight w:val="none"/>
                <w:lang w:bidi="ar"/>
              </w:rPr>
              <w:t>分）□C</w:t>
            </w:r>
            <w:r>
              <w:rPr>
                <w:rFonts w:hint="eastAsia" w:ascii="仿宋" w:hAnsi="仿宋" w:eastAsia="仿宋" w:cs="仿宋"/>
                <w:color w:val="auto"/>
                <w:spacing w:val="-41"/>
                <w:kern w:val="0"/>
                <w:szCs w:val="24"/>
                <w:highlight w:val="none"/>
                <w:lang w:bidi="ar"/>
              </w:rPr>
              <w:t xml:space="preserve"> </w:t>
            </w:r>
            <w:r>
              <w:rPr>
                <w:rFonts w:hint="eastAsia" w:ascii="仿宋" w:hAnsi="仿宋" w:eastAsia="仿宋" w:cs="仿宋"/>
                <w:color w:val="auto"/>
                <w:spacing w:val="-7"/>
                <w:kern w:val="0"/>
                <w:szCs w:val="24"/>
                <w:highlight w:val="none"/>
                <w:lang w:bidi="ar"/>
              </w:rPr>
              <w:t>级（得分&lt;</w:t>
            </w:r>
            <w:r>
              <w:rPr>
                <w:rFonts w:hint="eastAsia" w:ascii="仿宋" w:hAnsi="仿宋" w:eastAsia="仿宋" w:cs="仿宋"/>
                <w:color w:val="auto"/>
                <w:spacing w:val="-8"/>
                <w:kern w:val="0"/>
                <w:szCs w:val="24"/>
                <w:highlight w:val="none"/>
                <w:lang w:bidi="ar"/>
              </w:rPr>
              <w:t>70</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8"/>
                <w:kern w:val="0"/>
                <w:szCs w:val="24"/>
                <w:highlight w:val="none"/>
                <w:lang w:bidi="ar"/>
              </w:rPr>
              <w:t>分）。</w:t>
            </w:r>
            <w:r>
              <w:rPr>
                <w:rFonts w:hint="eastAsia" w:ascii="仿宋" w:hAnsi="仿宋" w:eastAsia="仿宋" w:cs="仿宋"/>
                <w:color w:val="auto"/>
                <w:spacing w:val="-1"/>
                <w:kern w:val="0"/>
                <w:szCs w:val="24"/>
                <w:highlight w:val="none"/>
                <w:lang w:bidi="ar"/>
              </w:rPr>
              <w:t>连续两次评价为C</w:t>
            </w:r>
            <w:r>
              <w:rPr>
                <w:rFonts w:hint="eastAsia" w:ascii="仿宋" w:hAnsi="仿宋" w:eastAsia="仿宋" w:cs="仿宋"/>
                <w:color w:val="auto"/>
                <w:spacing w:val="-26"/>
                <w:kern w:val="0"/>
                <w:szCs w:val="24"/>
                <w:highlight w:val="none"/>
                <w:lang w:bidi="ar"/>
              </w:rPr>
              <w:t xml:space="preserve"> </w:t>
            </w:r>
            <w:r>
              <w:rPr>
                <w:rFonts w:hint="eastAsia" w:ascii="仿宋" w:hAnsi="仿宋" w:eastAsia="仿宋" w:cs="仿宋"/>
                <w:color w:val="auto"/>
                <w:spacing w:val="-1"/>
                <w:kern w:val="0"/>
                <w:szCs w:val="24"/>
                <w:highlight w:val="none"/>
                <w:lang w:bidi="ar"/>
              </w:rPr>
              <w:t>级的承包商纳入黑名单管理。</w:t>
            </w:r>
          </w:p>
          <w:p w14:paraId="48CCF350">
            <w:pPr>
              <w:pStyle w:val="18"/>
              <w:spacing w:before="11"/>
              <w:ind w:left="126"/>
              <w:rPr>
                <w:rFonts w:ascii="仿宋" w:hAnsi="仿宋" w:eastAsia="仿宋" w:cs="仿宋"/>
                <w:color w:val="auto"/>
                <w:szCs w:val="24"/>
                <w:highlight w:val="none"/>
              </w:rPr>
            </w:pPr>
            <w:r>
              <w:rPr>
                <w:rFonts w:hint="eastAsia" w:ascii="仿宋" w:hAnsi="仿宋" w:eastAsia="仿宋" w:cs="仿宋"/>
                <w:b/>
                <w:bCs/>
                <w:color w:val="auto"/>
                <w:spacing w:val="-4"/>
                <w:kern w:val="0"/>
                <w:szCs w:val="24"/>
                <w:highlight w:val="none"/>
                <w:lang w:bidi="ar"/>
              </w:rPr>
              <w:t>评价人员签字：</w:t>
            </w:r>
          </w:p>
          <w:p w14:paraId="6B5E9909">
            <w:pPr>
              <w:pStyle w:val="18"/>
              <w:spacing w:before="29"/>
              <w:ind w:left="126"/>
              <w:rPr>
                <w:rFonts w:ascii="仿宋" w:hAnsi="仿宋" w:eastAsia="仿宋" w:cs="仿宋"/>
                <w:color w:val="auto"/>
                <w:szCs w:val="24"/>
                <w:highlight w:val="none"/>
              </w:rPr>
            </w:pPr>
            <w:r>
              <w:rPr>
                <w:rFonts w:hint="eastAsia" w:ascii="仿宋" w:hAnsi="仿宋" w:eastAsia="仿宋" w:cs="仿宋"/>
                <w:b/>
                <w:bCs/>
                <w:color w:val="auto"/>
                <w:spacing w:val="-8"/>
                <w:kern w:val="0"/>
                <w:szCs w:val="24"/>
                <w:highlight w:val="none"/>
                <w:lang w:bidi="ar"/>
              </w:rPr>
              <w:t>评价日期：</w:t>
            </w:r>
            <w:r>
              <w:rPr>
                <w:rFonts w:hint="eastAsia" w:ascii="仿宋" w:hAnsi="仿宋" w:eastAsia="仿宋" w:cs="仿宋"/>
                <w:color w:val="auto"/>
                <w:spacing w:val="6"/>
                <w:kern w:val="0"/>
                <w:szCs w:val="24"/>
                <w:highlight w:val="none"/>
                <w:lang w:bidi="ar"/>
              </w:rPr>
              <w:t xml:space="preserve">    </w:t>
            </w:r>
            <w:r>
              <w:rPr>
                <w:rFonts w:hint="eastAsia" w:ascii="仿宋" w:hAnsi="仿宋" w:eastAsia="仿宋" w:cs="仿宋"/>
                <w:color w:val="auto"/>
                <w:spacing w:val="-8"/>
                <w:kern w:val="0"/>
                <w:szCs w:val="24"/>
                <w:highlight w:val="none"/>
                <w:lang w:bidi="ar"/>
              </w:rPr>
              <w:t>年</w:t>
            </w:r>
            <w:r>
              <w:rPr>
                <w:rFonts w:hint="eastAsia" w:ascii="仿宋" w:hAnsi="仿宋" w:eastAsia="仿宋" w:cs="仿宋"/>
                <w:color w:val="auto"/>
                <w:spacing w:val="10"/>
                <w:kern w:val="0"/>
                <w:szCs w:val="24"/>
                <w:highlight w:val="none"/>
                <w:lang w:bidi="ar"/>
              </w:rPr>
              <w:t xml:space="preserve">  </w:t>
            </w:r>
            <w:r>
              <w:rPr>
                <w:rFonts w:hint="eastAsia" w:ascii="仿宋" w:hAnsi="仿宋" w:eastAsia="仿宋" w:cs="仿宋"/>
                <w:color w:val="auto"/>
                <w:spacing w:val="-8"/>
                <w:kern w:val="0"/>
                <w:szCs w:val="24"/>
                <w:highlight w:val="none"/>
                <w:lang w:bidi="ar"/>
              </w:rPr>
              <w:t>月</w:t>
            </w:r>
            <w:r>
              <w:rPr>
                <w:rFonts w:hint="eastAsia" w:ascii="仿宋" w:hAnsi="仿宋" w:eastAsia="仿宋" w:cs="仿宋"/>
                <w:color w:val="auto"/>
                <w:spacing w:val="28"/>
                <w:kern w:val="0"/>
                <w:szCs w:val="24"/>
                <w:highlight w:val="none"/>
                <w:lang w:bidi="ar"/>
              </w:rPr>
              <w:t xml:space="preserve">  </w:t>
            </w:r>
            <w:r>
              <w:rPr>
                <w:rFonts w:hint="eastAsia" w:ascii="仿宋" w:hAnsi="仿宋" w:eastAsia="仿宋" w:cs="仿宋"/>
                <w:color w:val="auto"/>
                <w:spacing w:val="-8"/>
                <w:kern w:val="0"/>
                <w:szCs w:val="24"/>
                <w:highlight w:val="none"/>
                <w:lang w:bidi="ar"/>
              </w:rPr>
              <w:t>日</w:t>
            </w:r>
          </w:p>
        </w:tc>
      </w:tr>
    </w:tbl>
    <w:p w14:paraId="68179175">
      <w:pPr>
        <w:rPr>
          <w:rFonts w:ascii="Arial" w:hAnsi="Calibri"/>
          <w:color w:val="auto"/>
          <w:szCs w:val="21"/>
          <w:highlight w:val="none"/>
        </w:rPr>
      </w:pPr>
      <w:r>
        <w:rPr>
          <w:rFonts w:ascii="Arial" w:hAnsi="Calibri"/>
          <w:color w:val="auto"/>
          <w:kern w:val="0"/>
          <w:szCs w:val="21"/>
          <w:highlight w:val="none"/>
          <w:lang w:bidi="ar"/>
        </w:rPr>
        <w:t xml:space="preserve"> </w:t>
      </w:r>
    </w:p>
    <w:p w14:paraId="2EB74DCD">
      <w:pPr>
        <w:rPr>
          <w:rFonts w:ascii="Arial" w:hAnsi="Arial" w:cs="Arial"/>
          <w:color w:val="auto"/>
          <w:szCs w:val="21"/>
          <w:highlight w:val="none"/>
        </w:rPr>
        <w:sectPr>
          <w:pgSz w:w="11906" w:h="16839"/>
          <w:pgMar w:top="400" w:right="1065" w:bottom="1223" w:left="1677" w:header="1" w:footer="1061" w:gutter="0"/>
          <w:cols w:space="720" w:num="1"/>
          <w:formProt w:val="0"/>
          <w:docGrid w:type="linesAndChars" w:linePitch="312" w:charSpace="0"/>
        </w:sectPr>
      </w:pPr>
    </w:p>
    <w:p w14:paraId="7E3647C7">
      <w:pPr>
        <w:pStyle w:val="18"/>
        <w:autoSpaceDE w:val="0"/>
        <w:spacing w:line="360" w:lineRule="auto"/>
        <w:jc w:val="center"/>
        <w:rPr>
          <w:rFonts w:ascii="微软雅黑" w:hAnsi="微软雅黑" w:eastAsia="微软雅黑" w:cs="微软雅黑"/>
          <w:b/>
          <w:bCs/>
          <w:color w:val="auto"/>
          <w:spacing w:val="25"/>
          <w:position w:val="-1"/>
          <w:sz w:val="35"/>
          <w:szCs w:val="35"/>
          <w:highlight w:val="none"/>
        </w:rPr>
      </w:pPr>
      <w:r>
        <w:rPr>
          <w:rFonts w:hint="eastAsia" w:ascii="宋体" w:hAnsi="宋体" w:cs="宋体"/>
          <w:b/>
          <w:bCs/>
          <w:color w:val="auto"/>
          <w:kern w:val="0"/>
          <w:szCs w:val="24"/>
          <w:highlight w:val="none"/>
          <w:lang w:bidi="ar"/>
        </w:rPr>
        <w:t>附件4：承包商安全生产 “吹哨人” 和隐患内部报告奖励统计表</w:t>
      </w:r>
    </w:p>
    <w:p w14:paraId="38F7507A">
      <w:pPr>
        <w:spacing w:before="207" w:line="354" w:lineRule="exact"/>
        <w:jc w:val="center"/>
        <w:outlineLvl w:val="1"/>
        <w:rPr>
          <w:rFonts w:ascii="微软雅黑" w:hAnsi="微软雅黑" w:eastAsia="微软雅黑" w:cs="微软雅黑"/>
          <w:color w:val="auto"/>
          <w:sz w:val="35"/>
          <w:szCs w:val="35"/>
          <w:highlight w:val="none"/>
        </w:rPr>
      </w:pPr>
      <w:r>
        <w:rPr>
          <w:rFonts w:hint="eastAsia" w:ascii="微软雅黑" w:hAnsi="微软雅黑" w:eastAsia="微软雅黑" w:cs="微软雅黑"/>
          <w:color w:val="auto"/>
          <w:spacing w:val="17"/>
          <w:kern w:val="0"/>
          <w:position w:val="-1"/>
          <w:sz w:val="35"/>
          <w:szCs w:val="35"/>
          <w:highlight w:val="none"/>
          <w:lang w:bidi="ar"/>
        </w:rPr>
        <w:t>承包商安全生产</w:t>
      </w:r>
      <w:r>
        <w:rPr>
          <w:rFonts w:hint="eastAsia" w:ascii="微软雅黑" w:hAnsi="微软雅黑" w:eastAsia="微软雅黑" w:cs="微软雅黑"/>
          <w:color w:val="auto"/>
          <w:spacing w:val="86"/>
          <w:kern w:val="0"/>
          <w:position w:val="-1"/>
          <w:sz w:val="35"/>
          <w:szCs w:val="35"/>
          <w:highlight w:val="none"/>
          <w:lang w:bidi="ar"/>
        </w:rPr>
        <w:t xml:space="preserve"> </w:t>
      </w:r>
      <w:r>
        <w:rPr>
          <w:rFonts w:ascii="Calibri" w:hAnsi="Calibri"/>
          <w:color w:val="auto"/>
          <w:kern w:val="0"/>
          <w:szCs w:val="21"/>
          <w:highlight w:val="none"/>
        </w:rPr>
        <w:drawing>
          <wp:inline distT="0" distB="0" distL="114300" distR="114300">
            <wp:extent cx="104775" cy="76200"/>
            <wp:effectExtent l="0" t="0" r="0" b="0"/>
            <wp:docPr id="5"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IMG_256"/>
                    <pic:cNvPicPr>
                      <a:picLocks noChangeAspect="1"/>
                    </pic:cNvPicPr>
                  </pic:nvPicPr>
                  <pic:blipFill>
                    <a:blip r:embed="rId13"/>
                    <a:stretch>
                      <a:fillRect/>
                    </a:stretch>
                  </pic:blipFill>
                  <pic:spPr>
                    <a:xfrm>
                      <a:off x="0" y="0"/>
                      <a:ext cx="104775" cy="76200"/>
                    </a:xfrm>
                    <a:prstGeom prst="rect">
                      <a:avLst/>
                    </a:prstGeom>
                    <a:noFill/>
                    <a:ln w="9525">
                      <a:noFill/>
                    </a:ln>
                  </pic:spPr>
                </pic:pic>
              </a:graphicData>
            </a:graphic>
          </wp:inline>
        </w:drawing>
      </w:r>
      <w:r>
        <w:rPr>
          <w:rFonts w:hint="eastAsia" w:ascii="微软雅黑" w:hAnsi="微软雅黑" w:eastAsia="微软雅黑" w:cs="微软雅黑"/>
          <w:color w:val="auto"/>
          <w:spacing w:val="17"/>
          <w:kern w:val="0"/>
          <w:position w:val="-1"/>
          <w:sz w:val="35"/>
          <w:szCs w:val="35"/>
          <w:highlight w:val="none"/>
          <w:lang w:bidi="ar"/>
        </w:rPr>
        <w:t>吹哨人</w:t>
      </w:r>
      <w:r>
        <w:rPr>
          <w:rFonts w:ascii="Calibri" w:hAnsi="Calibri"/>
          <w:color w:val="auto"/>
          <w:kern w:val="0"/>
          <w:szCs w:val="21"/>
          <w:highlight w:val="none"/>
        </w:rPr>
        <w:drawing>
          <wp:inline distT="0" distB="0" distL="114300" distR="114300">
            <wp:extent cx="104775" cy="76200"/>
            <wp:effectExtent l="0" t="0" r="0" b="0"/>
            <wp:docPr id="6" name="图片 5"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IMG_257"/>
                    <pic:cNvPicPr>
                      <a:picLocks noChangeAspect="1"/>
                    </pic:cNvPicPr>
                  </pic:nvPicPr>
                  <pic:blipFill>
                    <a:blip r:embed="rId14"/>
                    <a:stretch>
                      <a:fillRect/>
                    </a:stretch>
                  </pic:blipFill>
                  <pic:spPr>
                    <a:xfrm>
                      <a:off x="0" y="0"/>
                      <a:ext cx="104775" cy="76200"/>
                    </a:xfrm>
                    <a:prstGeom prst="rect">
                      <a:avLst/>
                    </a:prstGeom>
                    <a:noFill/>
                    <a:ln w="9525">
                      <a:noFill/>
                    </a:ln>
                  </pic:spPr>
                </pic:pic>
              </a:graphicData>
            </a:graphic>
          </wp:inline>
        </w:drawing>
      </w:r>
      <w:r>
        <w:rPr>
          <w:rFonts w:hint="eastAsia" w:ascii="微软雅黑" w:hAnsi="微软雅黑" w:eastAsia="微软雅黑" w:cs="微软雅黑"/>
          <w:color w:val="auto"/>
          <w:spacing w:val="86"/>
          <w:kern w:val="0"/>
          <w:position w:val="-1"/>
          <w:sz w:val="35"/>
          <w:szCs w:val="35"/>
          <w:highlight w:val="none"/>
          <w:lang w:bidi="ar"/>
        </w:rPr>
        <w:t xml:space="preserve"> </w:t>
      </w:r>
      <w:r>
        <w:rPr>
          <w:rFonts w:hint="eastAsia" w:ascii="微软雅黑" w:hAnsi="微软雅黑" w:eastAsia="微软雅黑" w:cs="微软雅黑"/>
          <w:color w:val="auto"/>
          <w:spacing w:val="17"/>
          <w:kern w:val="0"/>
          <w:position w:val="-1"/>
          <w:sz w:val="35"/>
          <w:szCs w:val="35"/>
          <w:highlight w:val="none"/>
          <w:lang w:bidi="ar"/>
        </w:rPr>
        <w:t>和隐患内部报告奖励统计</w:t>
      </w:r>
      <w:r>
        <w:rPr>
          <w:rFonts w:hint="eastAsia" w:ascii="微软雅黑" w:hAnsi="微软雅黑" w:eastAsia="微软雅黑" w:cs="微软雅黑"/>
          <w:color w:val="auto"/>
          <w:spacing w:val="16"/>
          <w:kern w:val="0"/>
          <w:position w:val="-1"/>
          <w:sz w:val="35"/>
          <w:szCs w:val="35"/>
          <w:highlight w:val="none"/>
          <w:lang w:bidi="ar"/>
        </w:rPr>
        <w:t>表</w:t>
      </w:r>
    </w:p>
    <w:p w14:paraId="752339D9">
      <w:pPr>
        <w:spacing w:line="319" w:lineRule="auto"/>
        <w:rPr>
          <w:rFonts w:ascii="Arial" w:hAnsi="Calibri"/>
          <w:color w:val="auto"/>
          <w:szCs w:val="21"/>
          <w:highlight w:val="none"/>
        </w:rPr>
      </w:pPr>
      <w:r>
        <w:rPr>
          <w:rFonts w:ascii="Arial" w:hAnsi="Calibri"/>
          <w:color w:val="auto"/>
          <w:kern w:val="0"/>
          <w:szCs w:val="21"/>
          <w:highlight w:val="none"/>
          <w:lang w:bidi="ar"/>
        </w:rPr>
        <w:t xml:space="preserve"> </w:t>
      </w:r>
    </w:p>
    <w:p w14:paraId="5BA86E31">
      <w:pPr>
        <w:pStyle w:val="18"/>
        <w:spacing w:before="78"/>
        <w:ind w:left="515"/>
        <w:rPr>
          <w:rFonts w:ascii="仿宋" w:hAnsi="仿宋" w:eastAsia="仿宋" w:cs="仿宋"/>
          <w:color w:val="auto"/>
          <w:szCs w:val="24"/>
          <w:highlight w:val="none"/>
        </w:rPr>
      </w:pPr>
      <w:r>
        <w:rPr>
          <w:rFonts w:hint="eastAsia" w:ascii="仿宋" w:hAnsi="仿宋" w:eastAsia="仿宋" w:cs="仿宋"/>
          <w:color w:val="auto"/>
          <w:spacing w:val="-13"/>
          <w:kern w:val="0"/>
          <w:szCs w:val="24"/>
          <w:highlight w:val="none"/>
          <w:lang w:bidi="ar"/>
        </w:rPr>
        <w:t>统计期间：</w:t>
      </w:r>
      <w:r>
        <w:rPr>
          <w:rFonts w:hint="eastAsia" w:ascii="仿宋" w:hAnsi="仿宋" w:eastAsia="仿宋" w:cs="仿宋"/>
          <w:color w:val="auto"/>
          <w:spacing w:val="6"/>
          <w:kern w:val="0"/>
          <w:szCs w:val="24"/>
          <w:highlight w:val="none"/>
          <w:lang w:bidi="ar"/>
        </w:rPr>
        <w:t xml:space="preserve">    </w:t>
      </w:r>
      <w:r>
        <w:rPr>
          <w:rFonts w:hint="eastAsia" w:ascii="仿宋" w:hAnsi="仿宋" w:eastAsia="仿宋" w:cs="仿宋"/>
          <w:color w:val="auto"/>
          <w:spacing w:val="-13"/>
          <w:kern w:val="0"/>
          <w:szCs w:val="24"/>
          <w:highlight w:val="none"/>
          <w:lang w:bidi="ar"/>
        </w:rPr>
        <w:t>年</w:t>
      </w:r>
      <w:r>
        <w:rPr>
          <w:rFonts w:hint="eastAsia" w:ascii="仿宋" w:hAnsi="仿宋" w:eastAsia="仿宋" w:cs="仿宋"/>
          <w:color w:val="auto"/>
          <w:spacing w:val="7"/>
          <w:kern w:val="0"/>
          <w:szCs w:val="24"/>
          <w:highlight w:val="none"/>
          <w:lang w:bidi="ar"/>
        </w:rPr>
        <w:t xml:space="preserve">   </w:t>
      </w:r>
      <w:r>
        <w:rPr>
          <w:rFonts w:hint="eastAsia" w:ascii="仿宋" w:hAnsi="仿宋" w:eastAsia="仿宋" w:cs="仿宋"/>
          <w:color w:val="auto"/>
          <w:spacing w:val="-13"/>
          <w:kern w:val="0"/>
          <w:szCs w:val="24"/>
          <w:highlight w:val="none"/>
          <w:lang w:bidi="ar"/>
        </w:rPr>
        <w:t>月</w:t>
      </w:r>
      <w:r>
        <w:rPr>
          <w:rFonts w:hint="eastAsia" w:ascii="仿宋" w:hAnsi="仿宋" w:eastAsia="仿宋" w:cs="仿宋"/>
          <w:color w:val="auto"/>
          <w:spacing w:val="27"/>
          <w:kern w:val="0"/>
          <w:szCs w:val="24"/>
          <w:highlight w:val="none"/>
          <w:lang w:bidi="ar"/>
        </w:rPr>
        <w:t xml:space="preserve">  </w:t>
      </w:r>
      <w:r>
        <w:rPr>
          <w:rFonts w:hint="eastAsia" w:ascii="仿宋" w:hAnsi="仿宋" w:eastAsia="仿宋" w:cs="仿宋"/>
          <w:color w:val="auto"/>
          <w:spacing w:val="-13"/>
          <w:kern w:val="0"/>
          <w:szCs w:val="24"/>
          <w:highlight w:val="none"/>
          <w:lang w:bidi="ar"/>
        </w:rPr>
        <w:t>日至</w:t>
      </w:r>
      <w:r>
        <w:rPr>
          <w:rFonts w:hint="eastAsia" w:ascii="仿宋" w:hAnsi="仿宋" w:eastAsia="仿宋" w:cs="仿宋"/>
          <w:color w:val="auto"/>
          <w:spacing w:val="3"/>
          <w:kern w:val="0"/>
          <w:szCs w:val="24"/>
          <w:highlight w:val="none"/>
          <w:lang w:bidi="ar"/>
        </w:rPr>
        <w:t xml:space="preserve">    </w:t>
      </w:r>
      <w:r>
        <w:rPr>
          <w:rFonts w:hint="eastAsia" w:ascii="仿宋" w:hAnsi="仿宋" w:eastAsia="仿宋" w:cs="仿宋"/>
          <w:color w:val="auto"/>
          <w:spacing w:val="-13"/>
          <w:kern w:val="0"/>
          <w:szCs w:val="24"/>
          <w:highlight w:val="none"/>
          <w:lang w:bidi="ar"/>
        </w:rPr>
        <w:t>年</w:t>
      </w:r>
      <w:r>
        <w:rPr>
          <w:rFonts w:hint="eastAsia" w:ascii="仿宋" w:hAnsi="仿宋" w:eastAsia="仿宋" w:cs="仿宋"/>
          <w:color w:val="auto"/>
          <w:spacing w:val="11"/>
          <w:kern w:val="0"/>
          <w:szCs w:val="24"/>
          <w:highlight w:val="none"/>
          <w:lang w:bidi="ar"/>
        </w:rPr>
        <w:t xml:space="preserve">  </w:t>
      </w:r>
      <w:r>
        <w:rPr>
          <w:rFonts w:hint="eastAsia" w:ascii="仿宋" w:hAnsi="仿宋" w:eastAsia="仿宋" w:cs="仿宋"/>
          <w:color w:val="auto"/>
          <w:spacing w:val="-13"/>
          <w:kern w:val="0"/>
          <w:szCs w:val="24"/>
          <w:highlight w:val="none"/>
          <w:lang w:bidi="ar"/>
        </w:rPr>
        <w:t>月</w:t>
      </w:r>
      <w:r>
        <w:rPr>
          <w:rFonts w:hint="eastAsia" w:ascii="仿宋" w:hAnsi="仿宋" w:eastAsia="仿宋" w:cs="仿宋"/>
          <w:color w:val="auto"/>
          <w:spacing w:val="27"/>
          <w:kern w:val="0"/>
          <w:szCs w:val="24"/>
          <w:highlight w:val="none"/>
          <w:lang w:bidi="ar"/>
        </w:rPr>
        <w:t xml:space="preserve">  </w:t>
      </w:r>
      <w:r>
        <w:rPr>
          <w:rFonts w:hint="eastAsia" w:ascii="仿宋" w:hAnsi="仿宋" w:eastAsia="仿宋" w:cs="仿宋"/>
          <w:color w:val="auto"/>
          <w:spacing w:val="-13"/>
          <w:kern w:val="0"/>
          <w:szCs w:val="24"/>
          <w:highlight w:val="none"/>
          <w:lang w:bidi="ar"/>
        </w:rPr>
        <w:t>日</w:t>
      </w:r>
    </w:p>
    <w:p w14:paraId="3FB0E63B">
      <w:pPr>
        <w:spacing w:line="33" w:lineRule="exact"/>
        <w:rPr>
          <w:rFonts w:ascii="Calibri" w:hAnsi="Calibri"/>
          <w:color w:val="auto"/>
          <w:szCs w:val="21"/>
          <w:highlight w:val="none"/>
        </w:rPr>
      </w:pPr>
      <w:r>
        <w:rPr>
          <w:rFonts w:ascii="Calibri" w:hAnsi="Calibri"/>
          <w:color w:val="auto"/>
          <w:kern w:val="0"/>
          <w:szCs w:val="21"/>
          <w:highlight w:val="none"/>
          <w:lang w:bidi="ar"/>
        </w:rPr>
        <w:t xml:space="preserve"> </w:t>
      </w:r>
    </w:p>
    <w:tbl>
      <w:tblPr>
        <w:tblStyle w:val="68"/>
        <w:tblW w:w="13124" w:type="dxa"/>
        <w:tblInd w:w="1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4"/>
        <w:gridCol w:w="1929"/>
        <w:gridCol w:w="960"/>
        <w:gridCol w:w="960"/>
        <w:gridCol w:w="1239"/>
        <w:gridCol w:w="1239"/>
        <w:gridCol w:w="1029"/>
        <w:gridCol w:w="960"/>
        <w:gridCol w:w="960"/>
        <w:gridCol w:w="960"/>
        <w:gridCol w:w="960"/>
        <w:gridCol w:w="964"/>
      </w:tblGrid>
      <w:tr w14:paraId="49BD1E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9" w:hRule="atLeast"/>
        </w:trPr>
        <w:tc>
          <w:tcPr>
            <w:tcW w:w="964" w:type="dxa"/>
            <w:vMerge w:val="restart"/>
            <w:tcBorders>
              <w:top w:val="single" w:color="000000" w:sz="2" w:space="0"/>
              <w:left w:val="single" w:color="000000" w:sz="2" w:space="0"/>
              <w:bottom w:val="nil"/>
              <w:right w:val="single" w:color="000000" w:sz="2" w:space="0"/>
            </w:tcBorders>
            <w:shd w:val="clear" w:color="auto" w:fill="auto"/>
          </w:tcPr>
          <w:p w14:paraId="7BFA57AF">
            <w:pPr>
              <w:spacing w:line="302" w:lineRule="auto"/>
              <w:rPr>
                <w:rFonts w:ascii="Arial" w:hAnsi="Calibri"/>
                <w:color w:val="auto"/>
                <w:szCs w:val="21"/>
                <w:highlight w:val="none"/>
              </w:rPr>
            </w:pPr>
          </w:p>
          <w:p w14:paraId="58554A51">
            <w:pPr>
              <w:spacing w:line="302" w:lineRule="auto"/>
              <w:rPr>
                <w:rFonts w:ascii="Arial" w:hAnsi="Calibri"/>
                <w:color w:val="auto"/>
                <w:szCs w:val="21"/>
                <w:highlight w:val="none"/>
              </w:rPr>
            </w:pPr>
          </w:p>
          <w:p w14:paraId="743E7BBB">
            <w:pPr>
              <w:pStyle w:val="18"/>
              <w:spacing w:before="78"/>
              <w:ind w:left="113" w:right="106" w:firstLine="5"/>
              <w:rPr>
                <w:rFonts w:ascii="仿宋" w:hAnsi="仿宋" w:eastAsia="仿宋" w:cs="仿宋"/>
                <w:color w:val="auto"/>
                <w:szCs w:val="24"/>
                <w:highlight w:val="none"/>
              </w:rPr>
            </w:pPr>
            <w:r>
              <w:rPr>
                <w:rFonts w:hint="eastAsia" w:ascii="仿宋" w:hAnsi="仿宋" w:eastAsia="仿宋" w:cs="仿宋"/>
                <w:color w:val="auto"/>
                <w:spacing w:val="4"/>
                <w:kern w:val="0"/>
                <w:szCs w:val="24"/>
                <w:highlight w:val="none"/>
                <w:lang w:bidi="ar"/>
              </w:rPr>
              <w:t>承包商</w:t>
            </w:r>
            <w:r>
              <w:rPr>
                <w:rFonts w:hint="eastAsia" w:ascii="仿宋" w:hAnsi="仿宋" w:eastAsia="仿宋" w:cs="仿宋"/>
                <w:color w:val="auto"/>
                <w:spacing w:val="-3"/>
                <w:kern w:val="0"/>
                <w:szCs w:val="24"/>
                <w:highlight w:val="none"/>
                <w:lang w:bidi="ar"/>
              </w:rPr>
              <w:t>名称</w:t>
            </w:r>
          </w:p>
        </w:tc>
        <w:tc>
          <w:tcPr>
            <w:tcW w:w="1929" w:type="dxa"/>
            <w:vMerge w:val="restart"/>
            <w:tcBorders>
              <w:top w:val="single" w:color="000000" w:sz="2" w:space="0"/>
              <w:left w:val="single" w:color="000000" w:sz="2" w:space="0"/>
              <w:bottom w:val="nil"/>
              <w:right w:val="single" w:color="000000" w:sz="2" w:space="0"/>
            </w:tcBorders>
            <w:shd w:val="clear" w:color="auto" w:fill="auto"/>
          </w:tcPr>
          <w:p w14:paraId="496622A4">
            <w:pPr>
              <w:spacing w:line="295" w:lineRule="auto"/>
              <w:rPr>
                <w:rFonts w:ascii="Arial" w:hAnsi="Calibri"/>
                <w:color w:val="auto"/>
                <w:szCs w:val="21"/>
                <w:highlight w:val="none"/>
              </w:rPr>
            </w:pPr>
          </w:p>
          <w:p w14:paraId="609C8BBD">
            <w:pPr>
              <w:pStyle w:val="18"/>
              <w:spacing w:before="78"/>
              <w:ind w:left="126"/>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是否建立安全生</w:t>
            </w:r>
          </w:p>
          <w:p w14:paraId="3F507D8F">
            <w:pPr>
              <w:pStyle w:val="18"/>
              <w:spacing w:before="28"/>
              <w:ind w:left="130"/>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产</w:t>
            </w:r>
            <w:r>
              <w:rPr>
                <w:rFonts w:hint="eastAsia" w:ascii="仿宋" w:hAnsi="仿宋" w:eastAsia="仿宋" w:cs="仿宋"/>
                <w:color w:val="auto"/>
                <w:spacing w:val="-82"/>
                <w:kern w:val="0"/>
                <w:szCs w:val="24"/>
                <w:highlight w:val="none"/>
                <w:lang w:bidi="ar"/>
              </w:rPr>
              <w:t xml:space="preserve"> </w:t>
            </w:r>
            <w:r>
              <w:rPr>
                <w:rFonts w:hint="eastAsia" w:ascii="仿宋" w:hAnsi="仿宋" w:eastAsia="仿宋" w:cs="仿宋"/>
                <w:color w:val="auto"/>
                <w:spacing w:val="-7"/>
                <w:kern w:val="0"/>
                <w:szCs w:val="24"/>
                <w:highlight w:val="none"/>
                <w:lang w:bidi="ar"/>
              </w:rPr>
              <w:t>“吹哨人”或</w:t>
            </w:r>
          </w:p>
          <w:p w14:paraId="1D558F47">
            <w:pPr>
              <w:pStyle w:val="18"/>
              <w:spacing w:before="29"/>
              <w:ind w:left="149"/>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隐患内部报告奖</w:t>
            </w:r>
          </w:p>
          <w:p w14:paraId="7383D433">
            <w:pPr>
              <w:pStyle w:val="18"/>
              <w:spacing w:before="30"/>
              <w:ind w:left="608"/>
              <w:rPr>
                <w:rFonts w:ascii="仿宋" w:hAnsi="仿宋" w:eastAsia="仿宋" w:cs="仿宋"/>
                <w:color w:val="auto"/>
                <w:szCs w:val="24"/>
                <w:highlight w:val="none"/>
              </w:rPr>
            </w:pPr>
            <w:r>
              <w:rPr>
                <w:rFonts w:hint="eastAsia" w:ascii="仿宋" w:hAnsi="仿宋" w:eastAsia="仿宋" w:cs="仿宋"/>
                <w:color w:val="auto"/>
                <w:spacing w:val="-3"/>
                <w:kern w:val="0"/>
                <w:szCs w:val="24"/>
                <w:highlight w:val="none"/>
                <w:lang w:bidi="ar"/>
              </w:rPr>
              <w:t>励制度</w:t>
            </w:r>
          </w:p>
        </w:tc>
        <w:tc>
          <w:tcPr>
            <w:tcW w:w="960" w:type="dxa"/>
            <w:vMerge w:val="restart"/>
            <w:tcBorders>
              <w:top w:val="single" w:color="000000" w:sz="2" w:space="0"/>
              <w:left w:val="single" w:color="000000" w:sz="2" w:space="0"/>
              <w:bottom w:val="nil"/>
              <w:right w:val="single" w:color="000000" w:sz="2" w:space="0"/>
            </w:tcBorders>
            <w:shd w:val="clear" w:color="auto" w:fill="auto"/>
          </w:tcPr>
          <w:p w14:paraId="1403B6D9">
            <w:pPr>
              <w:spacing w:line="302" w:lineRule="auto"/>
              <w:rPr>
                <w:rFonts w:ascii="Arial" w:hAnsi="Calibri"/>
                <w:color w:val="auto"/>
                <w:szCs w:val="21"/>
                <w:highlight w:val="none"/>
              </w:rPr>
            </w:pPr>
          </w:p>
          <w:p w14:paraId="41A34D7B">
            <w:pPr>
              <w:spacing w:line="302" w:lineRule="auto"/>
              <w:rPr>
                <w:rFonts w:ascii="Arial" w:hAnsi="Calibri"/>
                <w:color w:val="auto"/>
                <w:szCs w:val="21"/>
                <w:highlight w:val="none"/>
              </w:rPr>
            </w:pPr>
          </w:p>
          <w:p w14:paraId="6B81FDA5">
            <w:pPr>
              <w:pStyle w:val="18"/>
              <w:spacing w:before="78"/>
              <w:ind w:left="368" w:right="118" w:hanging="235"/>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制度名</w:t>
            </w:r>
            <w:r>
              <w:rPr>
                <w:rFonts w:hint="eastAsia" w:ascii="仿宋" w:hAnsi="仿宋" w:eastAsia="仿宋" w:cs="仿宋"/>
                <w:color w:val="auto"/>
                <w:kern w:val="0"/>
                <w:szCs w:val="24"/>
                <w:highlight w:val="none"/>
                <w:lang w:bidi="ar"/>
              </w:rPr>
              <w:t>称</w:t>
            </w:r>
          </w:p>
        </w:tc>
        <w:tc>
          <w:tcPr>
            <w:tcW w:w="960" w:type="dxa"/>
            <w:vMerge w:val="restart"/>
            <w:tcBorders>
              <w:top w:val="single" w:color="000000" w:sz="2" w:space="0"/>
              <w:left w:val="single" w:color="000000" w:sz="2" w:space="0"/>
              <w:bottom w:val="nil"/>
              <w:right w:val="single" w:color="000000" w:sz="2" w:space="0"/>
            </w:tcBorders>
            <w:shd w:val="clear" w:color="auto" w:fill="auto"/>
          </w:tcPr>
          <w:p w14:paraId="78CDB53F">
            <w:pPr>
              <w:spacing w:line="451" w:lineRule="auto"/>
              <w:rPr>
                <w:rFonts w:ascii="Arial" w:hAnsi="Calibri"/>
                <w:color w:val="auto"/>
                <w:szCs w:val="21"/>
                <w:highlight w:val="none"/>
              </w:rPr>
            </w:pPr>
          </w:p>
          <w:p w14:paraId="11A1E1E4">
            <w:pPr>
              <w:pStyle w:val="18"/>
              <w:spacing w:before="78"/>
              <w:ind w:left="144"/>
              <w:rPr>
                <w:rFonts w:ascii="仿宋" w:hAnsi="仿宋" w:eastAsia="仿宋" w:cs="仿宋"/>
                <w:color w:val="auto"/>
                <w:szCs w:val="24"/>
                <w:highlight w:val="none"/>
              </w:rPr>
            </w:pPr>
            <w:r>
              <w:rPr>
                <w:rFonts w:hint="eastAsia" w:ascii="仿宋" w:hAnsi="仿宋" w:eastAsia="仿宋" w:cs="仿宋"/>
                <w:color w:val="auto"/>
                <w:spacing w:val="-10"/>
                <w:kern w:val="0"/>
                <w:szCs w:val="24"/>
                <w:highlight w:val="none"/>
                <w:lang w:bidi="ar"/>
              </w:rPr>
              <w:t>隐患是</w:t>
            </w:r>
          </w:p>
          <w:p w14:paraId="5103B069">
            <w:pPr>
              <w:pStyle w:val="18"/>
              <w:spacing w:before="27"/>
              <w:ind w:left="135"/>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否分级</w:t>
            </w:r>
          </w:p>
          <w:p w14:paraId="1E59CBAD">
            <w:pPr>
              <w:pStyle w:val="18"/>
              <w:spacing w:before="28"/>
              <w:ind w:left="261"/>
              <w:rPr>
                <w:rFonts w:ascii="仿宋" w:hAnsi="仿宋" w:eastAsia="仿宋" w:cs="仿宋"/>
                <w:color w:val="auto"/>
                <w:szCs w:val="24"/>
                <w:highlight w:val="none"/>
              </w:rPr>
            </w:pPr>
            <w:r>
              <w:rPr>
                <w:rFonts w:hint="eastAsia" w:ascii="仿宋" w:hAnsi="仿宋" w:eastAsia="仿宋" w:cs="仿宋"/>
                <w:color w:val="auto"/>
                <w:spacing w:val="-13"/>
                <w:kern w:val="0"/>
                <w:szCs w:val="24"/>
                <w:highlight w:val="none"/>
                <w:lang w:bidi="ar"/>
              </w:rPr>
              <w:t>奖励</w:t>
            </w:r>
          </w:p>
        </w:tc>
        <w:tc>
          <w:tcPr>
            <w:tcW w:w="3507" w:type="dxa"/>
            <w:gridSpan w:val="3"/>
            <w:tcBorders>
              <w:top w:val="single" w:color="000000" w:sz="2" w:space="0"/>
              <w:left w:val="single" w:color="000000" w:sz="2" w:space="0"/>
              <w:bottom w:val="single" w:color="000000" w:sz="2" w:space="0"/>
              <w:right w:val="single" w:color="000000" w:sz="2" w:space="0"/>
            </w:tcBorders>
            <w:shd w:val="clear" w:color="auto" w:fill="auto"/>
          </w:tcPr>
          <w:p w14:paraId="3F3DAB2F">
            <w:pPr>
              <w:pStyle w:val="18"/>
              <w:spacing w:before="315"/>
              <w:ind w:left="1295"/>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一般隐患</w:t>
            </w:r>
          </w:p>
        </w:tc>
        <w:tc>
          <w:tcPr>
            <w:tcW w:w="2880" w:type="dxa"/>
            <w:gridSpan w:val="3"/>
            <w:tcBorders>
              <w:top w:val="single" w:color="000000" w:sz="2" w:space="0"/>
              <w:left w:val="single" w:color="000000" w:sz="2" w:space="0"/>
              <w:bottom w:val="single" w:color="000000" w:sz="2" w:space="0"/>
              <w:right w:val="single" w:color="000000" w:sz="2" w:space="0"/>
            </w:tcBorders>
            <w:shd w:val="clear" w:color="auto" w:fill="auto"/>
          </w:tcPr>
          <w:p w14:paraId="7A259111">
            <w:pPr>
              <w:pStyle w:val="18"/>
              <w:spacing w:before="315"/>
              <w:ind w:left="978"/>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重大隐患</w:t>
            </w:r>
          </w:p>
        </w:tc>
        <w:tc>
          <w:tcPr>
            <w:tcW w:w="960" w:type="dxa"/>
            <w:vMerge w:val="restart"/>
            <w:tcBorders>
              <w:top w:val="single" w:color="000000" w:sz="2" w:space="0"/>
              <w:left w:val="single" w:color="000000" w:sz="2" w:space="0"/>
              <w:bottom w:val="nil"/>
              <w:right w:val="single" w:color="000000" w:sz="2" w:space="0"/>
            </w:tcBorders>
            <w:shd w:val="clear" w:color="auto" w:fill="auto"/>
          </w:tcPr>
          <w:p w14:paraId="3B573312">
            <w:pPr>
              <w:spacing w:line="302" w:lineRule="auto"/>
              <w:rPr>
                <w:rFonts w:ascii="Arial" w:hAnsi="Calibri"/>
                <w:color w:val="auto"/>
                <w:szCs w:val="21"/>
                <w:highlight w:val="none"/>
              </w:rPr>
            </w:pPr>
          </w:p>
          <w:p w14:paraId="243F4A19">
            <w:pPr>
              <w:spacing w:line="302" w:lineRule="auto"/>
              <w:rPr>
                <w:rFonts w:ascii="Arial" w:hAnsi="Calibri"/>
                <w:color w:val="auto"/>
                <w:szCs w:val="21"/>
                <w:highlight w:val="none"/>
              </w:rPr>
            </w:pPr>
          </w:p>
          <w:p w14:paraId="676469CF">
            <w:pPr>
              <w:pStyle w:val="18"/>
              <w:spacing w:before="78"/>
              <w:ind w:left="127" w:right="116" w:firstLine="15"/>
              <w:rPr>
                <w:rFonts w:ascii="仿宋" w:hAnsi="仿宋" w:eastAsia="仿宋" w:cs="仿宋"/>
                <w:color w:val="auto"/>
                <w:szCs w:val="24"/>
                <w:highlight w:val="none"/>
              </w:rPr>
            </w:pPr>
            <w:r>
              <w:rPr>
                <w:rFonts w:hint="eastAsia" w:ascii="仿宋" w:hAnsi="仿宋" w:eastAsia="仿宋" w:cs="仿宋"/>
                <w:color w:val="auto"/>
                <w:spacing w:val="-9"/>
                <w:kern w:val="0"/>
                <w:szCs w:val="24"/>
                <w:highlight w:val="none"/>
                <w:lang w:bidi="ar"/>
              </w:rPr>
              <w:t>奖励费</w:t>
            </w:r>
            <w:r>
              <w:rPr>
                <w:rFonts w:hint="eastAsia" w:ascii="仿宋" w:hAnsi="仿宋" w:eastAsia="仿宋" w:cs="仿宋"/>
                <w:color w:val="auto"/>
                <w:spacing w:val="-4"/>
                <w:kern w:val="0"/>
                <w:szCs w:val="24"/>
                <w:highlight w:val="none"/>
                <w:lang w:bidi="ar"/>
              </w:rPr>
              <w:t>用出处</w:t>
            </w:r>
          </w:p>
        </w:tc>
        <w:tc>
          <w:tcPr>
            <w:tcW w:w="964" w:type="dxa"/>
            <w:vMerge w:val="restart"/>
            <w:tcBorders>
              <w:top w:val="single" w:color="000000" w:sz="2" w:space="0"/>
              <w:left w:val="single" w:color="000000" w:sz="2" w:space="0"/>
              <w:bottom w:val="nil"/>
              <w:right w:val="single" w:color="000000" w:sz="2" w:space="0"/>
            </w:tcBorders>
            <w:shd w:val="clear" w:color="auto" w:fill="auto"/>
          </w:tcPr>
          <w:p w14:paraId="17532A1C">
            <w:pPr>
              <w:spacing w:line="252" w:lineRule="auto"/>
              <w:rPr>
                <w:rFonts w:ascii="Arial" w:hAnsi="Calibri"/>
                <w:color w:val="auto"/>
                <w:szCs w:val="21"/>
                <w:highlight w:val="none"/>
              </w:rPr>
            </w:pPr>
          </w:p>
          <w:p w14:paraId="616E6EDD">
            <w:pPr>
              <w:spacing w:line="252" w:lineRule="auto"/>
              <w:rPr>
                <w:rFonts w:ascii="Arial" w:hAnsi="Calibri"/>
                <w:color w:val="auto"/>
                <w:szCs w:val="21"/>
                <w:highlight w:val="none"/>
              </w:rPr>
            </w:pPr>
          </w:p>
          <w:p w14:paraId="3BB596F9">
            <w:pPr>
              <w:spacing w:line="254" w:lineRule="auto"/>
              <w:rPr>
                <w:rFonts w:ascii="Arial" w:hAnsi="Calibri"/>
                <w:color w:val="auto"/>
                <w:szCs w:val="21"/>
                <w:highlight w:val="none"/>
              </w:rPr>
            </w:pPr>
          </w:p>
          <w:p w14:paraId="79087691">
            <w:pPr>
              <w:pStyle w:val="18"/>
              <w:spacing w:before="78"/>
              <w:ind w:left="250"/>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备注</w:t>
            </w:r>
          </w:p>
        </w:tc>
      </w:tr>
      <w:tr w14:paraId="1DA195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4" w:hRule="atLeast"/>
        </w:trPr>
        <w:tc>
          <w:tcPr>
            <w:tcW w:w="964" w:type="dxa"/>
            <w:vMerge w:val="continue"/>
            <w:tcBorders>
              <w:top w:val="single" w:color="000000" w:sz="2" w:space="0"/>
              <w:left w:val="single" w:color="000000" w:sz="2" w:space="0"/>
              <w:bottom w:val="nil"/>
              <w:right w:val="single" w:color="000000" w:sz="2" w:space="0"/>
            </w:tcBorders>
            <w:shd w:val="clear" w:color="auto" w:fill="auto"/>
          </w:tcPr>
          <w:p w14:paraId="1A4C54AB">
            <w:pPr>
              <w:rPr>
                <w:color w:val="auto"/>
                <w:sz w:val="20"/>
                <w:szCs w:val="20"/>
                <w:highlight w:val="none"/>
              </w:rPr>
            </w:pPr>
          </w:p>
        </w:tc>
        <w:tc>
          <w:tcPr>
            <w:tcW w:w="1929" w:type="dxa"/>
            <w:vMerge w:val="continue"/>
            <w:tcBorders>
              <w:top w:val="single" w:color="000000" w:sz="2" w:space="0"/>
              <w:left w:val="single" w:color="000000" w:sz="2" w:space="0"/>
              <w:bottom w:val="nil"/>
              <w:right w:val="single" w:color="000000" w:sz="2" w:space="0"/>
            </w:tcBorders>
            <w:shd w:val="clear" w:color="auto" w:fill="auto"/>
          </w:tcPr>
          <w:p w14:paraId="575B5367">
            <w:pPr>
              <w:rPr>
                <w:color w:val="auto"/>
                <w:sz w:val="20"/>
                <w:szCs w:val="20"/>
                <w:highlight w:val="none"/>
              </w:rPr>
            </w:pPr>
          </w:p>
        </w:tc>
        <w:tc>
          <w:tcPr>
            <w:tcW w:w="960" w:type="dxa"/>
            <w:vMerge w:val="continue"/>
            <w:tcBorders>
              <w:top w:val="single" w:color="000000" w:sz="2" w:space="0"/>
              <w:left w:val="single" w:color="000000" w:sz="2" w:space="0"/>
              <w:bottom w:val="nil"/>
              <w:right w:val="single" w:color="000000" w:sz="2" w:space="0"/>
            </w:tcBorders>
            <w:shd w:val="clear" w:color="auto" w:fill="auto"/>
          </w:tcPr>
          <w:p w14:paraId="334CF60C">
            <w:pPr>
              <w:rPr>
                <w:color w:val="auto"/>
                <w:sz w:val="20"/>
                <w:szCs w:val="20"/>
                <w:highlight w:val="none"/>
              </w:rPr>
            </w:pPr>
          </w:p>
        </w:tc>
        <w:tc>
          <w:tcPr>
            <w:tcW w:w="960" w:type="dxa"/>
            <w:vMerge w:val="continue"/>
            <w:tcBorders>
              <w:top w:val="single" w:color="000000" w:sz="2" w:space="0"/>
              <w:left w:val="single" w:color="000000" w:sz="2" w:space="0"/>
              <w:bottom w:val="nil"/>
              <w:right w:val="single" w:color="000000" w:sz="2" w:space="0"/>
            </w:tcBorders>
            <w:shd w:val="clear" w:color="auto" w:fill="auto"/>
          </w:tcPr>
          <w:p w14:paraId="648404EC">
            <w:pPr>
              <w:rPr>
                <w:color w:val="auto"/>
                <w:sz w:val="20"/>
                <w:szCs w:val="20"/>
                <w:highlight w:val="none"/>
              </w:rPr>
            </w:pPr>
          </w:p>
        </w:tc>
        <w:tc>
          <w:tcPr>
            <w:tcW w:w="1239" w:type="dxa"/>
            <w:tcBorders>
              <w:top w:val="single" w:color="000000" w:sz="2" w:space="0"/>
              <w:left w:val="single" w:color="000000" w:sz="2" w:space="0"/>
              <w:bottom w:val="single" w:color="000000" w:sz="2" w:space="0"/>
              <w:right w:val="single" w:color="000000" w:sz="2" w:space="0"/>
            </w:tcBorders>
            <w:shd w:val="clear" w:color="auto" w:fill="auto"/>
          </w:tcPr>
          <w:p w14:paraId="3381BA1C">
            <w:pPr>
              <w:pStyle w:val="18"/>
              <w:spacing w:before="251" w:line="242" w:lineRule="auto"/>
              <w:ind w:left="260" w:right="138" w:hanging="100"/>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奖励标准</w:t>
            </w:r>
            <w:r>
              <w:rPr>
                <w:rFonts w:hint="eastAsia" w:ascii="仿宋" w:hAnsi="仿宋" w:eastAsia="仿宋" w:cs="仿宋"/>
                <w:color w:val="auto"/>
                <w:spacing w:val="-8"/>
                <w:kern w:val="0"/>
                <w:szCs w:val="24"/>
                <w:highlight w:val="none"/>
                <w:lang w:bidi="ar"/>
              </w:rPr>
              <w:t>（</w:t>
            </w:r>
            <w:r>
              <w:rPr>
                <w:rFonts w:hint="eastAsia" w:ascii="仿宋" w:hAnsi="仿宋" w:eastAsia="仿宋" w:cs="仿宋"/>
                <w:color w:val="auto"/>
                <w:spacing w:val="-71"/>
                <w:kern w:val="0"/>
                <w:szCs w:val="24"/>
                <w:highlight w:val="none"/>
                <w:lang w:bidi="ar"/>
              </w:rPr>
              <w:t xml:space="preserve"> </w:t>
            </w:r>
            <w:r>
              <w:rPr>
                <w:rFonts w:hint="eastAsia" w:ascii="仿宋" w:hAnsi="仿宋" w:eastAsia="仿宋" w:cs="仿宋"/>
                <w:color w:val="auto"/>
                <w:spacing w:val="-8"/>
                <w:kern w:val="0"/>
                <w:szCs w:val="24"/>
                <w:highlight w:val="none"/>
                <w:lang w:bidi="ar"/>
              </w:rPr>
              <w:t>元）</w:t>
            </w:r>
          </w:p>
        </w:tc>
        <w:tc>
          <w:tcPr>
            <w:tcW w:w="1239" w:type="dxa"/>
            <w:tcBorders>
              <w:top w:val="single" w:color="000000" w:sz="2" w:space="0"/>
              <w:left w:val="single" w:color="000000" w:sz="2" w:space="0"/>
              <w:bottom w:val="single" w:color="000000" w:sz="2" w:space="0"/>
              <w:right w:val="single" w:color="000000" w:sz="2" w:space="0"/>
            </w:tcBorders>
            <w:shd w:val="clear" w:color="auto" w:fill="auto"/>
          </w:tcPr>
          <w:p w14:paraId="7F378D1B">
            <w:pPr>
              <w:pStyle w:val="18"/>
              <w:spacing w:before="253"/>
              <w:ind w:left="262" w:right="136" w:hanging="100"/>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奖励数量</w:t>
            </w:r>
            <w:r>
              <w:rPr>
                <w:rFonts w:hint="eastAsia" w:ascii="仿宋" w:hAnsi="仿宋" w:eastAsia="仿宋" w:cs="仿宋"/>
                <w:color w:val="auto"/>
                <w:spacing w:val="8"/>
                <w:kern w:val="0"/>
                <w:szCs w:val="24"/>
                <w:highlight w:val="none"/>
                <w:lang w:bidi="ar"/>
              </w:rPr>
              <w:t>（项）</w:t>
            </w:r>
          </w:p>
        </w:tc>
        <w:tc>
          <w:tcPr>
            <w:tcW w:w="1029" w:type="dxa"/>
            <w:tcBorders>
              <w:top w:val="single" w:color="000000" w:sz="2" w:space="0"/>
              <w:left w:val="single" w:color="000000" w:sz="2" w:space="0"/>
              <w:bottom w:val="single" w:color="000000" w:sz="2" w:space="0"/>
              <w:right w:val="single" w:color="000000" w:sz="2" w:space="0"/>
            </w:tcBorders>
            <w:shd w:val="clear" w:color="auto" w:fill="auto"/>
          </w:tcPr>
          <w:p w14:paraId="5F94C066">
            <w:pPr>
              <w:pStyle w:val="18"/>
              <w:spacing w:before="252"/>
              <w:ind w:left="121" w:firstLine="56"/>
              <w:rPr>
                <w:rFonts w:ascii="仿宋" w:hAnsi="仿宋" w:eastAsia="仿宋" w:cs="仿宋"/>
                <w:color w:val="auto"/>
                <w:szCs w:val="24"/>
                <w:highlight w:val="none"/>
              </w:rPr>
            </w:pPr>
            <w:r>
              <w:rPr>
                <w:rFonts w:hint="eastAsia" w:ascii="仿宋" w:hAnsi="仿宋" w:eastAsia="仿宋" w:cs="仿宋"/>
                <w:color w:val="auto"/>
                <w:spacing w:val="-11"/>
                <w:kern w:val="0"/>
                <w:szCs w:val="24"/>
                <w:highlight w:val="none"/>
                <w:lang w:bidi="ar"/>
              </w:rPr>
              <w:t>奖励金</w:t>
            </w:r>
            <w:r>
              <w:rPr>
                <w:rFonts w:hint="eastAsia" w:ascii="仿宋" w:hAnsi="仿宋" w:eastAsia="仿宋" w:cs="仿宋"/>
                <w:color w:val="auto"/>
                <w:spacing w:val="-27"/>
                <w:kern w:val="0"/>
                <w:szCs w:val="24"/>
                <w:highlight w:val="none"/>
                <w:lang w:bidi="ar"/>
              </w:rPr>
              <w:t>额（</w:t>
            </w:r>
            <w:r>
              <w:rPr>
                <w:rFonts w:hint="eastAsia" w:ascii="仿宋" w:hAnsi="仿宋" w:eastAsia="仿宋" w:cs="仿宋"/>
                <w:color w:val="auto"/>
                <w:spacing w:val="-71"/>
                <w:kern w:val="0"/>
                <w:szCs w:val="24"/>
                <w:highlight w:val="none"/>
                <w:lang w:bidi="ar"/>
              </w:rPr>
              <w:t xml:space="preserve"> </w:t>
            </w:r>
            <w:r>
              <w:rPr>
                <w:rFonts w:hint="eastAsia" w:ascii="仿宋" w:hAnsi="仿宋" w:eastAsia="仿宋" w:cs="仿宋"/>
                <w:color w:val="auto"/>
                <w:spacing w:val="-27"/>
                <w:kern w:val="0"/>
                <w:szCs w:val="24"/>
                <w:highlight w:val="none"/>
                <w:lang w:bidi="ar"/>
              </w:rPr>
              <w:t>元）</w:t>
            </w: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516AAC74">
            <w:pPr>
              <w:pStyle w:val="18"/>
              <w:spacing w:before="253"/>
              <w:ind w:left="120" w:firstLine="22"/>
              <w:rPr>
                <w:rFonts w:ascii="仿宋" w:hAnsi="仿宋" w:eastAsia="仿宋" w:cs="仿宋"/>
                <w:color w:val="auto"/>
                <w:szCs w:val="24"/>
                <w:highlight w:val="none"/>
              </w:rPr>
            </w:pPr>
            <w:r>
              <w:rPr>
                <w:rFonts w:hint="eastAsia" w:ascii="仿宋" w:hAnsi="仿宋" w:eastAsia="仿宋" w:cs="仿宋"/>
                <w:color w:val="auto"/>
                <w:spacing w:val="-12"/>
                <w:kern w:val="0"/>
                <w:szCs w:val="24"/>
                <w:highlight w:val="none"/>
                <w:lang w:bidi="ar"/>
              </w:rPr>
              <w:t>奖励标</w:t>
            </w:r>
            <w:r>
              <w:rPr>
                <w:rFonts w:hint="eastAsia" w:ascii="仿宋" w:hAnsi="仿宋" w:eastAsia="仿宋" w:cs="仿宋"/>
                <w:color w:val="auto"/>
                <w:spacing w:val="-44"/>
                <w:kern w:val="0"/>
                <w:szCs w:val="24"/>
                <w:highlight w:val="none"/>
                <w:lang w:bidi="ar"/>
              </w:rPr>
              <w:t>准（</w:t>
            </w:r>
            <w:r>
              <w:rPr>
                <w:rFonts w:hint="eastAsia" w:ascii="仿宋" w:hAnsi="仿宋" w:eastAsia="仿宋" w:cs="仿宋"/>
                <w:color w:val="auto"/>
                <w:spacing w:val="-71"/>
                <w:kern w:val="0"/>
                <w:szCs w:val="24"/>
                <w:highlight w:val="none"/>
                <w:lang w:bidi="ar"/>
              </w:rPr>
              <w:t xml:space="preserve"> </w:t>
            </w:r>
            <w:r>
              <w:rPr>
                <w:rFonts w:hint="eastAsia" w:ascii="仿宋" w:hAnsi="仿宋" w:eastAsia="仿宋" w:cs="仿宋"/>
                <w:color w:val="auto"/>
                <w:spacing w:val="-44"/>
                <w:kern w:val="0"/>
                <w:szCs w:val="24"/>
                <w:highlight w:val="none"/>
                <w:lang w:bidi="ar"/>
              </w:rPr>
              <w:t>元）</w:t>
            </w: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47AE4FFE">
            <w:pPr>
              <w:pStyle w:val="18"/>
              <w:spacing w:before="253"/>
              <w:ind w:left="121" w:firstLine="21"/>
              <w:rPr>
                <w:rFonts w:ascii="仿宋" w:hAnsi="仿宋" w:eastAsia="仿宋" w:cs="仿宋"/>
                <w:color w:val="auto"/>
                <w:szCs w:val="24"/>
                <w:highlight w:val="none"/>
              </w:rPr>
            </w:pPr>
            <w:r>
              <w:rPr>
                <w:rFonts w:hint="eastAsia" w:ascii="仿宋" w:hAnsi="仿宋" w:eastAsia="仿宋" w:cs="仿宋"/>
                <w:color w:val="auto"/>
                <w:spacing w:val="-12"/>
                <w:kern w:val="0"/>
                <w:szCs w:val="24"/>
                <w:highlight w:val="none"/>
                <w:lang w:bidi="ar"/>
              </w:rPr>
              <w:t>奖励数</w:t>
            </w:r>
            <w:r>
              <w:rPr>
                <w:rFonts w:hint="eastAsia" w:ascii="仿宋" w:hAnsi="仿宋" w:eastAsia="仿宋" w:cs="仿宋"/>
                <w:color w:val="auto"/>
                <w:spacing w:val="-32"/>
                <w:kern w:val="0"/>
                <w:szCs w:val="24"/>
                <w:highlight w:val="none"/>
                <w:lang w:bidi="ar"/>
              </w:rPr>
              <w:t>量（项）</w:t>
            </w: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230CF4A4">
            <w:pPr>
              <w:pStyle w:val="18"/>
              <w:spacing w:before="252"/>
              <w:ind w:left="121" w:firstLine="21"/>
              <w:rPr>
                <w:rFonts w:ascii="仿宋" w:hAnsi="仿宋" w:eastAsia="仿宋" w:cs="仿宋"/>
                <w:color w:val="auto"/>
                <w:szCs w:val="24"/>
                <w:highlight w:val="none"/>
              </w:rPr>
            </w:pPr>
            <w:r>
              <w:rPr>
                <w:rFonts w:hint="eastAsia" w:ascii="仿宋" w:hAnsi="仿宋" w:eastAsia="仿宋" w:cs="仿宋"/>
                <w:color w:val="auto"/>
                <w:spacing w:val="-12"/>
                <w:kern w:val="0"/>
                <w:szCs w:val="24"/>
                <w:highlight w:val="none"/>
                <w:lang w:bidi="ar"/>
              </w:rPr>
              <w:t>奖励金</w:t>
            </w:r>
            <w:r>
              <w:rPr>
                <w:rFonts w:hint="eastAsia" w:ascii="仿宋" w:hAnsi="仿宋" w:eastAsia="仿宋" w:cs="仿宋"/>
                <w:color w:val="auto"/>
                <w:spacing w:val="-44"/>
                <w:kern w:val="0"/>
                <w:szCs w:val="24"/>
                <w:highlight w:val="none"/>
                <w:lang w:bidi="ar"/>
              </w:rPr>
              <w:t>额（</w:t>
            </w:r>
            <w:r>
              <w:rPr>
                <w:rFonts w:hint="eastAsia" w:ascii="仿宋" w:hAnsi="仿宋" w:eastAsia="仿宋" w:cs="仿宋"/>
                <w:color w:val="auto"/>
                <w:spacing w:val="-72"/>
                <w:kern w:val="0"/>
                <w:szCs w:val="24"/>
                <w:highlight w:val="none"/>
                <w:lang w:bidi="ar"/>
              </w:rPr>
              <w:t xml:space="preserve"> </w:t>
            </w:r>
            <w:r>
              <w:rPr>
                <w:rFonts w:hint="eastAsia" w:ascii="仿宋" w:hAnsi="仿宋" w:eastAsia="仿宋" w:cs="仿宋"/>
                <w:color w:val="auto"/>
                <w:spacing w:val="-44"/>
                <w:kern w:val="0"/>
                <w:szCs w:val="24"/>
                <w:highlight w:val="none"/>
                <w:lang w:bidi="ar"/>
              </w:rPr>
              <w:t>元）</w:t>
            </w:r>
          </w:p>
        </w:tc>
        <w:tc>
          <w:tcPr>
            <w:tcW w:w="960" w:type="dxa"/>
            <w:vMerge w:val="continue"/>
            <w:tcBorders>
              <w:top w:val="single" w:color="000000" w:sz="2" w:space="0"/>
              <w:left w:val="single" w:color="000000" w:sz="2" w:space="0"/>
              <w:bottom w:val="nil"/>
              <w:right w:val="single" w:color="000000" w:sz="2" w:space="0"/>
            </w:tcBorders>
            <w:shd w:val="clear" w:color="auto" w:fill="auto"/>
          </w:tcPr>
          <w:p w14:paraId="7C56B2D5">
            <w:pPr>
              <w:rPr>
                <w:color w:val="auto"/>
                <w:sz w:val="20"/>
                <w:szCs w:val="20"/>
                <w:highlight w:val="none"/>
              </w:rPr>
            </w:pPr>
          </w:p>
        </w:tc>
        <w:tc>
          <w:tcPr>
            <w:tcW w:w="964" w:type="dxa"/>
            <w:vMerge w:val="continue"/>
            <w:tcBorders>
              <w:top w:val="single" w:color="000000" w:sz="2" w:space="0"/>
              <w:left w:val="single" w:color="000000" w:sz="2" w:space="0"/>
              <w:bottom w:val="nil"/>
              <w:right w:val="single" w:color="000000" w:sz="2" w:space="0"/>
            </w:tcBorders>
            <w:shd w:val="clear" w:color="auto" w:fill="auto"/>
          </w:tcPr>
          <w:p w14:paraId="03164883">
            <w:pPr>
              <w:rPr>
                <w:color w:val="auto"/>
                <w:sz w:val="20"/>
                <w:szCs w:val="20"/>
                <w:highlight w:val="none"/>
              </w:rPr>
            </w:pPr>
          </w:p>
        </w:tc>
      </w:tr>
      <w:tr w14:paraId="33784A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64" w:type="dxa"/>
            <w:tcBorders>
              <w:top w:val="single" w:color="000000" w:sz="2" w:space="0"/>
              <w:left w:val="single" w:color="000000" w:sz="2" w:space="0"/>
              <w:bottom w:val="single" w:color="000000" w:sz="2" w:space="0"/>
              <w:right w:val="single" w:color="000000" w:sz="2" w:space="0"/>
            </w:tcBorders>
            <w:shd w:val="clear" w:color="auto" w:fill="auto"/>
          </w:tcPr>
          <w:p w14:paraId="4F60CCDD">
            <w:pPr>
              <w:rPr>
                <w:rFonts w:ascii="Arial" w:hAnsi="Calibri"/>
                <w:color w:val="auto"/>
                <w:szCs w:val="21"/>
                <w:highlight w:val="none"/>
              </w:rPr>
            </w:pPr>
          </w:p>
        </w:tc>
        <w:tc>
          <w:tcPr>
            <w:tcW w:w="1929" w:type="dxa"/>
            <w:tcBorders>
              <w:top w:val="single" w:color="000000" w:sz="2" w:space="0"/>
              <w:left w:val="single" w:color="000000" w:sz="2" w:space="0"/>
              <w:bottom w:val="single" w:color="000000" w:sz="2" w:space="0"/>
              <w:right w:val="single" w:color="000000" w:sz="2" w:space="0"/>
            </w:tcBorders>
            <w:shd w:val="clear" w:color="auto" w:fill="auto"/>
          </w:tcPr>
          <w:p w14:paraId="08820FDC">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27166DE6">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4832F630">
            <w:pPr>
              <w:rPr>
                <w:rFonts w:ascii="Arial" w:hAnsi="Calibri"/>
                <w:color w:val="auto"/>
                <w:szCs w:val="21"/>
                <w:highlight w:val="none"/>
              </w:rPr>
            </w:pPr>
          </w:p>
        </w:tc>
        <w:tc>
          <w:tcPr>
            <w:tcW w:w="1239" w:type="dxa"/>
            <w:tcBorders>
              <w:top w:val="single" w:color="000000" w:sz="2" w:space="0"/>
              <w:left w:val="single" w:color="000000" w:sz="2" w:space="0"/>
              <w:bottom w:val="single" w:color="000000" w:sz="2" w:space="0"/>
              <w:right w:val="single" w:color="000000" w:sz="2" w:space="0"/>
            </w:tcBorders>
            <w:shd w:val="clear" w:color="auto" w:fill="auto"/>
          </w:tcPr>
          <w:p w14:paraId="3AD7C955">
            <w:pPr>
              <w:rPr>
                <w:rFonts w:ascii="Arial" w:hAnsi="Calibri"/>
                <w:color w:val="auto"/>
                <w:szCs w:val="21"/>
                <w:highlight w:val="none"/>
              </w:rPr>
            </w:pPr>
          </w:p>
        </w:tc>
        <w:tc>
          <w:tcPr>
            <w:tcW w:w="1239" w:type="dxa"/>
            <w:tcBorders>
              <w:top w:val="single" w:color="000000" w:sz="2" w:space="0"/>
              <w:left w:val="single" w:color="000000" w:sz="2" w:space="0"/>
              <w:bottom w:val="single" w:color="000000" w:sz="2" w:space="0"/>
              <w:right w:val="single" w:color="000000" w:sz="2" w:space="0"/>
            </w:tcBorders>
            <w:shd w:val="clear" w:color="auto" w:fill="auto"/>
          </w:tcPr>
          <w:p w14:paraId="192CF4FC">
            <w:pPr>
              <w:rPr>
                <w:rFonts w:ascii="Arial" w:hAnsi="Calibri"/>
                <w:color w:val="auto"/>
                <w:szCs w:val="21"/>
                <w:highlight w:val="none"/>
              </w:rPr>
            </w:pPr>
          </w:p>
        </w:tc>
        <w:tc>
          <w:tcPr>
            <w:tcW w:w="1029" w:type="dxa"/>
            <w:tcBorders>
              <w:top w:val="single" w:color="000000" w:sz="2" w:space="0"/>
              <w:left w:val="single" w:color="000000" w:sz="2" w:space="0"/>
              <w:bottom w:val="single" w:color="000000" w:sz="2" w:space="0"/>
              <w:right w:val="single" w:color="000000" w:sz="2" w:space="0"/>
            </w:tcBorders>
            <w:shd w:val="clear" w:color="auto" w:fill="auto"/>
          </w:tcPr>
          <w:p w14:paraId="618DF245">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18879AFA">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36BCCB18">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30A5A618">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00299742">
            <w:pPr>
              <w:rPr>
                <w:rFonts w:ascii="Arial" w:hAnsi="Calibri"/>
                <w:color w:val="auto"/>
                <w:szCs w:val="21"/>
                <w:highlight w:val="none"/>
              </w:rPr>
            </w:pPr>
          </w:p>
        </w:tc>
        <w:tc>
          <w:tcPr>
            <w:tcW w:w="964" w:type="dxa"/>
            <w:tcBorders>
              <w:top w:val="single" w:color="000000" w:sz="2" w:space="0"/>
              <w:left w:val="single" w:color="000000" w:sz="2" w:space="0"/>
              <w:bottom w:val="single" w:color="000000" w:sz="2" w:space="0"/>
              <w:right w:val="single" w:color="000000" w:sz="2" w:space="0"/>
            </w:tcBorders>
            <w:shd w:val="clear" w:color="auto" w:fill="auto"/>
          </w:tcPr>
          <w:p w14:paraId="098FD272">
            <w:pPr>
              <w:rPr>
                <w:rFonts w:ascii="Arial" w:hAnsi="Calibri"/>
                <w:color w:val="auto"/>
                <w:szCs w:val="21"/>
                <w:highlight w:val="none"/>
              </w:rPr>
            </w:pPr>
          </w:p>
        </w:tc>
      </w:tr>
      <w:tr w14:paraId="026B8E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64" w:type="dxa"/>
            <w:tcBorders>
              <w:top w:val="single" w:color="000000" w:sz="2" w:space="0"/>
              <w:left w:val="single" w:color="000000" w:sz="2" w:space="0"/>
              <w:bottom w:val="single" w:color="000000" w:sz="2" w:space="0"/>
              <w:right w:val="single" w:color="000000" w:sz="2" w:space="0"/>
            </w:tcBorders>
            <w:shd w:val="clear" w:color="auto" w:fill="auto"/>
          </w:tcPr>
          <w:p w14:paraId="680D403C">
            <w:pPr>
              <w:rPr>
                <w:rFonts w:ascii="Arial" w:hAnsi="Calibri"/>
                <w:color w:val="auto"/>
                <w:szCs w:val="21"/>
                <w:highlight w:val="none"/>
              </w:rPr>
            </w:pPr>
          </w:p>
        </w:tc>
        <w:tc>
          <w:tcPr>
            <w:tcW w:w="1929" w:type="dxa"/>
            <w:tcBorders>
              <w:top w:val="single" w:color="000000" w:sz="2" w:space="0"/>
              <w:left w:val="single" w:color="000000" w:sz="2" w:space="0"/>
              <w:bottom w:val="single" w:color="000000" w:sz="2" w:space="0"/>
              <w:right w:val="single" w:color="000000" w:sz="2" w:space="0"/>
            </w:tcBorders>
            <w:shd w:val="clear" w:color="auto" w:fill="auto"/>
          </w:tcPr>
          <w:p w14:paraId="63014352">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07072138">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19BBFF91">
            <w:pPr>
              <w:rPr>
                <w:rFonts w:ascii="Arial" w:hAnsi="Calibri"/>
                <w:color w:val="auto"/>
                <w:szCs w:val="21"/>
                <w:highlight w:val="none"/>
              </w:rPr>
            </w:pPr>
          </w:p>
        </w:tc>
        <w:tc>
          <w:tcPr>
            <w:tcW w:w="1239" w:type="dxa"/>
            <w:tcBorders>
              <w:top w:val="single" w:color="000000" w:sz="2" w:space="0"/>
              <w:left w:val="single" w:color="000000" w:sz="2" w:space="0"/>
              <w:bottom w:val="single" w:color="000000" w:sz="2" w:space="0"/>
              <w:right w:val="single" w:color="000000" w:sz="2" w:space="0"/>
            </w:tcBorders>
            <w:shd w:val="clear" w:color="auto" w:fill="auto"/>
          </w:tcPr>
          <w:p w14:paraId="759A484E">
            <w:pPr>
              <w:rPr>
                <w:rFonts w:ascii="Arial" w:hAnsi="Calibri"/>
                <w:color w:val="auto"/>
                <w:szCs w:val="21"/>
                <w:highlight w:val="none"/>
              </w:rPr>
            </w:pPr>
          </w:p>
        </w:tc>
        <w:tc>
          <w:tcPr>
            <w:tcW w:w="1239" w:type="dxa"/>
            <w:tcBorders>
              <w:top w:val="single" w:color="000000" w:sz="2" w:space="0"/>
              <w:left w:val="single" w:color="000000" w:sz="2" w:space="0"/>
              <w:bottom w:val="single" w:color="000000" w:sz="2" w:space="0"/>
              <w:right w:val="single" w:color="000000" w:sz="2" w:space="0"/>
            </w:tcBorders>
            <w:shd w:val="clear" w:color="auto" w:fill="auto"/>
          </w:tcPr>
          <w:p w14:paraId="66312DB8">
            <w:pPr>
              <w:rPr>
                <w:rFonts w:ascii="Arial" w:hAnsi="Calibri"/>
                <w:color w:val="auto"/>
                <w:szCs w:val="21"/>
                <w:highlight w:val="none"/>
              </w:rPr>
            </w:pPr>
          </w:p>
        </w:tc>
        <w:tc>
          <w:tcPr>
            <w:tcW w:w="1029" w:type="dxa"/>
            <w:tcBorders>
              <w:top w:val="single" w:color="000000" w:sz="2" w:space="0"/>
              <w:left w:val="single" w:color="000000" w:sz="2" w:space="0"/>
              <w:bottom w:val="single" w:color="000000" w:sz="2" w:space="0"/>
              <w:right w:val="single" w:color="000000" w:sz="2" w:space="0"/>
            </w:tcBorders>
            <w:shd w:val="clear" w:color="auto" w:fill="auto"/>
          </w:tcPr>
          <w:p w14:paraId="4F403178">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24B76F9E">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0275E803">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43BB998C">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4FAA0D7D">
            <w:pPr>
              <w:rPr>
                <w:rFonts w:ascii="Arial" w:hAnsi="Calibri"/>
                <w:color w:val="auto"/>
                <w:szCs w:val="21"/>
                <w:highlight w:val="none"/>
              </w:rPr>
            </w:pPr>
          </w:p>
        </w:tc>
        <w:tc>
          <w:tcPr>
            <w:tcW w:w="964" w:type="dxa"/>
            <w:tcBorders>
              <w:top w:val="single" w:color="000000" w:sz="2" w:space="0"/>
              <w:left w:val="single" w:color="000000" w:sz="2" w:space="0"/>
              <w:bottom w:val="single" w:color="000000" w:sz="2" w:space="0"/>
              <w:right w:val="single" w:color="000000" w:sz="2" w:space="0"/>
            </w:tcBorders>
            <w:shd w:val="clear" w:color="auto" w:fill="auto"/>
          </w:tcPr>
          <w:p w14:paraId="2F3C5F65">
            <w:pPr>
              <w:rPr>
                <w:rFonts w:ascii="Arial" w:hAnsi="Calibri"/>
                <w:color w:val="auto"/>
                <w:szCs w:val="21"/>
                <w:highlight w:val="none"/>
              </w:rPr>
            </w:pPr>
          </w:p>
        </w:tc>
      </w:tr>
      <w:tr w14:paraId="2AA6F6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964" w:type="dxa"/>
            <w:tcBorders>
              <w:top w:val="single" w:color="000000" w:sz="2" w:space="0"/>
              <w:left w:val="single" w:color="000000" w:sz="2" w:space="0"/>
              <w:bottom w:val="single" w:color="000000" w:sz="2" w:space="0"/>
              <w:right w:val="single" w:color="000000" w:sz="2" w:space="0"/>
            </w:tcBorders>
            <w:shd w:val="clear" w:color="auto" w:fill="auto"/>
          </w:tcPr>
          <w:p w14:paraId="2EDE41A1">
            <w:pPr>
              <w:rPr>
                <w:rFonts w:ascii="Arial" w:hAnsi="Calibri"/>
                <w:color w:val="auto"/>
                <w:szCs w:val="21"/>
                <w:highlight w:val="none"/>
              </w:rPr>
            </w:pPr>
          </w:p>
        </w:tc>
        <w:tc>
          <w:tcPr>
            <w:tcW w:w="1929" w:type="dxa"/>
            <w:tcBorders>
              <w:top w:val="single" w:color="000000" w:sz="2" w:space="0"/>
              <w:left w:val="single" w:color="000000" w:sz="2" w:space="0"/>
              <w:bottom w:val="single" w:color="000000" w:sz="2" w:space="0"/>
              <w:right w:val="single" w:color="000000" w:sz="2" w:space="0"/>
            </w:tcBorders>
            <w:shd w:val="clear" w:color="auto" w:fill="auto"/>
          </w:tcPr>
          <w:p w14:paraId="6C32886B">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2078A1D1">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70C1B970">
            <w:pPr>
              <w:rPr>
                <w:rFonts w:ascii="Arial" w:hAnsi="Calibri"/>
                <w:color w:val="auto"/>
                <w:szCs w:val="21"/>
                <w:highlight w:val="none"/>
              </w:rPr>
            </w:pPr>
          </w:p>
        </w:tc>
        <w:tc>
          <w:tcPr>
            <w:tcW w:w="1239" w:type="dxa"/>
            <w:tcBorders>
              <w:top w:val="single" w:color="000000" w:sz="2" w:space="0"/>
              <w:left w:val="single" w:color="000000" w:sz="2" w:space="0"/>
              <w:bottom w:val="single" w:color="000000" w:sz="2" w:space="0"/>
              <w:right w:val="single" w:color="000000" w:sz="2" w:space="0"/>
            </w:tcBorders>
            <w:shd w:val="clear" w:color="auto" w:fill="auto"/>
          </w:tcPr>
          <w:p w14:paraId="78B61039">
            <w:pPr>
              <w:rPr>
                <w:rFonts w:ascii="Arial" w:hAnsi="Calibri"/>
                <w:color w:val="auto"/>
                <w:szCs w:val="21"/>
                <w:highlight w:val="none"/>
              </w:rPr>
            </w:pPr>
          </w:p>
        </w:tc>
        <w:tc>
          <w:tcPr>
            <w:tcW w:w="1239" w:type="dxa"/>
            <w:tcBorders>
              <w:top w:val="single" w:color="000000" w:sz="2" w:space="0"/>
              <w:left w:val="single" w:color="000000" w:sz="2" w:space="0"/>
              <w:bottom w:val="single" w:color="000000" w:sz="2" w:space="0"/>
              <w:right w:val="single" w:color="000000" w:sz="2" w:space="0"/>
            </w:tcBorders>
            <w:shd w:val="clear" w:color="auto" w:fill="auto"/>
          </w:tcPr>
          <w:p w14:paraId="71CA7316">
            <w:pPr>
              <w:rPr>
                <w:rFonts w:ascii="Arial" w:hAnsi="Calibri"/>
                <w:color w:val="auto"/>
                <w:szCs w:val="21"/>
                <w:highlight w:val="none"/>
              </w:rPr>
            </w:pPr>
          </w:p>
        </w:tc>
        <w:tc>
          <w:tcPr>
            <w:tcW w:w="1029" w:type="dxa"/>
            <w:tcBorders>
              <w:top w:val="single" w:color="000000" w:sz="2" w:space="0"/>
              <w:left w:val="single" w:color="000000" w:sz="2" w:space="0"/>
              <w:bottom w:val="single" w:color="000000" w:sz="2" w:space="0"/>
              <w:right w:val="single" w:color="000000" w:sz="2" w:space="0"/>
            </w:tcBorders>
            <w:shd w:val="clear" w:color="auto" w:fill="auto"/>
          </w:tcPr>
          <w:p w14:paraId="780DAE63">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6A6E7767">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74407CC3">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47ED3EB8">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2EDE73AA">
            <w:pPr>
              <w:rPr>
                <w:rFonts w:ascii="Arial" w:hAnsi="Calibri"/>
                <w:color w:val="auto"/>
                <w:szCs w:val="21"/>
                <w:highlight w:val="none"/>
              </w:rPr>
            </w:pPr>
          </w:p>
        </w:tc>
        <w:tc>
          <w:tcPr>
            <w:tcW w:w="964" w:type="dxa"/>
            <w:tcBorders>
              <w:top w:val="single" w:color="000000" w:sz="2" w:space="0"/>
              <w:left w:val="single" w:color="000000" w:sz="2" w:space="0"/>
              <w:bottom w:val="single" w:color="000000" w:sz="2" w:space="0"/>
              <w:right w:val="single" w:color="000000" w:sz="2" w:space="0"/>
            </w:tcBorders>
            <w:shd w:val="clear" w:color="auto" w:fill="auto"/>
          </w:tcPr>
          <w:p w14:paraId="3DC1240F">
            <w:pPr>
              <w:rPr>
                <w:rFonts w:ascii="Arial" w:hAnsi="Calibri"/>
                <w:color w:val="auto"/>
                <w:szCs w:val="21"/>
                <w:highlight w:val="none"/>
              </w:rPr>
            </w:pPr>
          </w:p>
        </w:tc>
      </w:tr>
      <w:tr w14:paraId="14A784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8" w:hRule="atLeast"/>
        </w:trPr>
        <w:tc>
          <w:tcPr>
            <w:tcW w:w="6052" w:type="dxa"/>
            <w:gridSpan w:val="5"/>
            <w:tcBorders>
              <w:top w:val="single" w:color="000000" w:sz="2" w:space="0"/>
              <w:left w:val="single" w:color="000000" w:sz="2" w:space="0"/>
              <w:bottom w:val="single" w:color="000000" w:sz="2" w:space="0"/>
              <w:right w:val="single" w:color="000000" w:sz="2" w:space="0"/>
            </w:tcBorders>
            <w:shd w:val="clear" w:color="auto" w:fill="auto"/>
          </w:tcPr>
          <w:p w14:paraId="42A6C4E9">
            <w:pPr>
              <w:spacing w:line="285" w:lineRule="auto"/>
              <w:rPr>
                <w:rFonts w:ascii="Arial" w:hAnsi="Calibri"/>
                <w:color w:val="auto"/>
                <w:szCs w:val="21"/>
                <w:highlight w:val="none"/>
              </w:rPr>
            </w:pPr>
          </w:p>
          <w:p w14:paraId="3E9CB096">
            <w:pPr>
              <w:pStyle w:val="18"/>
              <w:spacing w:before="78"/>
              <w:ind w:left="2796"/>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合计</w:t>
            </w:r>
          </w:p>
        </w:tc>
        <w:tc>
          <w:tcPr>
            <w:tcW w:w="1239" w:type="dxa"/>
            <w:tcBorders>
              <w:top w:val="single" w:color="000000" w:sz="2" w:space="0"/>
              <w:left w:val="single" w:color="000000" w:sz="2" w:space="0"/>
              <w:bottom w:val="single" w:color="000000" w:sz="2" w:space="0"/>
              <w:right w:val="single" w:color="000000" w:sz="2" w:space="0"/>
            </w:tcBorders>
            <w:shd w:val="clear" w:color="auto" w:fill="auto"/>
          </w:tcPr>
          <w:p w14:paraId="3ACE38B3">
            <w:pPr>
              <w:rPr>
                <w:rFonts w:ascii="Arial" w:hAnsi="Calibri"/>
                <w:color w:val="auto"/>
                <w:szCs w:val="21"/>
                <w:highlight w:val="none"/>
              </w:rPr>
            </w:pPr>
          </w:p>
        </w:tc>
        <w:tc>
          <w:tcPr>
            <w:tcW w:w="1029" w:type="dxa"/>
            <w:tcBorders>
              <w:top w:val="single" w:color="000000" w:sz="2" w:space="0"/>
              <w:left w:val="single" w:color="000000" w:sz="2" w:space="0"/>
              <w:bottom w:val="single" w:color="000000" w:sz="2" w:space="0"/>
              <w:right w:val="single" w:color="000000" w:sz="2" w:space="0"/>
            </w:tcBorders>
            <w:shd w:val="clear" w:color="auto" w:fill="auto"/>
          </w:tcPr>
          <w:p w14:paraId="6DBFF3DE">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1935A15E">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01D24ABA">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2781E2AE">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1244D2CD">
            <w:pPr>
              <w:rPr>
                <w:rFonts w:ascii="Arial" w:hAnsi="Calibri"/>
                <w:color w:val="auto"/>
                <w:szCs w:val="21"/>
                <w:highlight w:val="none"/>
              </w:rPr>
            </w:pPr>
          </w:p>
        </w:tc>
        <w:tc>
          <w:tcPr>
            <w:tcW w:w="964" w:type="dxa"/>
            <w:tcBorders>
              <w:top w:val="single" w:color="000000" w:sz="2" w:space="0"/>
              <w:left w:val="single" w:color="000000" w:sz="2" w:space="0"/>
              <w:bottom w:val="single" w:color="000000" w:sz="2" w:space="0"/>
              <w:right w:val="single" w:color="000000" w:sz="2" w:space="0"/>
            </w:tcBorders>
            <w:shd w:val="clear" w:color="auto" w:fill="auto"/>
          </w:tcPr>
          <w:p w14:paraId="60ED7282">
            <w:pPr>
              <w:rPr>
                <w:rFonts w:ascii="Arial" w:hAnsi="Calibri"/>
                <w:color w:val="auto"/>
                <w:szCs w:val="21"/>
                <w:highlight w:val="none"/>
              </w:rPr>
            </w:pPr>
          </w:p>
        </w:tc>
      </w:tr>
    </w:tbl>
    <w:p w14:paraId="5871BC79">
      <w:pPr>
        <w:pStyle w:val="18"/>
        <w:spacing w:before="38"/>
        <w:ind w:left="504"/>
        <w:rPr>
          <w:rFonts w:ascii="仿宋" w:hAnsi="仿宋" w:eastAsia="仿宋" w:cs="仿宋"/>
          <w:color w:val="auto"/>
          <w:szCs w:val="24"/>
          <w:highlight w:val="none"/>
        </w:rPr>
      </w:pPr>
      <w:r>
        <w:rPr>
          <w:rFonts w:hint="eastAsia" w:ascii="仿宋" w:hAnsi="仿宋" w:eastAsia="仿宋" w:cs="仿宋"/>
          <w:color w:val="auto"/>
          <w:spacing w:val="-2"/>
          <w:kern w:val="0"/>
          <w:szCs w:val="24"/>
          <w:highlight w:val="none"/>
          <w:lang w:bidi="ar"/>
        </w:rPr>
        <w:t>填表说明：</w:t>
      </w:r>
    </w:p>
    <w:p w14:paraId="048DDC0B">
      <w:pPr>
        <w:pStyle w:val="18"/>
        <w:spacing w:before="29"/>
        <w:ind w:left="519"/>
        <w:rPr>
          <w:rFonts w:ascii="仿宋" w:hAnsi="仿宋" w:eastAsia="仿宋" w:cs="仿宋"/>
          <w:color w:val="auto"/>
          <w:szCs w:val="24"/>
          <w:highlight w:val="none"/>
        </w:rPr>
      </w:pPr>
      <w:r>
        <w:rPr>
          <w:rFonts w:hint="eastAsia" w:ascii="仿宋" w:hAnsi="仿宋" w:eastAsia="仿宋" w:cs="仿宋"/>
          <w:color w:val="auto"/>
          <w:spacing w:val="-2"/>
          <w:kern w:val="0"/>
          <w:szCs w:val="24"/>
          <w:highlight w:val="none"/>
          <w:lang w:bidi="ar"/>
        </w:rPr>
        <w:t>1.本表用于统计承包商在其自身内部执行</w:t>
      </w:r>
      <w:r>
        <w:rPr>
          <w:rFonts w:hint="eastAsia" w:ascii="仿宋" w:hAnsi="仿宋" w:eastAsia="仿宋" w:cs="仿宋"/>
          <w:color w:val="auto"/>
          <w:spacing w:val="-72"/>
          <w:kern w:val="0"/>
          <w:szCs w:val="24"/>
          <w:highlight w:val="none"/>
          <w:lang w:bidi="ar"/>
        </w:rPr>
        <w:t xml:space="preserve"> </w:t>
      </w:r>
      <w:r>
        <w:rPr>
          <w:rFonts w:hint="eastAsia" w:ascii="仿宋" w:hAnsi="仿宋" w:eastAsia="仿宋" w:cs="仿宋"/>
          <w:color w:val="auto"/>
          <w:spacing w:val="-2"/>
          <w:kern w:val="0"/>
          <w:szCs w:val="24"/>
          <w:highlight w:val="none"/>
          <w:lang w:bidi="ar"/>
        </w:rPr>
        <w:t>“吹哨人”及隐患报告奖励制度的情况。</w:t>
      </w:r>
    </w:p>
    <w:p w14:paraId="79DF97BB">
      <w:pPr>
        <w:pStyle w:val="18"/>
        <w:spacing w:before="33"/>
        <w:ind w:left="513"/>
        <w:rPr>
          <w:rFonts w:ascii="仿宋" w:hAnsi="仿宋" w:eastAsia="仿宋" w:cs="仿宋"/>
          <w:color w:val="auto"/>
          <w:szCs w:val="24"/>
          <w:highlight w:val="none"/>
        </w:rPr>
      </w:pPr>
      <w:r>
        <w:rPr>
          <w:rFonts w:hint="eastAsia" w:ascii="仿宋" w:hAnsi="仿宋" w:eastAsia="仿宋" w:cs="仿宋"/>
          <w:color w:val="auto"/>
          <w:spacing w:val="-3"/>
          <w:kern w:val="0"/>
          <w:szCs w:val="24"/>
          <w:highlight w:val="none"/>
          <w:lang w:bidi="ar"/>
        </w:rPr>
        <w:t>2.</w:t>
      </w:r>
      <w:r>
        <w:rPr>
          <w:rFonts w:hint="eastAsia" w:ascii="仿宋" w:hAnsi="仿宋" w:eastAsia="仿宋" w:cs="仿宋"/>
          <w:color w:val="auto"/>
          <w:spacing w:val="-68"/>
          <w:kern w:val="0"/>
          <w:szCs w:val="24"/>
          <w:highlight w:val="none"/>
          <w:lang w:bidi="ar"/>
        </w:rPr>
        <w:t xml:space="preserve"> </w:t>
      </w:r>
      <w:r>
        <w:rPr>
          <w:rFonts w:hint="eastAsia" w:ascii="仿宋" w:hAnsi="仿宋" w:eastAsia="仿宋" w:cs="仿宋"/>
          <w:color w:val="auto"/>
          <w:spacing w:val="-3"/>
          <w:kern w:val="0"/>
          <w:szCs w:val="24"/>
          <w:highlight w:val="none"/>
          <w:lang w:bidi="ar"/>
        </w:rPr>
        <w:t>“奖励数量（项）”指获得奖励的隐患报告项数。</w:t>
      </w:r>
    </w:p>
    <w:p w14:paraId="62338752">
      <w:pPr>
        <w:pStyle w:val="18"/>
        <w:spacing w:before="30"/>
        <w:ind w:left="522"/>
        <w:rPr>
          <w:rFonts w:ascii="仿宋" w:hAnsi="仿宋" w:eastAsia="仿宋" w:cs="仿宋"/>
          <w:color w:val="auto"/>
          <w:szCs w:val="24"/>
          <w:highlight w:val="none"/>
        </w:rPr>
      </w:pPr>
      <w:r>
        <w:rPr>
          <w:rFonts w:hint="eastAsia" w:ascii="仿宋" w:hAnsi="仿宋" w:eastAsia="仿宋" w:cs="仿宋"/>
          <w:color w:val="auto"/>
          <w:spacing w:val="-4"/>
          <w:kern w:val="0"/>
          <w:szCs w:val="24"/>
          <w:highlight w:val="none"/>
          <w:lang w:bidi="ar"/>
        </w:rPr>
        <w:t>3.</w:t>
      </w:r>
      <w:r>
        <w:rPr>
          <w:rFonts w:hint="eastAsia" w:ascii="仿宋" w:hAnsi="仿宋" w:eastAsia="仿宋" w:cs="仿宋"/>
          <w:color w:val="auto"/>
          <w:spacing w:val="-86"/>
          <w:kern w:val="0"/>
          <w:szCs w:val="24"/>
          <w:highlight w:val="none"/>
          <w:lang w:bidi="ar"/>
        </w:rPr>
        <w:t xml:space="preserve"> </w:t>
      </w:r>
      <w:r>
        <w:rPr>
          <w:rFonts w:hint="eastAsia" w:ascii="仿宋" w:hAnsi="仿宋" w:eastAsia="仿宋" w:cs="仿宋"/>
          <w:color w:val="auto"/>
          <w:spacing w:val="-4"/>
          <w:kern w:val="0"/>
          <w:szCs w:val="24"/>
          <w:highlight w:val="none"/>
          <w:lang w:bidi="ar"/>
        </w:rPr>
        <w:t>“奖励费用出处”请填写如</w:t>
      </w:r>
      <w:r>
        <w:rPr>
          <w:rFonts w:hint="eastAsia" w:ascii="仿宋" w:hAnsi="仿宋" w:eastAsia="仿宋" w:cs="仿宋"/>
          <w:color w:val="auto"/>
          <w:spacing w:val="-85"/>
          <w:kern w:val="0"/>
          <w:szCs w:val="24"/>
          <w:highlight w:val="none"/>
          <w:lang w:bidi="ar"/>
        </w:rPr>
        <w:t xml:space="preserve"> </w:t>
      </w:r>
      <w:r>
        <w:rPr>
          <w:rFonts w:hint="eastAsia" w:ascii="仿宋" w:hAnsi="仿宋" w:eastAsia="仿宋" w:cs="仿宋"/>
          <w:color w:val="auto"/>
          <w:spacing w:val="-4"/>
          <w:kern w:val="0"/>
          <w:szCs w:val="24"/>
          <w:highlight w:val="none"/>
          <w:lang w:bidi="ar"/>
        </w:rPr>
        <w:t>“安全生产费用”</w:t>
      </w:r>
      <w:r>
        <w:rPr>
          <w:rFonts w:hint="eastAsia" w:ascii="仿宋" w:hAnsi="仿宋" w:eastAsia="仿宋" w:cs="仿宋"/>
          <w:color w:val="auto"/>
          <w:spacing w:val="-86"/>
          <w:kern w:val="0"/>
          <w:szCs w:val="24"/>
          <w:highlight w:val="none"/>
          <w:lang w:bidi="ar"/>
        </w:rPr>
        <w:t xml:space="preserve"> </w:t>
      </w:r>
      <w:r>
        <w:rPr>
          <w:rFonts w:hint="eastAsia" w:ascii="仿宋" w:hAnsi="仿宋" w:eastAsia="仿宋" w:cs="仿宋"/>
          <w:color w:val="auto"/>
          <w:spacing w:val="-4"/>
          <w:kern w:val="0"/>
          <w:szCs w:val="24"/>
          <w:highlight w:val="none"/>
          <w:lang w:bidi="ar"/>
        </w:rPr>
        <w:t>“专项奖励</w:t>
      </w:r>
      <w:r>
        <w:rPr>
          <w:rFonts w:hint="eastAsia" w:ascii="仿宋" w:hAnsi="仿宋" w:eastAsia="仿宋" w:cs="仿宋"/>
          <w:color w:val="auto"/>
          <w:spacing w:val="-5"/>
          <w:kern w:val="0"/>
          <w:szCs w:val="24"/>
          <w:highlight w:val="none"/>
          <w:lang w:bidi="ar"/>
        </w:rPr>
        <w:t>基金”等。</w:t>
      </w:r>
    </w:p>
    <w:p w14:paraId="0DB88C37">
      <w:pPr>
        <w:widowControl/>
        <w:jc w:val="left"/>
        <w:rPr>
          <w:color w:val="auto"/>
          <w:highlight w:val="none"/>
        </w:rPr>
      </w:pPr>
      <w:r>
        <w:rPr>
          <w:rFonts w:ascii="Calibri" w:hAnsi="Calibri"/>
          <w:color w:val="auto"/>
          <w:spacing w:val="-1"/>
          <w:kern w:val="0"/>
          <w:sz w:val="24"/>
          <w:szCs w:val="24"/>
          <w:highlight w:val="none"/>
          <w:lang w:bidi="ar"/>
        </w:rPr>
        <w:t>4.</w:t>
      </w:r>
      <w:r>
        <w:rPr>
          <w:rFonts w:hint="eastAsia" w:ascii="宋体" w:hAnsi="宋体" w:cs="宋体"/>
          <w:color w:val="auto"/>
          <w:spacing w:val="-1"/>
          <w:kern w:val="0"/>
          <w:sz w:val="24"/>
          <w:szCs w:val="24"/>
          <w:highlight w:val="none"/>
          <w:lang w:bidi="ar"/>
        </w:rPr>
        <w:t>本表由发包人安全环保管理部门负责收集、审核并存档。</w:t>
      </w:r>
    </w:p>
    <w:p w14:paraId="02C6D69B">
      <w:pPr>
        <w:pStyle w:val="8"/>
        <w:spacing w:before="33" w:line="214" w:lineRule="auto"/>
        <w:ind w:left="63" w:right="63"/>
        <w:rPr>
          <w:color w:val="auto"/>
          <w:sz w:val="24"/>
          <w:szCs w:val="24"/>
          <w:highlight w:val="none"/>
        </w:rPr>
      </w:pPr>
    </w:p>
    <w:p w14:paraId="33FFD6D5">
      <w:pPr>
        <w:rPr>
          <w:color w:val="auto"/>
          <w:highlight w:val="none"/>
        </w:rPr>
      </w:pPr>
    </w:p>
    <w:p w14:paraId="53E112C6">
      <w:pPr>
        <w:pStyle w:val="69"/>
        <w:ind w:left="3600" w:hanging="3600" w:hangingChars="1200"/>
        <w:jc w:val="both"/>
        <w:rPr>
          <w:color w:val="auto"/>
          <w:highlight w:val="none"/>
        </w:rPr>
      </w:pPr>
      <w:r>
        <w:rPr>
          <w:rFonts w:ascii="Times New Roman" w:eastAsia="仿宋_GB2312"/>
          <w:color w:val="auto"/>
          <w:sz w:val="30"/>
          <w:szCs w:val="30"/>
          <w:highlight w:val="none"/>
        </w:rPr>
        <w:t>附件</w:t>
      </w:r>
      <w:r>
        <w:rPr>
          <w:rFonts w:hint="eastAsia" w:ascii="Times New Roman" w:eastAsia="仿宋_GB2312"/>
          <w:color w:val="auto"/>
          <w:sz w:val="30"/>
          <w:szCs w:val="30"/>
          <w:highlight w:val="none"/>
        </w:rPr>
        <w:t>5</w:t>
      </w:r>
      <w:r>
        <w:rPr>
          <w:rFonts w:ascii="Times New Roman" w:eastAsia="仿宋_GB2312"/>
          <w:color w:val="auto"/>
          <w:sz w:val="30"/>
          <w:szCs w:val="30"/>
          <w:highlight w:val="none"/>
        </w:rPr>
        <w:t>：</w:t>
      </w:r>
      <w:r>
        <w:rPr>
          <w:color w:val="auto"/>
          <w:highlight w:val="none"/>
        </w:rPr>
        <w:br w:type="textWrapping"/>
      </w:r>
      <w:r>
        <w:rPr>
          <w:rFonts w:hint="eastAsia"/>
          <w:color w:val="auto"/>
          <w:highlight w:val="none"/>
        </w:rPr>
        <w:t>工程经济资料管理办法</w:t>
      </w:r>
    </w:p>
    <w:p w14:paraId="1576D628">
      <w:pPr>
        <w:pStyle w:val="70"/>
        <w:spacing w:before="312" w:after="312"/>
        <w:ind w:left="3544"/>
        <w:rPr>
          <w:color w:val="auto"/>
          <w:highlight w:val="none"/>
        </w:rPr>
      </w:pPr>
      <w:r>
        <w:rPr>
          <w:rFonts w:hint="eastAsia"/>
          <w:color w:val="auto"/>
          <w:highlight w:val="none"/>
        </w:rPr>
        <w:t>目的</w:t>
      </w:r>
    </w:p>
    <w:p w14:paraId="60570143">
      <w:pPr>
        <w:pStyle w:val="67"/>
        <w:rPr>
          <w:color w:val="auto"/>
          <w:highlight w:val="none"/>
        </w:rPr>
      </w:pPr>
      <w:r>
        <w:rPr>
          <w:color w:val="auto"/>
          <w:highlight w:val="none"/>
        </w:rPr>
        <w:t>为了规范工程项目中经济资料办理的程序和流程，确保经济资料的真实性、准确性、完整性、时效性，明确相关人员的责任和义务</w:t>
      </w:r>
      <w:r>
        <w:rPr>
          <w:rFonts w:hint="eastAsia"/>
          <w:color w:val="auto"/>
          <w:highlight w:val="none"/>
        </w:rPr>
        <w:t>。</w:t>
      </w:r>
    </w:p>
    <w:p w14:paraId="6D5790F9">
      <w:pPr>
        <w:pStyle w:val="70"/>
        <w:spacing w:before="312" w:after="312"/>
        <w:ind w:left="3544"/>
        <w:rPr>
          <w:color w:val="auto"/>
          <w:highlight w:val="none"/>
        </w:rPr>
      </w:pPr>
      <w:r>
        <w:rPr>
          <w:rFonts w:hint="eastAsia"/>
          <w:color w:val="auto"/>
          <w:highlight w:val="none"/>
        </w:rPr>
        <w:t>范围</w:t>
      </w:r>
    </w:p>
    <w:p w14:paraId="059B55A0">
      <w:pPr>
        <w:pStyle w:val="67"/>
        <w:rPr>
          <w:color w:val="auto"/>
          <w:highlight w:val="none"/>
        </w:rPr>
      </w:pPr>
      <w:r>
        <w:rPr>
          <w:rFonts w:hint="eastAsia"/>
          <w:color w:val="auto"/>
          <w:highlight w:val="none"/>
        </w:rPr>
        <w:t>本标准规定了工程建设过程中经济签证、技术联系的管理要求。</w:t>
      </w:r>
    </w:p>
    <w:p w14:paraId="7E301AB7">
      <w:pPr>
        <w:pStyle w:val="67"/>
        <w:rPr>
          <w:rFonts w:cs="宋体"/>
          <w:color w:val="auto"/>
          <w:highlight w:val="none"/>
        </w:rPr>
      </w:pPr>
      <w:r>
        <w:rPr>
          <w:rFonts w:hint="eastAsia"/>
          <w:color w:val="auto"/>
          <w:highlight w:val="none"/>
        </w:rPr>
        <w:t>本办法适用于国际复材、重庆庹展新材料科技有限公司、重庆天泽新材料有限公司的制度管理工作，其他分公司、全资子公司、控股子公司及相关单位的新建、扩建、改建、维修</w:t>
      </w:r>
      <w:r>
        <w:rPr>
          <w:rFonts w:hint="eastAsia" w:cs="宋体"/>
          <w:color w:val="auto"/>
          <w:highlight w:val="none"/>
        </w:rPr>
        <w:t>工程中发生的经济签证管理。</w:t>
      </w:r>
    </w:p>
    <w:p w14:paraId="740F62F6">
      <w:pPr>
        <w:pStyle w:val="70"/>
        <w:spacing w:before="312" w:after="312"/>
        <w:ind w:left="3544"/>
        <w:rPr>
          <w:color w:val="auto"/>
          <w:highlight w:val="none"/>
        </w:rPr>
      </w:pPr>
      <w:r>
        <w:rPr>
          <w:rFonts w:hint="eastAsia"/>
          <w:color w:val="auto"/>
          <w:highlight w:val="none"/>
        </w:rPr>
        <w:t>规范性引用文件</w:t>
      </w:r>
    </w:p>
    <w:p w14:paraId="1D7C808F">
      <w:pPr>
        <w:pStyle w:val="67"/>
        <w:rPr>
          <w:color w:val="auto"/>
          <w:highlight w:val="none"/>
        </w:rPr>
      </w:pPr>
      <w:r>
        <w:rPr>
          <w:rFonts w:hint="eastAsia"/>
          <w:color w:val="auto"/>
          <w:highlight w:val="none"/>
        </w:rPr>
        <w:t>下列文件对于本文件的应用是必不可少的。凡是注日期的引用文件，仅所注日期的版本适用于本文件。凡是不注日期的引用文件，其最新版本（包括所有的修改单）适用于本文件。</w:t>
      </w:r>
    </w:p>
    <w:p w14:paraId="24A75259">
      <w:pPr>
        <w:pStyle w:val="67"/>
        <w:rPr>
          <w:color w:val="auto"/>
          <w:highlight w:val="none"/>
        </w:rPr>
      </w:pPr>
      <w:r>
        <w:rPr>
          <w:rFonts w:hint="eastAsia"/>
          <w:color w:val="auto"/>
          <w:highlight w:val="none"/>
        </w:rPr>
        <w:t>建筑工程施工发包与承包计价管理办法</w:t>
      </w:r>
    </w:p>
    <w:p w14:paraId="567CFB72">
      <w:pPr>
        <w:pStyle w:val="67"/>
        <w:rPr>
          <w:color w:val="auto"/>
          <w:highlight w:val="none"/>
        </w:rPr>
      </w:pPr>
      <w:r>
        <w:rPr>
          <w:rFonts w:hint="eastAsia"/>
          <w:color w:val="auto"/>
          <w:highlight w:val="none"/>
        </w:rPr>
        <w:t>建设工程价款结算暂行办法</w:t>
      </w:r>
    </w:p>
    <w:p w14:paraId="68E863A4">
      <w:pPr>
        <w:pStyle w:val="67"/>
        <w:rPr>
          <w:rFonts w:cs="宋体"/>
          <w:color w:val="auto"/>
          <w:highlight w:val="none"/>
        </w:rPr>
      </w:pPr>
      <w:r>
        <w:rPr>
          <w:rFonts w:hint="eastAsia"/>
          <w:color w:val="auto"/>
          <w:highlight w:val="none"/>
        </w:rPr>
        <w:t>重庆市建设工程造价管理规定</w:t>
      </w:r>
    </w:p>
    <w:p w14:paraId="78997C75">
      <w:pPr>
        <w:pStyle w:val="67"/>
        <w:rPr>
          <w:color w:val="auto"/>
          <w:highlight w:val="none"/>
        </w:rPr>
      </w:pPr>
      <w:r>
        <w:rPr>
          <w:rFonts w:hint="eastAsia"/>
          <w:color w:val="auto"/>
          <w:highlight w:val="none"/>
        </w:rPr>
        <w:t>云天化集团有限责任公司招标投标管理办法</w:t>
      </w:r>
    </w:p>
    <w:p w14:paraId="42151F33">
      <w:pPr>
        <w:pStyle w:val="70"/>
        <w:spacing w:before="312" w:after="312"/>
        <w:ind w:left="3544"/>
        <w:rPr>
          <w:color w:val="auto"/>
          <w:highlight w:val="none"/>
        </w:rPr>
      </w:pPr>
      <w:r>
        <w:rPr>
          <w:rFonts w:hint="eastAsia"/>
          <w:color w:val="auto"/>
          <w:highlight w:val="none"/>
        </w:rPr>
        <w:t>经济签证单管理</w:t>
      </w:r>
    </w:p>
    <w:p w14:paraId="24F2D7AE">
      <w:pPr>
        <w:pStyle w:val="71"/>
        <w:ind w:left="568"/>
        <w:rPr>
          <w:color w:val="auto"/>
          <w:highlight w:val="none"/>
        </w:rPr>
      </w:pPr>
      <w:r>
        <w:rPr>
          <w:rFonts w:hint="eastAsia"/>
          <w:color w:val="auto"/>
          <w:highlight w:val="none"/>
        </w:rPr>
        <w:t>原则：实事求是，办理与审查及时；谁参加谁签；一事一单，工完签完。</w:t>
      </w:r>
    </w:p>
    <w:p w14:paraId="1822CE5A">
      <w:pPr>
        <w:pStyle w:val="71"/>
        <w:ind w:left="568"/>
        <w:rPr>
          <w:color w:val="auto"/>
          <w:highlight w:val="none"/>
        </w:rPr>
      </w:pPr>
      <w:r>
        <w:rPr>
          <w:rFonts w:hint="eastAsia"/>
          <w:color w:val="auto"/>
          <w:highlight w:val="none"/>
        </w:rPr>
        <w:t>范围：施工图纸、设计变更所确定的工程内容之外，施工图预算、工程量清单计费、消耗量定额或费用定额（计价规则）取费中未含有，而施工过程中又实际发生费用的施工内容所办理的签证。包含经济签证、清单计价工程的计日工，以及由设计变更、工程洽商记录、施工组织设计、施工方案和特殊技术措施等转换而成的经济签证。</w:t>
      </w:r>
    </w:p>
    <w:p w14:paraId="32F16466">
      <w:pPr>
        <w:pStyle w:val="71"/>
        <w:ind w:left="568"/>
        <w:rPr>
          <w:color w:val="auto"/>
          <w:highlight w:val="none"/>
        </w:rPr>
      </w:pPr>
      <w:r>
        <w:rPr>
          <w:rFonts w:hint="eastAsia"/>
          <w:color w:val="auto"/>
          <w:highlight w:val="none"/>
        </w:rPr>
        <w:t>签证事由：此栏应由应现场专业负责人负责手写，字迹应工整、清晰，须详细说明发生签证事由的原因、依据。</w:t>
      </w:r>
    </w:p>
    <w:p w14:paraId="48581CD6">
      <w:pPr>
        <w:pStyle w:val="71"/>
        <w:ind w:left="568"/>
        <w:rPr>
          <w:color w:val="auto"/>
          <w:highlight w:val="none"/>
        </w:rPr>
      </w:pPr>
      <w:r>
        <w:rPr>
          <w:rFonts w:hint="eastAsia"/>
          <w:color w:val="auto"/>
          <w:highlight w:val="none"/>
        </w:rPr>
        <w:t>方式：办理经济签证时，原则上应附施工简图，不能附图的应注明工程量计算式，工程量很小可以直接签认工程量。对无法套用定额的、或虽能套用定额但比较繁琐且量小的签证事由，方可签认人工工日数量或机械台班数量，但应明确所使用的甲供材明细。经济签证不得直接签认费用金额，确须签认的，须经</w:t>
      </w:r>
      <w:r>
        <w:rPr>
          <w:rFonts w:hint="eastAsia"/>
          <w:color w:val="auto"/>
          <w:szCs w:val="18"/>
          <w:highlight w:val="none"/>
        </w:rPr>
        <w:t>主管部门领导</w:t>
      </w:r>
      <w:r>
        <w:rPr>
          <w:rFonts w:hint="eastAsia"/>
          <w:color w:val="auto"/>
          <w:highlight w:val="none"/>
        </w:rPr>
        <w:t>(或公司分管领导）对费用金额签署审核意见。</w:t>
      </w:r>
    </w:p>
    <w:p w14:paraId="5CD1ED43">
      <w:pPr>
        <w:pStyle w:val="71"/>
        <w:ind w:left="568"/>
        <w:rPr>
          <w:color w:val="auto"/>
          <w:highlight w:val="none"/>
        </w:rPr>
      </w:pPr>
      <w:r>
        <w:rPr>
          <w:rFonts w:hint="eastAsia"/>
          <w:color w:val="auto"/>
          <w:highlight w:val="none"/>
        </w:rPr>
        <w:t>内容: 必须明确工程名称(与施工合同中名称一致)、单项工程名称、专业、施工部位、施工简图或工程量计算式、签证日期、参加单位(含建设单位、施工单位、监理单位)有关人员签名并加盖公章（或经授权的项目章）等。</w:t>
      </w:r>
    </w:p>
    <w:p w14:paraId="15E43468">
      <w:pPr>
        <w:pStyle w:val="72"/>
        <w:spacing w:before="156" w:after="156"/>
        <w:ind w:left="568"/>
        <w:rPr>
          <w:rFonts w:ascii="宋体" w:hAnsi="宋体" w:eastAsia="宋体"/>
          <w:color w:val="auto"/>
          <w:highlight w:val="none"/>
        </w:rPr>
      </w:pPr>
      <w:r>
        <w:rPr>
          <w:rFonts w:hint="eastAsia" w:ascii="宋体" w:hAnsi="宋体" w:eastAsia="宋体"/>
          <w:color w:val="auto"/>
          <w:highlight w:val="none"/>
        </w:rPr>
        <w:t>程序</w:t>
      </w:r>
      <w:r>
        <w:rPr>
          <w:rFonts w:ascii="宋体" w:hAnsi="宋体" w:eastAsia="宋体"/>
          <w:color w:val="auto"/>
          <w:highlight w:val="none"/>
        </w:rPr>
        <w:br w:type="textWrapping"/>
      </w:r>
      <w:r>
        <w:rPr>
          <w:rFonts w:ascii="宋体" w:hAnsi="宋体" w:eastAsia="宋体"/>
          <w:color w:val="auto"/>
          <w:highlight w:val="none"/>
        </w:rPr>
        <w:t xml:space="preserve">    1</w:t>
      </w:r>
      <w:r>
        <w:rPr>
          <w:rFonts w:hint="eastAsia" w:ascii="宋体" w:hAnsi="宋体" w:eastAsia="宋体"/>
          <w:color w:val="auto"/>
          <w:highlight w:val="none"/>
        </w:rPr>
        <w:t>、施工单位应于签证事由施工完毕后7日内向现场专业负责人提交经济签证单(签证事由施工时间较长的或签证事由施工完毕后不能准确确定签证内容的，施工单位应在施工过程中提请监理单位和现场专业负责人组织预勘验，需进行现场收方的应提前24小时通知监理单位、现场专业负责人、造价管理人员)，否则，超过规定时限的一律不予办理；</w:t>
      </w:r>
      <w:r>
        <w:rPr>
          <w:rFonts w:ascii="宋体" w:hAnsi="宋体" w:eastAsia="宋体"/>
          <w:color w:val="auto"/>
          <w:highlight w:val="none"/>
        </w:rPr>
        <w:br w:type="textWrapping"/>
      </w:r>
      <w:r>
        <w:rPr>
          <w:rFonts w:ascii="宋体" w:hAnsi="宋体" w:eastAsia="宋体"/>
          <w:color w:val="auto"/>
          <w:highlight w:val="none"/>
        </w:rPr>
        <w:t xml:space="preserve">    </w:t>
      </w:r>
      <w:r>
        <w:rPr>
          <w:rFonts w:hint="eastAsia" w:ascii="宋体" w:hAnsi="宋体" w:eastAsia="宋体"/>
          <w:color w:val="auto"/>
          <w:highlight w:val="none"/>
        </w:rPr>
        <w:t>2、现场专业负责人收到后72小时内组织造价管理人员、施工单位人员、监理人员及其他相关人员进行现场勘验；</w:t>
      </w:r>
      <w:r>
        <w:rPr>
          <w:rFonts w:ascii="宋体" w:hAnsi="宋体" w:eastAsia="宋体"/>
          <w:color w:val="auto"/>
          <w:highlight w:val="none"/>
        </w:rPr>
        <w:br w:type="textWrapping"/>
      </w:r>
      <w:r>
        <w:rPr>
          <w:rFonts w:ascii="宋体" w:hAnsi="宋体" w:eastAsia="宋体"/>
          <w:color w:val="auto"/>
          <w:highlight w:val="none"/>
        </w:rPr>
        <w:t xml:space="preserve">    </w:t>
      </w:r>
      <w:r>
        <w:rPr>
          <w:rFonts w:hint="eastAsia" w:ascii="宋体" w:hAnsi="宋体" w:eastAsia="宋体"/>
          <w:color w:val="auto"/>
          <w:highlight w:val="none"/>
        </w:rPr>
        <w:t>3、现场专业负责人在勘验后72小时内审核完毕后移交监理人员；</w:t>
      </w:r>
      <w:r>
        <w:rPr>
          <w:rFonts w:ascii="宋体" w:hAnsi="宋体" w:eastAsia="宋体"/>
          <w:color w:val="auto"/>
          <w:highlight w:val="none"/>
        </w:rPr>
        <w:br w:type="textWrapping"/>
      </w:r>
      <w:r>
        <w:rPr>
          <w:rFonts w:ascii="宋体" w:hAnsi="宋体" w:eastAsia="宋体"/>
          <w:color w:val="auto"/>
          <w:highlight w:val="none"/>
        </w:rPr>
        <w:t xml:space="preserve">    4</w:t>
      </w:r>
      <w:r>
        <w:rPr>
          <w:rFonts w:hint="eastAsia" w:ascii="宋体" w:hAnsi="宋体" w:eastAsia="宋体"/>
          <w:color w:val="auto"/>
          <w:highlight w:val="none"/>
        </w:rPr>
        <w:t>、监理人员在收到后72小时内审核完毕并移交造价管理人员；</w:t>
      </w:r>
      <w:r>
        <w:rPr>
          <w:rFonts w:ascii="宋体" w:hAnsi="宋体" w:eastAsia="宋体"/>
          <w:color w:val="auto"/>
          <w:highlight w:val="none"/>
        </w:rPr>
        <w:br w:type="textWrapping"/>
      </w:r>
      <w:r>
        <w:rPr>
          <w:rFonts w:ascii="宋体" w:hAnsi="宋体" w:eastAsia="宋体"/>
          <w:color w:val="auto"/>
          <w:highlight w:val="none"/>
        </w:rPr>
        <w:t xml:space="preserve">    5</w:t>
      </w:r>
      <w:r>
        <w:rPr>
          <w:rFonts w:hint="eastAsia" w:ascii="宋体" w:hAnsi="宋体" w:eastAsia="宋体"/>
          <w:color w:val="auto"/>
          <w:highlight w:val="none"/>
        </w:rPr>
        <w:t>、造价管理人员在收到后72小时内审核完毕并提交项目负责人、主管部门领导签字（超过5万元需公司分管领导签字）并于次日内分发给建设单位、监理公司、施工单位各一份，造价管理人员须做签证登记；</w:t>
      </w:r>
      <w:r>
        <w:rPr>
          <w:rFonts w:ascii="宋体" w:hAnsi="宋体" w:eastAsia="宋体"/>
          <w:color w:val="auto"/>
          <w:highlight w:val="none"/>
        </w:rPr>
        <w:br w:type="textWrapping"/>
      </w:r>
      <w:r>
        <w:rPr>
          <w:rFonts w:ascii="宋体" w:hAnsi="宋体" w:eastAsia="宋体"/>
          <w:color w:val="auto"/>
          <w:highlight w:val="none"/>
        </w:rPr>
        <w:t xml:space="preserve">    6、</w:t>
      </w:r>
      <w:r>
        <w:rPr>
          <w:rFonts w:hint="eastAsia" w:ascii="宋体" w:hAnsi="宋体" w:eastAsia="宋体"/>
          <w:color w:val="auto"/>
          <w:highlight w:val="none"/>
        </w:rPr>
        <w:t>现场专业负责人、造价管理人员（包含造价咨询公司审核时间）未分别在72小时内完成审核则由主管部门在对应人员当月绩效考核时减发绩效200元/人.次。</w:t>
      </w:r>
    </w:p>
    <w:p w14:paraId="159E2C92">
      <w:pPr>
        <w:pStyle w:val="71"/>
        <w:ind w:left="568"/>
        <w:rPr>
          <w:color w:val="auto"/>
          <w:highlight w:val="none"/>
        </w:rPr>
      </w:pPr>
      <w:r>
        <w:rPr>
          <w:rFonts w:hint="eastAsia"/>
          <w:color w:val="auto"/>
          <w:highlight w:val="none"/>
        </w:rPr>
        <w:t>经济签证单办理流程</w:t>
      </w:r>
      <w:bookmarkStart w:id="531" w:name="OLE_LINK3"/>
      <w:bookmarkStart w:id="532" w:name="OLE_LINK2"/>
      <w:r>
        <w:rPr>
          <w:rFonts w:hint="eastAsia"/>
          <w:color w:val="auto"/>
          <w:highlight w:val="none"/>
        </w:rPr>
        <w:t>见附录C</w:t>
      </w:r>
      <w:bookmarkEnd w:id="531"/>
      <w:bookmarkEnd w:id="532"/>
    </w:p>
    <w:p w14:paraId="0E3B3B25">
      <w:pPr>
        <w:pStyle w:val="71"/>
        <w:ind w:left="568"/>
        <w:rPr>
          <w:color w:val="auto"/>
          <w:highlight w:val="none"/>
        </w:rPr>
      </w:pPr>
      <w:r>
        <w:rPr>
          <w:rFonts w:hint="eastAsia"/>
          <w:color w:val="auto"/>
          <w:highlight w:val="none"/>
        </w:rPr>
        <w:t>对于现场收方的情况，施工单位应先作原始记录单，在现场收方时根据参加人员商定的结果，在原始记录单上做好记录，所有参加人员必须签字认可，原件由造价管理人员保管。施工单位报送正式的经济签证单时，应提供该原始记录单。</w:t>
      </w:r>
    </w:p>
    <w:p w14:paraId="45DCC5BE">
      <w:pPr>
        <w:pStyle w:val="71"/>
        <w:ind w:left="568"/>
        <w:rPr>
          <w:color w:val="auto"/>
          <w:highlight w:val="none"/>
        </w:rPr>
      </w:pPr>
      <w:r>
        <w:rPr>
          <w:rFonts w:hint="eastAsia"/>
          <w:color w:val="auto"/>
          <w:highlight w:val="none"/>
        </w:rPr>
        <w:t>办理经济签证时，建设单位及监理公司现场代表应认真、仔细确定签证内容的真实性、准确性、完整性，严禁虚增经济签证的内容；造价管理人员根据造价计算相关规定，结合工程建设的实际情况确定费用划分、是否单列计算或不计算等。</w:t>
      </w:r>
    </w:p>
    <w:p w14:paraId="014CBF59">
      <w:pPr>
        <w:pStyle w:val="71"/>
        <w:ind w:left="568"/>
        <w:rPr>
          <w:color w:val="auto"/>
          <w:highlight w:val="none"/>
        </w:rPr>
      </w:pPr>
      <w:r>
        <w:rPr>
          <w:rFonts w:hint="eastAsia"/>
          <w:color w:val="auto"/>
          <w:highlight w:val="none"/>
        </w:rPr>
        <w:t>在经济签证单中，设备、材料需要回收的，施工单位在工程结算时应出具回收单位(部门）的相关证明，否则，我公司将在工程结算中扣除应回收部分的价款。</w:t>
      </w:r>
    </w:p>
    <w:p w14:paraId="417D707F">
      <w:pPr>
        <w:pStyle w:val="71"/>
        <w:ind w:left="568"/>
        <w:rPr>
          <w:color w:val="auto"/>
          <w:highlight w:val="none"/>
        </w:rPr>
      </w:pPr>
      <w:r>
        <w:rPr>
          <w:rFonts w:hint="eastAsia"/>
          <w:color w:val="auto"/>
          <w:highlight w:val="none"/>
        </w:rPr>
        <w:t>建设单位有关人员因特殊原因不能参加的，由部门领导(或专业组负责人）安排其他人员参加，没有其他人员代为参加的，可在三天内补签。超过时限补签的应注明“补”，并签注补签日期。</w:t>
      </w:r>
    </w:p>
    <w:p w14:paraId="61480CBA">
      <w:pPr>
        <w:pStyle w:val="71"/>
        <w:ind w:left="568"/>
        <w:rPr>
          <w:color w:val="auto"/>
          <w:highlight w:val="none"/>
        </w:rPr>
      </w:pPr>
      <w:r>
        <w:rPr>
          <w:rFonts w:hint="eastAsia"/>
          <w:color w:val="auto"/>
          <w:highlight w:val="none"/>
        </w:rPr>
        <w:t>工程竣工验收前的施工内容必须在工程竣工验收前办理完毕。</w:t>
      </w:r>
    </w:p>
    <w:p w14:paraId="05DB3A04">
      <w:pPr>
        <w:pStyle w:val="72"/>
        <w:spacing w:before="156" w:after="156"/>
        <w:ind w:left="568"/>
        <w:rPr>
          <w:color w:val="auto"/>
          <w:highlight w:val="none"/>
        </w:rPr>
      </w:pPr>
      <w:r>
        <w:rPr>
          <w:rFonts w:hint="eastAsia" w:ascii="宋体" w:eastAsia="宋体"/>
          <w:color w:val="auto"/>
          <w:highlight w:val="none"/>
        </w:rPr>
        <w:t>经济签证单上必须具备建设单位的现场专业负责人员、造价管理人员、项目负责人和主管部门领导签字方为有效</w:t>
      </w:r>
      <w:r>
        <w:rPr>
          <w:rFonts w:hint="eastAsia"/>
          <w:color w:val="auto"/>
          <w:highlight w:val="none"/>
        </w:rPr>
        <w:t>。</w:t>
      </w:r>
    </w:p>
    <w:p w14:paraId="31305406">
      <w:pPr>
        <w:pStyle w:val="71"/>
        <w:ind w:left="568"/>
        <w:rPr>
          <w:color w:val="auto"/>
          <w:highlight w:val="none"/>
        </w:rPr>
      </w:pPr>
      <w:r>
        <w:rPr>
          <w:rFonts w:hint="eastAsia"/>
          <w:color w:val="auto"/>
          <w:highlight w:val="none"/>
        </w:rPr>
        <w:t>单份经济签证单涉及的变更金额在五万元以下（含五万元）的，须经</w:t>
      </w:r>
      <w:r>
        <w:rPr>
          <w:rFonts w:hint="eastAsia"/>
          <w:color w:val="auto"/>
          <w:szCs w:val="18"/>
          <w:highlight w:val="none"/>
        </w:rPr>
        <w:t>主管部门领导</w:t>
      </w:r>
      <w:r>
        <w:rPr>
          <w:rFonts w:hint="eastAsia"/>
          <w:color w:val="auto"/>
          <w:highlight w:val="none"/>
        </w:rPr>
        <w:t>审核认可；单份经济签证单涉及的变更金额在五万元以上的，须经公司分管领导审核认可。</w:t>
      </w:r>
    </w:p>
    <w:p w14:paraId="52C80A5C">
      <w:pPr>
        <w:pStyle w:val="71"/>
        <w:ind w:left="568"/>
        <w:rPr>
          <w:color w:val="auto"/>
          <w:highlight w:val="none"/>
        </w:rPr>
      </w:pPr>
      <w:r>
        <w:rPr>
          <w:rFonts w:hint="eastAsia"/>
          <w:color w:val="auto"/>
          <w:highlight w:val="none"/>
        </w:rPr>
        <w:t>施工单位提交的经济签证单不得有涂抹和更改，否则，一律不予受理；建设单位、监理单位的审核意见须及时反馈施工单位重新编制签证，不得以任何方式直接在签证单上进行修改。</w:t>
      </w:r>
    </w:p>
    <w:p w14:paraId="35C6A7A8">
      <w:pPr>
        <w:pStyle w:val="71"/>
        <w:ind w:left="568"/>
        <w:rPr>
          <w:color w:val="auto"/>
          <w:highlight w:val="none"/>
        </w:rPr>
      </w:pPr>
      <w:r>
        <w:rPr>
          <w:rFonts w:hint="eastAsia"/>
          <w:color w:val="auto"/>
          <w:highlight w:val="none"/>
        </w:rPr>
        <w:t>经济签证单一式二份(原件）；</w:t>
      </w:r>
      <w:r>
        <w:rPr>
          <w:color w:val="auto"/>
          <w:highlight w:val="none"/>
        </w:rPr>
        <w:br w:type="textWrapping"/>
      </w:r>
      <w:r>
        <w:rPr>
          <w:color w:val="auto"/>
          <w:highlight w:val="none"/>
        </w:rPr>
        <w:t xml:space="preserve">    </w:t>
      </w:r>
      <w:r>
        <w:rPr>
          <w:rFonts w:hint="eastAsia"/>
          <w:color w:val="auto"/>
          <w:highlight w:val="none"/>
        </w:rPr>
        <w:t>编号：专业代码－××号；</w:t>
      </w:r>
      <w:r>
        <w:rPr>
          <w:color w:val="auto"/>
          <w:highlight w:val="none"/>
        </w:rPr>
        <w:br w:type="textWrapping"/>
      </w:r>
      <w:r>
        <w:rPr>
          <w:color w:val="auto"/>
          <w:highlight w:val="none"/>
        </w:rPr>
        <w:t xml:space="preserve">    </w:t>
      </w:r>
      <w:r>
        <w:rPr>
          <w:rFonts w:hint="eastAsia"/>
          <w:color w:val="auto"/>
          <w:highlight w:val="none"/>
        </w:rPr>
        <w:t>专业代码：土建－TJ；工艺管道－GD；设备－SB；仪表－YB；暖通—NT；电气－DQ；绝热防腐－FF；给排水－GPS；消防—XF；钢结构－GG；其它－QT；</w:t>
      </w:r>
      <w:r>
        <w:rPr>
          <w:color w:val="auto"/>
          <w:highlight w:val="none"/>
        </w:rPr>
        <w:br w:type="textWrapping"/>
      </w:r>
      <w:r>
        <w:rPr>
          <w:color w:val="auto"/>
          <w:highlight w:val="none"/>
        </w:rPr>
        <w:t xml:space="preserve">    </w:t>
      </w:r>
      <w:r>
        <w:rPr>
          <w:rFonts w:hint="eastAsia"/>
          <w:color w:val="auto"/>
          <w:highlight w:val="none"/>
        </w:rPr>
        <w:t>连续编号，不得重号、空号、跳号。对于审核后不予确认的，仍应保留该编号的签证单，结算时依据的签证单必须编号连续。</w:t>
      </w:r>
    </w:p>
    <w:p w14:paraId="182C6A42">
      <w:pPr>
        <w:pStyle w:val="71"/>
        <w:ind w:left="568"/>
        <w:rPr>
          <w:color w:val="auto"/>
          <w:highlight w:val="none"/>
        </w:rPr>
      </w:pPr>
      <w:r>
        <w:rPr>
          <w:rFonts w:hint="eastAsia"/>
          <w:color w:val="auto"/>
          <w:highlight w:val="none"/>
        </w:rPr>
        <w:t>主管部门应加强工程内容和工程量减少的签证管理。对工程内容和工程量减少的，现场专业人员或监理工程师应督促施工单位办理相关经济签证。对拒不办理的，由现场专业人员或监理工程师发出督办通知，督办通知发出后仍未办理的，按所减少工程费用的2倍在工程竣工结算时扣减。</w:t>
      </w:r>
    </w:p>
    <w:p w14:paraId="274A1BC5">
      <w:pPr>
        <w:pStyle w:val="72"/>
        <w:spacing w:before="156" w:after="156"/>
        <w:ind w:left="568"/>
        <w:rPr>
          <w:color w:val="auto"/>
          <w:highlight w:val="none"/>
        </w:rPr>
      </w:pPr>
      <w:r>
        <w:rPr>
          <w:rFonts w:hint="eastAsia" w:ascii="宋体" w:hAnsi="宋体" w:eastAsia="宋体"/>
          <w:color w:val="auto"/>
          <w:highlight w:val="none"/>
        </w:rPr>
        <w:t>签证抽查：</w:t>
      </w:r>
      <w:r>
        <w:rPr>
          <w:color w:val="auto"/>
          <w:highlight w:val="none"/>
        </w:rPr>
        <w:br w:type="textWrapping"/>
      </w:r>
      <w:r>
        <w:rPr>
          <w:rFonts w:hint="eastAsia"/>
          <w:color w:val="auto"/>
          <w:highlight w:val="none"/>
        </w:rPr>
        <w:t xml:space="preserve"> </w:t>
      </w:r>
      <w:r>
        <w:rPr>
          <w:color w:val="auto"/>
          <w:highlight w:val="none"/>
        </w:rPr>
        <w:t xml:space="preserve">   </w:t>
      </w:r>
      <w:r>
        <w:rPr>
          <w:rFonts w:hint="eastAsia" w:ascii="宋体" w:eastAsia="宋体"/>
          <w:color w:val="auto"/>
          <w:highlight w:val="none"/>
        </w:rPr>
        <w:t>主管部门派遣的其他专业负责人、造价管理人员每月对上月在建工程已完善签字盖章流程的签证中选取20%进行复核审查（抽查数量向上取整，当月完成签证不足10份的抽查2份，重点抽选金额较大的签证）。复核结果需形成现场抽查记录表（一式二份），如签证工程量与实际工程量不符或违背合同计价原则，则对相关签证经办专业负责人和造价管理人员进行考核。现场抽查记录表由参与抽查人员留底。</w:t>
      </w:r>
    </w:p>
    <w:p w14:paraId="15DC34D0">
      <w:pPr>
        <w:pStyle w:val="71"/>
        <w:ind w:left="568"/>
        <w:rPr>
          <w:color w:val="auto"/>
          <w:highlight w:val="none"/>
        </w:rPr>
      </w:pPr>
      <w:r>
        <w:rPr>
          <w:rFonts w:hint="eastAsia"/>
          <w:color w:val="auto"/>
          <w:highlight w:val="none"/>
        </w:rPr>
        <w:t>签证考核：</w:t>
      </w:r>
      <w:r>
        <w:rPr>
          <w:color w:val="auto"/>
          <w:highlight w:val="none"/>
        </w:rPr>
        <w:br w:type="textWrapping"/>
      </w:r>
      <w:r>
        <w:rPr>
          <w:rFonts w:hint="eastAsia"/>
          <w:color w:val="auto"/>
          <w:highlight w:val="none"/>
        </w:rPr>
        <w:t xml:space="preserve"> </w:t>
      </w:r>
      <w:r>
        <w:rPr>
          <w:color w:val="auto"/>
          <w:highlight w:val="none"/>
        </w:rPr>
        <w:t xml:space="preserve">   </w:t>
      </w:r>
      <w:r>
        <w:rPr>
          <w:rFonts w:hint="eastAsia"/>
          <w:color w:val="auto"/>
          <w:highlight w:val="none"/>
        </w:rPr>
        <w:t>当签证工程量与实际工程量不符或违背合同计价原则时，签证单按实进行修正；正偏差在3%以内不考核，正偏差大于3%时且单张签证金额偏差在5000元以内，对负责该签证的专业负责人、造价管理人员按250元/份签证进行绩效考核；正偏差大于3%时且单张签证金额偏差在5000元以上，对负责该签证的专业负责人、造价管理人员按500元/份签证进行绩效考核,当年次数达到3次,暂停工程管理相关工作，如发现恶意弄虚作假，按公司《员工违规行为处理规定》执行。</w:t>
      </w:r>
    </w:p>
    <w:p w14:paraId="4A6DBF05">
      <w:pPr>
        <w:pStyle w:val="70"/>
        <w:spacing w:before="312" w:after="312"/>
        <w:ind w:left="3544"/>
        <w:rPr>
          <w:color w:val="auto"/>
          <w:highlight w:val="none"/>
        </w:rPr>
      </w:pPr>
      <w:r>
        <w:rPr>
          <w:rFonts w:hint="eastAsia"/>
          <w:color w:val="auto"/>
          <w:highlight w:val="none"/>
        </w:rPr>
        <w:t>施工组织设计、专项施工方案和特殊技术措施管理</w:t>
      </w:r>
    </w:p>
    <w:p w14:paraId="2C893313">
      <w:pPr>
        <w:pStyle w:val="71"/>
        <w:ind w:left="568"/>
        <w:rPr>
          <w:color w:val="auto"/>
          <w:highlight w:val="none"/>
        </w:rPr>
      </w:pPr>
      <w:r>
        <w:rPr>
          <w:color w:val="auto"/>
          <w:highlight w:val="none"/>
        </w:rPr>
        <w:t>施工组织设计、施工方案和特殊技术措施的</w:t>
      </w:r>
      <w:r>
        <w:rPr>
          <w:rFonts w:hint="eastAsia"/>
          <w:color w:val="auto"/>
          <w:highlight w:val="none"/>
        </w:rPr>
        <w:t>书面批复意见内</w:t>
      </w:r>
      <w:r>
        <w:rPr>
          <w:color w:val="auto"/>
          <w:highlight w:val="none"/>
        </w:rPr>
        <w:t>明确</w:t>
      </w:r>
      <w:r>
        <w:rPr>
          <w:rFonts w:hint="eastAsia"/>
          <w:color w:val="auto"/>
          <w:highlight w:val="none"/>
        </w:rPr>
        <w:t>而具体的</w:t>
      </w:r>
      <w:r>
        <w:rPr>
          <w:color w:val="auto"/>
          <w:highlight w:val="none"/>
        </w:rPr>
        <w:t>批复内容</w:t>
      </w:r>
      <w:r>
        <w:rPr>
          <w:rFonts w:hint="eastAsia"/>
          <w:color w:val="auto"/>
          <w:highlight w:val="none"/>
        </w:rPr>
        <w:t>可</w:t>
      </w:r>
      <w:r>
        <w:rPr>
          <w:color w:val="auto"/>
          <w:highlight w:val="none"/>
        </w:rPr>
        <w:t>作为工程竣工结算依据</w:t>
      </w:r>
      <w:r>
        <w:rPr>
          <w:rFonts w:hint="eastAsia"/>
          <w:color w:val="auto"/>
          <w:highlight w:val="none"/>
        </w:rPr>
        <w:t>。而</w:t>
      </w:r>
      <w:r>
        <w:rPr>
          <w:color w:val="auto"/>
          <w:highlight w:val="none"/>
        </w:rPr>
        <w:t>批复</w:t>
      </w:r>
      <w:r>
        <w:rPr>
          <w:rFonts w:hint="eastAsia"/>
          <w:color w:val="auto"/>
          <w:highlight w:val="none"/>
        </w:rPr>
        <w:t>意见</w:t>
      </w:r>
      <w:r>
        <w:rPr>
          <w:color w:val="auto"/>
          <w:highlight w:val="none"/>
        </w:rPr>
        <w:t>内未明确的</w:t>
      </w:r>
      <w:r>
        <w:rPr>
          <w:rFonts w:hint="eastAsia"/>
          <w:color w:val="auto"/>
          <w:highlight w:val="none"/>
        </w:rPr>
        <w:t>，或概括性描述的，或对</w:t>
      </w:r>
      <w:r>
        <w:rPr>
          <w:color w:val="auto"/>
          <w:highlight w:val="none"/>
        </w:rPr>
        <w:t>明确的内容有更改的</w:t>
      </w:r>
      <w:r>
        <w:rPr>
          <w:rFonts w:hint="eastAsia"/>
          <w:color w:val="auto"/>
          <w:highlight w:val="none"/>
        </w:rPr>
        <w:t>，</w:t>
      </w:r>
      <w:r>
        <w:rPr>
          <w:color w:val="auto"/>
          <w:highlight w:val="none"/>
        </w:rPr>
        <w:t>应</w:t>
      </w:r>
      <w:r>
        <w:rPr>
          <w:rFonts w:hint="eastAsia"/>
          <w:color w:val="auto"/>
          <w:highlight w:val="none"/>
        </w:rPr>
        <w:t>根据工程实际实施情况</w:t>
      </w:r>
      <w:r>
        <w:rPr>
          <w:color w:val="auto"/>
          <w:highlight w:val="none"/>
        </w:rPr>
        <w:t>办理工程经济签证单后方可作为结算依据。</w:t>
      </w:r>
    </w:p>
    <w:p w14:paraId="00FAFF7B">
      <w:pPr>
        <w:pStyle w:val="71"/>
        <w:ind w:left="568"/>
        <w:rPr>
          <w:color w:val="auto"/>
          <w:highlight w:val="none"/>
        </w:rPr>
      </w:pPr>
      <w:r>
        <w:rPr>
          <w:color w:val="auto"/>
          <w:highlight w:val="none"/>
        </w:rPr>
        <w:t>对于大型工程，</w:t>
      </w:r>
      <w:r>
        <w:rPr>
          <w:rFonts w:hint="eastAsia"/>
          <w:color w:val="auto"/>
          <w:highlight w:val="none"/>
        </w:rPr>
        <w:t>为便于造价管理，</w:t>
      </w:r>
      <w:r>
        <w:rPr>
          <w:color w:val="auto"/>
          <w:highlight w:val="none"/>
        </w:rPr>
        <w:t>可不</w:t>
      </w:r>
      <w:r>
        <w:rPr>
          <w:rFonts w:hint="eastAsia"/>
          <w:color w:val="auto"/>
          <w:highlight w:val="none"/>
        </w:rPr>
        <w:t>以</w:t>
      </w:r>
      <w:r>
        <w:rPr>
          <w:color w:val="auto"/>
          <w:highlight w:val="none"/>
        </w:rPr>
        <w:t>施工组织设计、施工方案和特殊技术措施的</w:t>
      </w:r>
      <w:r>
        <w:rPr>
          <w:rFonts w:hint="eastAsia"/>
          <w:color w:val="auto"/>
          <w:highlight w:val="none"/>
        </w:rPr>
        <w:t>书面批复意见</w:t>
      </w:r>
      <w:r>
        <w:rPr>
          <w:color w:val="auto"/>
          <w:highlight w:val="none"/>
        </w:rPr>
        <w:t>作为结算依据，而</w:t>
      </w:r>
      <w:r>
        <w:rPr>
          <w:rFonts w:hint="eastAsia"/>
          <w:color w:val="auto"/>
          <w:highlight w:val="none"/>
        </w:rPr>
        <w:t>是根据实际实施情况转化为</w:t>
      </w:r>
      <w:r>
        <w:rPr>
          <w:color w:val="auto"/>
          <w:highlight w:val="none"/>
        </w:rPr>
        <w:t>经济签证单</w:t>
      </w:r>
      <w:r>
        <w:rPr>
          <w:rFonts w:hint="eastAsia"/>
          <w:color w:val="auto"/>
          <w:highlight w:val="none"/>
        </w:rPr>
        <w:t>后</w:t>
      </w:r>
      <w:r>
        <w:rPr>
          <w:color w:val="auto"/>
          <w:highlight w:val="none"/>
        </w:rPr>
        <w:t>作为依据。</w:t>
      </w:r>
    </w:p>
    <w:p w14:paraId="2D0EBB9E">
      <w:pPr>
        <w:pStyle w:val="71"/>
        <w:ind w:left="568"/>
        <w:rPr>
          <w:color w:val="auto"/>
          <w:highlight w:val="none"/>
        </w:rPr>
      </w:pPr>
      <w:r>
        <w:rPr>
          <w:color w:val="auto"/>
          <w:highlight w:val="none"/>
        </w:rPr>
        <w:t>未实行会审和会签的施工组织设计、施工方案和特殊技术措施，</w:t>
      </w:r>
      <w:r>
        <w:rPr>
          <w:rFonts w:hint="eastAsia"/>
          <w:color w:val="auto"/>
          <w:highlight w:val="none"/>
        </w:rPr>
        <w:t>为无效的技术经济文件，</w:t>
      </w:r>
      <w:r>
        <w:rPr>
          <w:color w:val="auto"/>
          <w:highlight w:val="none"/>
        </w:rPr>
        <w:t>一律不得作为工程施工和工程竣工结算的依据。</w:t>
      </w:r>
    </w:p>
    <w:p w14:paraId="1A92CC05">
      <w:pPr>
        <w:pStyle w:val="70"/>
        <w:spacing w:before="312" w:after="312"/>
        <w:ind w:left="3544"/>
        <w:rPr>
          <w:color w:val="auto"/>
          <w:highlight w:val="none"/>
        </w:rPr>
      </w:pPr>
      <w:r>
        <w:rPr>
          <w:rFonts w:hint="eastAsia"/>
          <w:color w:val="auto"/>
          <w:highlight w:val="none"/>
        </w:rPr>
        <w:t>附则</w:t>
      </w:r>
    </w:p>
    <w:p w14:paraId="7E8CA6C4">
      <w:pPr>
        <w:pStyle w:val="71"/>
        <w:ind w:left="568"/>
        <w:rPr>
          <w:color w:val="auto"/>
          <w:highlight w:val="none"/>
        </w:rPr>
      </w:pPr>
      <w:r>
        <w:rPr>
          <w:rFonts w:hint="eastAsia"/>
          <w:color w:val="auto"/>
          <w:highlight w:val="none"/>
        </w:rPr>
        <w:t>未按上述要求办理的，均为无效的技术经济文件。</w:t>
      </w:r>
    </w:p>
    <w:p w14:paraId="0D1E9290">
      <w:pPr>
        <w:pStyle w:val="71"/>
        <w:ind w:left="568"/>
        <w:rPr>
          <w:color w:val="auto"/>
          <w:highlight w:val="none"/>
        </w:rPr>
      </w:pPr>
      <w:r>
        <w:rPr>
          <w:rFonts w:hint="eastAsia"/>
          <w:color w:val="auto"/>
          <w:highlight w:val="none"/>
        </w:rPr>
        <w:t>凡施工单位不提交费用减少的经济签证单，一经发现，由监理公司或建设单位发出通知，若通知后仍未提交的，我公司将在工程结算中双倍扣回所减少部分的费用。同时建设单位及监理公司现场代表应特别督促施工单位对涉及费用减少的项目办理经济签证。</w:t>
      </w:r>
    </w:p>
    <w:p w14:paraId="2E483837">
      <w:pPr>
        <w:pStyle w:val="71"/>
        <w:ind w:left="568"/>
        <w:rPr>
          <w:color w:val="auto"/>
          <w:highlight w:val="none"/>
        </w:rPr>
      </w:pPr>
      <w:r>
        <w:rPr>
          <w:color w:val="auto"/>
          <w:highlight w:val="none"/>
        </w:rPr>
        <w:t>其他部门业务涉及需要办理经济签证单可参照本管理办法执行。</w:t>
      </w:r>
      <w:r>
        <w:rPr>
          <w:color w:val="auto"/>
          <w:highlight w:val="none"/>
        </w:rPr>
        <w:br w:type="textWrapping"/>
      </w:r>
    </w:p>
    <w:p w14:paraId="0E49A2F4">
      <w:pPr>
        <w:widowControl/>
        <w:jc w:val="left"/>
        <w:rPr>
          <w:rFonts w:ascii="宋体"/>
          <w:color w:val="auto"/>
          <w:kern w:val="0"/>
          <w:szCs w:val="21"/>
          <w:highlight w:val="none"/>
        </w:rPr>
      </w:pPr>
      <w:r>
        <w:rPr>
          <w:color w:val="auto"/>
          <w:highlight w:val="none"/>
        </w:rPr>
        <w:br w:type="page"/>
      </w:r>
    </w:p>
    <w:p w14:paraId="15C22BF4">
      <w:pPr>
        <w:pStyle w:val="71"/>
        <w:jc w:val="center"/>
        <w:rPr>
          <w:color w:val="auto"/>
          <w:highlight w:val="none"/>
        </w:rPr>
      </w:pPr>
      <w:r>
        <w:rPr>
          <w:rFonts w:hint="eastAsia"/>
          <w:color w:val="auto"/>
          <w:highlight w:val="none"/>
        </w:rPr>
        <w:t>附录A</w:t>
      </w:r>
      <w:r>
        <w:rPr>
          <w:color w:val="auto"/>
          <w:highlight w:val="none"/>
        </w:rPr>
        <w:br w:type="textWrapping"/>
      </w:r>
      <w:r>
        <w:rPr>
          <w:rFonts w:hint="eastAsia"/>
          <w:color w:val="auto"/>
          <w:highlight w:val="none"/>
        </w:rPr>
        <w:t>（规范性附录）</w:t>
      </w:r>
    </w:p>
    <w:p w14:paraId="38B36EA5">
      <w:pPr>
        <w:autoSpaceDE w:val="0"/>
        <w:autoSpaceDN w:val="0"/>
        <w:adjustRightInd w:val="0"/>
        <w:spacing w:line="360" w:lineRule="auto"/>
        <w:jc w:val="center"/>
        <w:rPr>
          <w:rFonts w:ascii="宋体" w:hAnsi="宋体"/>
          <w:b/>
          <w:color w:val="auto"/>
          <w:sz w:val="24"/>
          <w:highlight w:val="none"/>
        </w:rPr>
      </w:pPr>
      <w:r>
        <w:rPr>
          <w:rFonts w:hint="eastAsia" w:ascii="宋体" w:hAnsi="宋体"/>
          <w:b/>
          <w:color w:val="auto"/>
          <w:sz w:val="24"/>
          <w:highlight w:val="none"/>
        </w:rPr>
        <w:t>经济签证单</w:t>
      </w:r>
    </w:p>
    <w:p w14:paraId="2FB05401">
      <w:pPr>
        <w:autoSpaceDE w:val="0"/>
        <w:autoSpaceDN w:val="0"/>
        <w:adjustRightInd w:val="0"/>
        <w:spacing w:line="360" w:lineRule="auto"/>
        <w:jc w:val="center"/>
        <w:rPr>
          <w:rFonts w:ascii="宋体" w:hAnsi="宋体"/>
          <w:b/>
          <w:color w:val="auto"/>
          <w:sz w:val="18"/>
          <w:szCs w:val="18"/>
          <w:highlight w:val="none"/>
        </w:rPr>
      </w:pPr>
      <w:r>
        <w:rPr>
          <w:rFonts w:hint="eastAsia" w:ascii="宋体" w:hAnsi="宋体"/>
          <w:color w:val="auto"/>
          <w:sz w:val="18"/>
          <w:szCs w:val="18"/>
          <w:highlight w:val="none"/>
        </w:rPr>
        <w:t>（五万元以下适用）</w:t>
      </w:r>
    </w:p>
    <w:tbl>
      <w:tblPr>
        <w:tblStyle w:val="20"/>
        <w:tblW w:w="0" w:type="auto"/>
        <w:jc w:val="center"/>
        <w:tblLayout w:type="fixed"/>
        <w:tblCellMar>
          <w:top w:w="0" w:type="dxa"/>
          <w:left w:w="108" w:type="dxa"/>
          <w:bottom w:w="0" w:type="dxa"/>
          <w:right w:w="108" w:type="dxa"/>
        </w:tblCellMar>
      </w:tblPr>
      <w:tblGrid>
        <w:gridCol w:w="1694"/>
        <w:gridCol w:w="1843"/>
        <w:gridCol w:w="1760"/>
        <w:gridCol w:w="83"/>
        <w:gridCol w:w="1283"/>
        <w:gridCol w:w="559"/>
        <w:gridCol w:w="1834"/>
      </w:tblGrid>
      <w:tr w14:paraId="06F9CAB9">
        <w:tblPrEx>
          <w:tblCellMar>
            <w:top w:w="0" w:type="dxa"/>
            <w:left w:w="108" w:type="dxa"/>
            <w:bottom w:w="0" w:type="dxa"/>
            <w:right w:w="108" w:type="dxa"/>
          </w:tblCellMar>
        </w:tblPrEx>
        <w:trPr>
          <w:trHeight w:val="356" w:hRule="atLeast"/>
          <w:jc w:val="center"/>
        </w:trPr>
        <w:tc>
          <w:tcPr>
            <w:tcW w:w="5297" w:type="dxa"/>
            <w:gridSpan w:val="3"/>
            <w:tcBorders>
              <w:top w:val="nil"/>
              <w:left w:val="nil"/>
              <w:bottom w:val="nil"/>
              <w:right w:val="nil"/>
            </w:tcBorders>
            <w:vAlign w:val="center"/>
          </w:tcPr>
          <w:p w14:paraId="7E321941">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工程名称：                  分部工程：</w:t>
            </w:r>
          </w:p>
        </w:tc>
        <w:tc>
          <w:tcPr>
            <w:tcW w:w="3759" w:type="dxa"/>
            <w:gridSpan w:val="4"/>
            <w:tcBorders>
              <w:top w:val="nil"/>
              <w:left w:val="nil"/>
              <w:bottom w:val="nil"/>
              <w:right w:val="nil"/>
            </w:tcBorders>
            <w:vAlign w:val="center"/>
          </w:tcPr>
          <w:p w14:paraId="63F9A10D">
            <w:pPr>
              <w:widowControl/>
              <w:rPr>
                <w:rFonts w:ascii="宋体" w:hAnsi="宋体" w:cs="宋体"/>
                <w:color w:val="auto"/>
                <w:kern w:val="0"/>
                <w:sz w:val="24"/>
                <w:highlight w:val="none"/>
              </w:rPr>
            </w:pPr>
            <w:r>
              <w:rPr>
                <w:rFonts w:hint="eastAsia" w:ascii="宋体" w:hAnsi="宋体" w:cs="宋体"/>
                <w:color w:val="auto"/>
                <w:kern w:val="0"/>
                <w:sz w:val="24"/>
                <w:highlight w:val="none"/>
              </w:rPr>
              <w:t xml:space="preserve">日期：            </w:t>
            </w:r>
          </w:p>
        </w:tc>
      </w:tr>
      <w:tr w14:paraId="2A3986EF">
        <w:tblPrEx>
          <w:tblCellMar>
            <w:top w:w="0" w:type="dxa"/>
            <w:left w:w="108" w:type="dxa"/>
            <w:bottom w:w="0" w:type="dxa"/>
            <w:right w:w="108" w:type="dxa"/>
          </w:tblCellMar>
        </w:tblPrEx>
        <w:trPr>
          <w:trHeight w:val="634" w:hRule="atLeast"/>
          <w:jc w:val="center"/>
        </w:trPr>
        <w:tc>
          <w:tcPr>
            <w:tcW w:w="5380" w:type="dxa"/>
            <w:gridSpan w:val="4"/>
            <w:tcBorders>
              <w:top w:val="single" w:color="auto" w:sz="4" w:space="0"/>
              <w:left w:val="single" w:color="auto" w:sz="4" w:space="0"/>
              <w:bottom w:val="single" w:color="auto" w:sz="4" w:space="0"/>
              <w:right w:val="single" w:color="auto" w:sz="4" w:space="0"/>
            </w:tcBorders>
            <w:vAlign w:val="center"/>
          </w:tcPr>
          <w:p w14:paraId="5D1EEDF4">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施工单位：</w:t>
            </w:r>
          </w:p>
        </w:tc>
        <w:tc>
          <w:tcPr>
            <w:tcW w:w="1283" w:type="dxa"/>
            <w:tcBorders>
              <w:top w:val="single" w:color="auto" w:sz="4" w:space="0"/>
              <w:left w:val="nil"/>
              <w:bottom w:val="single" w:color="auto" w:sz="4" w:space="0"/>
              <w:right w:val="single" w:color="auto" w:sz="4" w:space="0"/>
            </w:tcBorders>
            <w:vAlign w:val="center"/>
          </w:tcPr>
          <w:p w14:paraId="30D19C12">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专业：</w:t>
            </w:r>
          </w:p>
        </w:tc>
        <w:tc>
          <w:tcPr>
            <w:tcW w:w="2393" w:type="dxa"/>
            <w:gridSpan w:val="2"/>
            <w:tcBorders>
              <w:top w:val="single" w:color="auto" w:sz="4" w:space="0"/>
              <w:left w:val="nil"/>
              <w:bottom w:val="single" w:color="auto" w:sz="4" w:space="0"/>
              <w:right w:val="single" w:color="auto" w:sz="4" w:space="0"/>
            </w:tcBorders>
            <w:vAlign w:val="center"/>
          </w:tcPr>
          <w:p w14:paraId="779BE490">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编号：</w:t>
            </w:r>
          </w:p>
        </w:tc>
      </w:tr>
      <w:tr w14:paraId="0E2293D3">
        <w:tblPrEx>
          <w:tblCellMar>
            <w:top w:w="0" w:type="dxa"/>
            <w:left w:w="108" w:type="dxa"/>
            <w:bottom w:w="0" w:type="dxa"/>
            <w:right w:w="108" w:type="dxa"/>
          </w:tblCellMar>
        </w:tblPrEx>
        <w:trPr>
          <w:trHeight w:val="1656" w:hRule="atLeast"/>
          <w:jc w:val="center"/>
        </w:trPr>
        <w:tc>
          <w:tcPr>
            <w:tcW w:w="9056" w:type="dxa"/>
            <w:gridSpan w:val="7"/>
            <w:vMerge w:val="restart"/>
            <w:tcBorders>
              <w:top w:val="single" w:color="auto" w:sz="4" w:space="0"/>
              <w:left w:val="single" w:color="auto" w:sz="4" w:space="0"/>
              <w:bottom w:val="nil"/>
              <w:right w:val="single" w:color="000000" w:sz="4" w:space="0"/>
            </w:tcBorders>
          </w:tcPr>
          <w:p w14:paraId="6F5B510D">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签证事由：</w:t>
            </w:r>
          </w:p>
        </w:tc>
      </w:tr>
      <w:tr w14:paraId="1695D7B6">
        <w:tblPrEx>
          <w:tblCellMar>
            <w:top w:w="0" w:type="dxa"/>
            <w:left w:w="108" w:type="dxa"/>
            <w:bottom w:w="0" w:type="dxa"/>
            <w:right w:w="108" w:type="dxa"/>
          </w:tblCellMar>
        </w:tblPrEx>
        <w:trPr>
          <w:trHeight w:val="312" w:hRule="atLeast"/>
          <w:jc w:val="center"/>
        </w:trPr>
        <w:tc>
          <w:tcPr>
            <w:tcW w:w="9056" w:type="dxa"/>
            <w:gridSpan w:val="7"/>
            <w:vMerge w:val="continue"/>
            <w:tcBorders>
              <w:top w:val="single" w:color="auto" w:sz="4" w:space="0"/>
              <w:left w:val="single" w:color="auto" w:sz="4" w:space="0"/>
              <w:bottom w:val="single" w:color="auto" w:sz="4" w:space="0"/>
              <w:right w:val="single" w:color="000000" w:sz="4" w:space="0"/>
            </w:tcBorders>
            <w:vAlign w:val="center"/>
          </w:tcPr>
          <w:p w14:paraId="005028C4">
            <w:pPr>
              <w:widowControl/>
              <w:jc w:val="left"/>
              <w:rPr>
                <w:rFonts w:ascii="宋体" w:hAnsi="宋体" w:cs="宋体"/>
                <w:color w:val="auto"/>
                <w:kern w:val="0"/>
                <w:sz w:val="22"/>
                <w:highlight w:val="none"/>
              </w:rPr>
            </w:pPr>
          </w:p>
        </w:tc>
      </w:tr>
      <w:tr w14:paraId="29D1382C">
        <w:tblPrEx>
          <w:tblCellMar>
            <w:top w:w="0" w:type="dxa"/>
            <w:left w:w="108" w:type="dxa"/>
            <w:bottom w:w="0" w:type="dxa"/>
            <w:right w:w="108" w:type="dxa"/>
          </w:tblCellMar>
        </w:tblPrEx>
        <w:trPr>
          <w:trHeight w:val="4175" w:hRule="atLeast"/>
          <w:jc w:val="center"/>
        </w:trPr>
        <w:tc>
          <w:tcPr>
            <w:tcW w:w="9056" w:type="dxa"/>
            <w:gridSpan w:val="7"/>
            <w:tcBorders>
              <w:top w:val="single" w:color="auto" w:sz="4" w:space="0"/>
              <w:left w:val="single" w:color="auto" w:sz="4" w:space="0"/>
              <w:bottom w:val="single" w:color="auto" w:sz="4" w:space="0"/>
              <w:right w:val="single" w:color="000000" w:sz="4" w:space="0"/>
            </w:tcBorders>
            <w:vAlign w:val="center"/>
          </w:tcPr>
          <w:p w14:paraId="39ED6BE1">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内容（部位、数量、草图、说明、相片）：</w:t>
            </w:r>
          </w:p>
          <w:p w14:paraId="622B83B6">
            <w:pPr>
              <w:widowControl/>
              <w:jc w:val="left"/>
              <w:rPr>
                <w:rFonts w:ascii="宋体" w:hAnsi="宋体" w:cs="宋体"/>
                <w:color w:val="auto"/>
                <w:kern w:val="0"/>
                <w:sz w:val="22"/>
                <w:highlight w:val="none"/>
              </w:rPr>
            </w:pPr>
          </w:p>
          <w:p w14:paraId="7B8A8A44">
            <w:pPr>
              <w:widowControl/>
              <w:jc w:val="left"/>
              <w:rPr>
                <w:rFonts w:ascii="宋体" w:hAnsi="宋体" w:cs="宋体"/>
                <w:color w:val="auto"/>
                <w:kern w:val="0"/>
                <w:sz w:val="22"/>
                <w:highlight w:val="none"/>
              </w:rPr>
            </w:pPr>
          </w:p>
          <w:p w14:paraId="298059EF">
            <w:pPr>
              <w:widowControl/>
              <w:jc w:val="left"/>
              <w:rPr>
                <w:rFonts w:ascii="宋体" w:hAnsi="宋体" w:cs="宋体"/>
                <w:color w:val="auto"/>
                <w:kern w:val="0"/>
                <w:sz w:val="22"/>
                <w:highlight w:val="none"/>
              </w:rPr>
            </w:pPr>
          </w:p>
          <w:p w14:paraId="19284E2A">
            <w:pPr>
              <w:widowControl/>
              <w:jc w:val="left"/>
              <w:rPr>
                <w:rFonts w:ascii="宋体" w:hAnsi="宋体" w:cs="宋体"/>
                <w:color w:val="auto"/>
                <w:kern w:val="0"/>
                <w:sz w:val="22"/>
                <w:highlight w:val="none"/>
              </w:rPr>
            </w:pPr>
          </w:p>
          <w:p w14:paraId="66F762BA">
            <w:pPr>
              <w:widowControl/>
              <w:jc w:val="left"/>
              <w:rPr>
                <w:rFonts w:ascii="宋体" w:hAnsi="宋体" w:cs="宋体"/>
                <w:color w:val="auto"/>
                <w:kern w:val="0"/>
                <w:sz w:val="22"/>
                <w:highlight w:val="none"/>
              </w:rPr>
            </w:pPr>
          </w:p>
          <w:p w14:paraId="55F332D2">
            <w:pPr>
              <w:widowControl/>
              <w:jc w:val="left"/>
              <w:rPr>
                <w:rFonts w:ascii="宋体" w:hAnsi="宋体" w:cs="宋体"/>
                <w:color w:val="auto"/>
                <w:kern w:val="0"/>
                <w:sz w:val="22"/>
                <w:highlight w:val="none"/>
              </w:rPr>
            </w:pPr>
          </w:p>
          <w:p w14:paraId="25F82C42">
            <w:pPr>
              <w:widowControl/>
              <w:jc w:val="left"/>
              <w:rPr>
                <w:rFonts w:ascii="宋体" w:hAnsi="宋体" w:cs="宋体"/>
                <w:color w:val="auto"/>
                <w:kern w:val="0"/>
                <w:sz w:val="22"/>
                <w:highlight w:val="none"/>
              </w:rPr>
            </w:pPr>
          </w:p>
          <w:p w14:paraId="5B4C4C82">
            <w:pPr>
              <w:widowControl/>
              <w:jc w:val="left"/>
              <w:rPr>
                <w:rFonts w:ascii="宋体" w:hAnsi="宋体" w:cs="宋体"/>
                <w:color w:val="auto"/>
                <w:kern w:val="0"/>
                <w:sz w:val="22"/>
                <w:highlight w:val="none"/>
              </w:rPr>
            </w:pPr>
          </w:p>
          <w:p w14:paraId="1610527E">
            <w:pPr>
              <w:widowControl/>
              <w:jc w:val="left"/>
              <w:rPr>
                <w:rFonts w:ascii="宋体" w:hAnsi="宋体" w:cs="宋体"/>
                <w:color w:val="auto"/>
                <w:kern w:val="0"/>
                <w:sz w:val="22"/>
                <w:highlight w:val="none"/>
              </w:rPr>
            </w:pPr>
          </w:p>
          <w:p w14:paraId="0FA8D248">
            <w:pPr>
              <w:widowControl/>
              <w:jc w:val="left"/>
              <w:rPr>
                <w:rFonts w:ascii="宋体" w:hAnsi="宋体" w:cs="宋体"/>
                <w:color w:val="auto"/>
                <w:kern w:val="0"/>
                <w:sz w:val="22"/>
                <w:highlight w:val="none"/>
              </w:rPr>
            </w:pPr>
          </w:p>
          <w:p w14:paraId="0F4E1965">
            <w:pPr>
              <w:widowControl/>
              <w:spacing w:before="100" w:beforeAutospacing="1"/>
              <w:jc w:val="left"/>
              <w:rPr>
                <w:rFonts w:ascii="宋体" w:hAnsi="宋体" w:cs="宋体"/>
                <w:color w:val="auto"/>
                <w:kern w:val="0"/>
                <w:sz w:val="22"/>
                <w:highlight w:val="none"/>
              </w:rPr>
            </w:pPr>
          </w:p>
        </w:tc>
      </w:tr>
      <w:tr w14:paraId="1058BBCE">
        <w:tblPrEx>
          <w:tblCellMar>
            <w:top w:w="0" w:type="dxa"/>
            <w:left w:w="108" w:type="dxa"/>
            <w:bottom w:w="0" w:type="dxa"/>
            <w:right w:w="108" w:type="dxa"/>
          </w:tblCellMar>
        </w:tblPrEx>
        <w:trPr>
          <w:trHeight w:val="906" w:hRule="atLeast"/>
          <w:jc w:val="center"/>
        </w:trPr>
        <w:tc>
          <w:tcPr>
            <w:tcW w:w="9056" w:type="dxa"/>
            <w:gridSpan w:val="7"/>
            <w:vMerge w:val="restart"/>
            <w:tcBorders>
              <w:top w:val="single" w:color="auto" w:sz="4" w:space="0"/>
              <w:left w:val="single" w:color="auto" w:sz="4" w:space="0"/>
              <w:bottom w:val="nil"/>
              <w:right w:val="single" w:color="000000" w:sz="4" w:space="0"/>
            </w:tcBorders>
          </w:tcPr>
          <w:p w14:paraId="15D8F17B">
            <w:pPr>
              <w:rPr>
                <w:rFonts w:ascii="宋体" w:hAnsi="宋体" w:cs="宋体"/>
                <w:color w:val="auto"/>
                <w:kern w:val="0"/>
                <w:sz w:val="22"/>
                <w:highlight w:val="none"/>
              </w:rPr>
            </w:pPr>
            <w:r>
              <w:rPr>
                <w:rFonts w:hint="eastAsia" w:ascii="宋体" w:hAnsi="宋体" w:cs="宋体"/>
                <w:color w:val="auto"/>
                <w:kern w:val="0"/>
                <w:sz w:val="22"/>
                <w:highlight w:val="none"/>
              </w:rPr>
              <w:t>审核人员意见：</w:t>
            </w:r>
          </w:p>
        </w:tc>
      </w:tr>
      <w:tr w14:paraId="681ED7DC">
        <w:tblPrEx>
          <w:tblCellMar>
            <w:top w:w="0" w:type="dxa"/>
            <w:left w:w="108" w:type="dxa"/>
            <w:bottom w:w="0" w:type="dxa"/>
            <w:right w:w="108" w:type="dxa"/>
          </w:tblCellMar>
        </w:tblPrEx>
        <w:trPr>
          <w:trHeight w:val="496" w:hRule="atLeast"/>
          <w:jc w:val="center"/>
        </w:trPr>
        <w:tc>
          <w:tcPr>
            <w:tcW w:w="9056" w:type="dxa"/>
            <w:gridSpan w:val="7"/>
            <w:vMerge w:val="continue"/>
            <w:tcBorders>
              <w:top w:val="single" w:color="auto" w:sz="4" w:space="0"/>
              <w:left w:val="single" w:color="auto" w:sz="4" w:space="0"/>
              <w:bottom w:val="nil"/>
              <w:right w:val="single" w:color="000000" w:sz="4" w:space="0"/>
            </w:tcBorders>
            <w:vAlign w:val="center"/>
          </w:tcPr>
          <w:p w14:paraId="544E7BC7">
            <w:pPr>
              <w:widowControl/>
              <w:jc w:val="left"/>
              <w:rPr>
                <w:rFonts w:ascii="宋体" w:hAnsi="宋体" w:cs="宋体"/>
                <w:color w:val="auto"/>
                <w:kern w:val="0"/>
                <w:sz w:val="22"/>
                <w:highlight w:val="none"/>
              </w:rPr>
            </w:pPr>
          </w:p>
        </w:tc>
      </w:tr>
      <w:tr w14:paraId="70907368">
        <w:tblPrEx>
          <w:tblCellMar>
            <w:top w:w="0" w:type="dxa"/>
            <w:left w:w="108" w:type="dxa"/>
            <w:bottom w:w="0" w:type="dxa"/>
            <w:right w:w="108" w:type="dxa"/>
          </w:tblCellMar>
        </w:tblPrEx>
        <w:trPr>
          <w:trHeight w:val="1248" w:hRule="atLeast"/>
          <w:jc w:val="center"/>
        </w:trPr>
        <w:tc>
          <w:tcPr>
            <w:tcW w:w="1694" w:type="dxa"/>
            <w:tcBorders>
              <w:top w:val="single" w:color="auto" w:sz="4" w:space="0"/>
              <w:left w:val="single" w:color="auto" w:sz="4" w:space="0"/>
              <w:bottom w:val="single" w:color="auto" w:sz="4" w:space="0"/>
              <w:right w:val="single" w:color="auto" w:sz="4" w:space="0"/>
            </w:tcBorders>
          </w:tcPr>
          <w:p w14:paraId="2A4CE40F">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 xml:space="preserve">施工单位签章                           </w:t>
            </w:r>
          </w:p>
        </w:tc>
        <w:tc>
          <w:tcPr>
            <w:tcW w:w="1843" w:type="dxa"/>
            <w:tcBorders>
              <w:top w:val="single" w:color="auto" w:sz="4" w:space="0"/>
              <w:left w:val="single" w:color="auto" w:sz="4" w:space="0"/>
              <w:bottom w:val="single" w:color="auto" w:sz="4" w:space="0"/>
              <w:right w:val="single" w:color="auto" w:sz="4" w:space="0"/>
            </w:tcBorders>
          </w:tcPr>
          <w:p w14:paraId="70CF6506">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监理公司签章</w:t>
            </w:r>
          </w:p>
        </w:tc>
        <w:tc>
          <w:tcPr>
            <w:tcW w:w="1843" w:type="dxa"/>
            <w:gridSpan w:val="2"/>
            <w:tcBorders>
              <w:top w:val="single" w:color="auto" w:sz="4" w:space="0"/>
              <w:left w:val="single" w:color="auto" w:sz="4" w:space="0"/>
              <w:bottom w:val="single" w:color="auto" w:sz="4" w:space="0"/>
              <w:right w:val="single" w:color="auto" w:sz="4" w:space="0"/>
            </w:tcBorders>
          </w:tcPr>
          <w:p w14:paraId="25709574">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现场专业负责人（项目负责人）</w:t>
            </w:r>
          </w:p>
          <w:p w14:paraId="1B33488B">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部门签章</w:t>
            </w:r>
          </w:p>
        </w:tc>
        <w:tc>
          <w:tcPr>
            <w:tcW w:w="1842" w:type="dxa"/>
            <w:gridSpan w:val="2"/>
            <w:tcBorders>
              <w:top w:val="single" w:color="auto" w:sz="4" w:space="0"/>
              <w:left w:val="single" w:color="auto" w:sz="4" w:space="0"/>
              <w:bottom w:val="single" w:color="auto" w:sz="4" w:space="0"/>
              <w:right w:val="single" w:color="auto" w:sz="4" w:space="0"/>
            </w:tcBorders>
          </w:tcPr>
          <w:p w14:paraId="0D699319">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造价管理人员</w:t>
            </w:r>
          </w:p>
        </w:tc>
        <w:tc>
          <w:tcPr>
            <w:tcW w:w="1834" w:type="dxa"/>
            <w:tcBorders>
              <w:top w:val="single" w:color="auto" w:sz="4" w:space="0"/>
              <w:left w:val="single" w:color="auto" w:sz="4" w:space="0"/>
              <w:right w:val="single" w:color="auto" w:sz="4" w:space="0"/>
            </w:tcBorders>
          </w:tcPr>
          <w:p w14:paraId="130CD4A8">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部门领导</w:t>
            </w:r>
          </w:p>
        </w:tc>
      </w:tr>
      <w:tr w14:paraId="4283C294">
        <w:tblPrEx>
          <w:tblCellMar>
            <w:top w:w="0" w:type="dxa"/>
            <w:left w:w="108" w:type="dxa"/>
            <w:bottom w:w="0" w:type="dxa"/>
            <w:right w:w="108" w:type="dxa"/>
          </w:tblCellMar>
        </w:tblPrEx>
        <w:trPr>
          <w:trHeight w:val="1273" w:hRule="atLeast"/>
          <w:jc w:val="center"/>
        </w:trPr>
        <w:tc>
          <w:tcPr>
            <w:tcW w:w="1694" w:type="dxa"/>
            <w:tcBorders>
              <w:top w:val="single" w:color="auto" w:sz="4" w:space="0"/>
              <w:left w:val="single" w:color="auto" w:sz="4" w:space="0"/>
              <w:bottom w:val="single" w:color="auto" w:sz="4" w:space="0"/>
              <w:right w:val="single" w:color="auto" w:sz="4" w:space="0"/>
            </w:tcBorders>
          </w:tcPr>
          <w:p w14:paraId="7D87BD1F">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843" w:type="dxa"/>
            <w:tcBorders>
              <w:top w:val="single" w:color="auto" w:sz="4" w:space="0"/>
              <w:left w:val="nil"/>
              <w:bottom w:val="single" w:color="auto" w:sz="4" w:space="0"/>
              <w:right w:val="single" w:color="auto" w:sz="4" w:space="0"/>
            </w:tcBorders>
          </w:tcPr>
          <w:p w14:paraId="26DA94AF">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843" w:type="dxa"/>
            <w:gridSpan w:val="2"/>
            <w:tcBorders>
              <w:top w:val="single" w:color="auto" w:sz="4" w:space="0"/>
              <w:left w:val="nil"/>
              <w:bottom w:val="single" w:color="auto" w:sz="4" w:space="0"/>
              <w:right w:val="single" w:color="auto" w:sz="4" w:space="0"/>
            </w:tcBorders>
          </w:tcPr>
          <w:p w14:paraId="6D9A458A">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842" w:type="dxa"/>
            <w:gridSpan w:val="2"/>
            <w:tcBorders>
              <w:top w:val="single" w:color="auto" w:sz="4" w:space="0"/>
              <w:left w:val="nil"/>
              <w:bottom w:val="single" w:color="auto" w:sz="4" w:space="0"/>
              <w:right w:val="single" w:color="auto" w:sz="4" w:space="0"/>
            </w:tcBorders>
          </w:tcPr>
          <w:p w14:paraId="673E3057">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834" w:type="dxa"/>
            <w:tcBorders>
              <w:top w:val="single" w:color="auto" w:sz="4" w:space="0"/>
              <w:left w:val="nil"/>
              <w:bottom w:val="single" w:color="auto" w:sz="4" w:space="0"/>
              <w:right w:val="single" w:color="auto" w:sz="4" w:space="0"/>
            </w:tcBorders>
          </w:tcPr>
          <w:p w14:paraId="7CA87895">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审批人：</w:t>
            </w:r>
          </w:p>
        </w:tc>
      </w:tr>
    </w:tbl>
    <w:p w14:paraId="3584809D">
      <w:pPr>
        <w:autoSpaceDE w:val="0"/>
        <w:autoSpaceDN w:val="0"/>
        <w:adjustRightInd w:val="0"/>
        <w:spacing w:line="360" w:lineRule="auto"/>
        <w:ind w:left="201" w:leftChars="96"/>
        <w:rPr>
          <w:rFonts w:ascii="宋体" w:hAnsi="宋体"/>
          <w:color w:val="auto"/>
          <w:szCs w:val="21"/>
          <w:highlight w:val="none"/>
        </w:rPr>
      </w:pPr>
      <w:r>
        <w:rPr>
          <w:rFonts w:hint="eastAsia" w:ascii="宋体" w:hAnsi="宋体"/>
          <w:color w:val="auto"/>
          <w:szCs w:val="21"/>
          <w:highlight w:val="none"/>
        </w:rPr>
        <w:t>注：1、本记录表二份原件，施工单位、建设单位工程管理部各执一份原件；</w:t>
      </w:r>
    </w:p>
    <w:p w14:paraId="0FFAE3E2">
      <w:pPr>
        <w:rPr>
          <w:color w:val="auto"/>
          <w:highlight w:val="none"/>
        </w:rPr>
      </w:pPr>
      <w:r>
        <w:rPr>
          <w:color w:val="auto"/>
          <w:highlight w:val="none"/>
        </w:rPr>
        <w:br w:type="page"/>
      </w:r>
    </w:p>
    <w:p w14:paraId="3BD089E7">
      <w:pPr>
        <w:jc w:val="center"/>
        <w:rPr>
          <w:color w:val="auto"/>
          <w:highlight w:val="none"/>
        </w:rPr>
      </w:pPr>
      <w:r>
        <w:rPr>
          <w:rFonts w:hint="eastAsia"/>
          <w:color w:val="auto"/>
          <w:highlight w:val="none"/>
        </w:rPr>
        <w:t>附录B</w:t>
      </w:r>
      <w:r>
        <w:rPr>
          <w:color w:val="auto"/>
          <w:highlight w:val="none"/>
        </w:rPr>
        <w:br w:type="textWrapping"/>
      </w:r>
      <w:r>
        <w:rPr>
          <w:rFonts w:hint="eastAsia"/>
          <w:color w:val="auto"/>
          <w:highlight w:val="none"/>
        </w:rPr>
        <w:t>（规范性附录）</w:t>
      </w:r>
    </w:p>
    <w:p w14:paraId="39BF663A">
      <w:pPr>
        <w:autoSpaceDE w:val="0"/>
        <w:autoSpaceDN w:val="0"/>
        <w:adjustRightInd w:val="0"/>
        <w:spacing w:line="360" w:lineRule="auto"/>
        <w:jc w:val="center"/>
        <w:rPr>
          <w:rFonts w:ascii="宋体" w:hAnsi="宋体"/>
          <w:b/>
          <w:color w:val="auto"/>
          <w:sz w:val="24"/>
          <w:highlight w:val="none"/>
        </w:rPr>
      </w:pPr>
      <w:r>
        <w:rPr>
          <w:rFonts w:hint="eastAsia" w:ascii="宋体" w:hAnsi="宋体"/>
          <w:b/>
          <w:color w:val="auto"/>
          <w:sz w:val="24"/>
          <w:highlight w:val="none"/>
        </w:rPr>
        <w:t>经济签证单</w:t>
      </w:r>
    </w:p>
    <w:p w14:paraId="5E969439">
      <w:pPr>
        <w:autoSpaceDE w:val="0"/>
        <w:autoSpaceDN w:val="0"/>
        <w:adjustRightInd w:val="0"/>
        <w:spacing w:line="360" w:lineRule="auto"/>
        <w:jc w:val="center"/>
        <w:rPr>
          <w:rFonts w:ascii="宋体" w:hAnsi="宋体"/>
          <w:b/>
          <w:color w:val="auto"/>
          <w:sz w:val="18"/>
          <w:szCs w:val="18"/>
          <w:highlight w:val="none"/>
        </w:rPr>
      </w:pPr>
      <w:r>
        <w:rPr>
          <w:rFonts w:hint="eastAsia" w:ascii="宋体" w:hAnsi="宋体"/>
          <w:color w:val="auto"/>
          <w:sz w:val="18"/>
          <w:szCs w:val="18"/>
          <w:highlight w:val="none"/>
        </w:rPr>
        <w:t>（五万元以上适用）</w:t>
      </w:r>
    </w:p>
    <w:tbl>
      <w:tblPr>
        <w:tblStyle w:val="20"/>
        <w:tblW w:w="0" w:type="auto"/>
        <w:jc w:val="center"/>
        <w:tblLayout w:type="fixed"/>
        <w:tblCellMar>
          <w:top w:w="0" w:type="dxa"/>
          <w:left w:w="108" w:type="dxa"/>
          <w:bottom w:w="0" w:type="dxa"/>
          <w:right w:w="108" w:type="dxa"/>
        </w:tblCellMar>
      </w:tblPr>
      <w:tblGrid>
        <w:gridCol w:w="1411"/>
        <w:gridCol w:w="1417"/>
        <w:gridCol w:w="1559"/>
        <w:gridCol w:w="8"/>
        <w:gridCol w:w="902"/>
        <w:gridCol w:w="650"/>
        <w:gridCol w:w="716"/>
        <w:gridCol w:w="843"/>
        <w:gridCol w:w="1550"/>
      </w:tblGrid>
      <w:tr w14:paraId="6E7A631D">
        <w:tblPrEx>
          <w:tblCellMar>
            <w:top w:w="0" w:type="dxa"/>
            <w:left w:w="108" w:type="dxa"/>
            <w:bottom w:w="0" w:type="dxa"/>
            <w:right w:w="108" w:type="dxa"/>
          </w:tblCellMar>
        </w:tblPrEx>
        <w:trPr>
          <w:trHeight w:val="356" w:hRule="atLeast"/>
          <w:jc w:val="center"/>
        </w:trPr>
        <w:tc>
          <w:tcPr>
            <w:tcW w:w="5297" w:type="dxa"/>
            <w:gridSpan w:val="5"/>
            <w:tcBorders>
              <w:top w:val="nil"/>
              <w:left w:val="nil"/>
              <w:bottom w:val="nil"/>
              <w:right w:val="nil"/>
            </w:tcBorders>
            <w:vAlign w:val="center"/>
          </w:tcPr>
          <w:p w14:paraId="1A30DF1C">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工程名称：                  分部工程：</w:t>
            </w:r>
          </w:p>
        </w:tc>
        <w:tc>
          <w:tcPr>
            <w:tcW w:w="3759" w:type="dxa"/>
            <w:gridSpan w:val="4"/>
            <w:tcBorders>
              <w:top w:val="nil"/>
              <w:left w:val="nil"/>
              <w:bottom w:val="nil"/>
              <w:right w:val="nil"/>
            </w:tcBorders>
            <w:vAlign w:val="center"/>
          </w:tcPr>
          <w:p w14:paraId="62BB0E4E">
            <w:pPr>
              <w:widowControl/>
              <w:rPr>
                <w:rFonts w:ascii="宋体" w:hAnsi="宋体" w:cs="宋体"/>
                <w:color w:val="auto"/>
                <w:kern w:val="0"/>
                <w:sz w:val="24"/>
                <w:highlight w:val="none"/>
              </w:rPr>
            </w:pPr>
            <w:r>
              <w:rPr>
                <w:rFonts w:hint="eastAsia" w:ascii="宋体" w:hAnsi="宋体" w:cs="宋体"/>
                <w:color w:val="auto"/>
                <w:kern w:val="0"/>
                <w:sz w:val="24"/>
                <w:highlight w:val="none"/>
              </w:rPr>
              <w:t xml:space="preserve">日期：            </w:t>
            </w:r>
          </w:p>
        </w:tc>
      </w:tr>
      <w:tr w14:paraId="3B385D2E">
        <w:tblPrEx>
          <w:tblCellMar>
            <w:top w:w="0" w:type="dxa"/>
            <w:left w:w="108" w:type="dxa"/>
            <w:bottom w:w="0" w:type="dxa"/>
            <w:right w:w="108" w:type="dxa"/>
          </w:tblCellMar>
        </w:tblPrEx>
        <w:trPr>
          <w:trHeight w:val="634" w:hRule="atLeast"/>
          <w:jc w:val="center"/>
        </w:trPr>
        <w:tc>
          <w:tcPr>
            <w:tcW w:w="4395" w:type="dxa"/>
            <w:gridSpan w:val="4"/>
            <w:tcBorders>
              <w:top w:val="single" w:color="auto" w:sz="4" w:space="0"/>
              <w:left w:val="single" w:color="auto" w:sz="4" w:space="0"/>
              <w:bottom w:val="single" w:color="auto" w:sz="4" w:space="0"/>
              <w:right w:val="single" w:color="auto" w:sz="4" w:space="0"/>
            </w:tcBorders>
            <w:vAlign w:val="center"/>
          </w:tcPr>
          <w:p w14:paraId="3D6B071F">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施工单位：</w:t>
            </w:r>
          </w:p>
        </w:tc>
        <w:tc>
          <w:tcPr>
            <w:tcW w:w="2268" w:type="dxa"/>
            <w:gridSpan w:val="3"/>
            <w:tcBorders>
              <w:top w:val="single" w:color="auto" w:sz="4" w:space="0"/>
              <w:left w:val="nil"/>
              <w:bottom w:val="single" w:color="auto" w:sz="4" w:space="0"/>
              <w:right w:val="single" w:color="auto" w:sz="4" w:space="0"/>
            </w:tcBorders>
            <w:vAlign w:val="center"/>
          </w:tcPr>
          <w:p w14:paraId="2E19F565">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专业：</w:t>
            </w:r>
          </w:p>
        </w:tc>
        <w:tc>
          <w:tcPr>
            <w:tcW w:w="2393" w:type="dxa"/>
            <w:gridSpan w:val="2"/>
            <w:tcBorders>
              <w:top w:val="single" w:color="auto" w:sz="4" w:space="0"/>
              <w:left w:val="nil"/>
              <w:bottom w:val="single" w:color="auto" w:sz="4" w:space="0"/>
              <w:right w:val="single" w:color="auto" w:sz="4" w:space="0"/>
            </w:tcBorders>
            <w:vAlign w:val="center"/>
          </w:tcPr>
          <w:p w14:paraId="7BA705D1">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编号：</w:t>
            </w:r>
          </w:p>
        </w:tc>
      </w:tr>
      <w:tr w14:paraId="37D29E39">
        <w:tblPrEx>
          <w:tblCellMar>
            <w:top w:w="0" w:type="dxa"/>
            <w:left w:w="108" w:type="dxa"/>
            <w:bottom w:w="0" w:type="dxa"/>
            <w:right w:w="108" w:type="dxa"/>
          </w:tblCellMar>
        </w:tblPrEx>
        <w:trPr>
          <w:trHeight w:val="1883" w:hRule="atLeast"/>
          <w:jc w:val="center"/>
        </w:trPr>
        <w:tc>
          <w:tcPr>
            <w:tcW w:w="9056" w:type="dxa"/>
            <w:gridSpan w:val="9"/>
            <w:tcBorders>
              <w:top w:val="single" w:color="auto" w:sz="4" w:space="0"/>
              <w:left w:val="single" w:color="auto" w:sz="4" w:space="0"/>
              <w:bottom w:val="single" w:color="auto" w:sz="4" w:space="0"/>
              <w:right w:val="single" w:color="auto" w:sz="4" w:space="0"/>
            </w:tcBorders>
            <w:vAlign w:val="center"/>
          </w:tcPr>
          <w:p w14:paraId="6914201E">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签证事由：</w:t>
            </w:r>
          </w:p>
          <w:p w14:paraId="1BC0DBA8">
            <w:pPr>
              <w:widowControl/>
              <w:jc w:val="left"/>
              <w:rPr>
                <w:rFonts w:ascii="宋体" w:hAnsi="宋体" w:cs="宋体"/>
                <w:color w:val="auto"/>
                <w:kern w:val="0"/>
                <w:sz w:val="22"/>
                <w:highlight w:val="none"/>
              </w:rPr>
            </w:pPr>
          </w:p>
          <w:p w14:paraId="124FAAC0">
            <w:pPr>
              <w:widowControl/>
              <w:jc w:val="left"/>
              <w:rPr>
                <w:rFonts w:ascii="宋体" w:hAnsi="宋体" w:cs="宋体"/>
                <w:color w:val="auto"/>
                <w:kern w:val="0"/>
                <w:sz w:val="22"/>
                <w:highlight w:val="none"/>
              </w:rPr>
            </w:pPr>
          </w:p>
          <w:p w14:paraId="22BD7AE3">
            <w:pPr>
              <w:widowControl/>
              <w:jc w:val="left"/>
              <w:rPr>
                <w:rFonts w:ascii="宋体" w:hAnsi="宋体" w:cs="宋体"/>
                <w:color w:val="auto"/>
                <w:kern w:val="0"/>
                <w:sz w:val="22"/>
                <w:highlight w:val="none"/>
              </w:rPr>
            </w:pPr>
          </w:p>
          <w:p w14:paraId="2BD75E61">
            <w:pPr>
              <w:widowControl/>
              <w:jc w:val="left"/>
              <w:rPr>
                <w:rFonts w:ascii="宋体" w:hAnsi="宋体" w:cs="宋体"/>
                <w:color w:val="auto"/>
                <w:kern w:val="0"/>
                <w:sz w:val="22"/>
                <w:highlight w:val="none"/>
              </w:rPr>
            </w:pPr>
          </w:p>
          <w:p w14:paraId="140A5FD7">
            <w:pPr>
              <w:widowControl/>
              <w:jc w:val="left"/>
              <w:rPr>
                <w:rFonts w:ascii="宋体" w:hAnsi="宋体" w:cs="宋体"/>
                <w:color w:val="auto"/>
                <w:kern w:val="0"/>
                <w:sz w:val="24"/>
                <w:highlight w:val="none"/>
              </w:rPr>
            </w:pPr>
          </w:p>
        </w:tc>
      </w:tr>
      <w:tr w14:paraId="2A6849E6">
        <w:tblPrEx>
          <w:tblCellMar>
            <w:top w:w="0" w:type="dxa"/>
            <w:left w:w="108" w:type="dxa"/>
            <w:bottom w:w="0" w:type="dxa"/>
            <w:right w:w="108" w:type="dxa"/>
          </w:tblCellMar>
        </w:tblPrEx>
        <w:trPr>
          <w:trHeight w:val="1656" w:hRule="atLeast"/>
          <w:jc w:val="center"/>
        </w:trPr>
        <w:tc>
          <w:tcPr>
            <w:tcW w:w="9056" w:type="dxa"/>
            <w:gridSpan w:val="9"/>
            <w:vMerge w:val="restart"/>
            <w:tcBorders>
              <w:top w:val="single" w:color="auto" w:sz="4" w:space="0"/>
              <w:left w:val="single" w:color="auto" w:sz="4" w:space="0"/>
              <w:bottom w:val="nil"/>
              <w:right w:val="single" w:color="000000" w:sz="4" w:space="0"/>
            </w:tcBorders>
          </w:tcPr>
          <w:p w14:paraId="2488125B">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内容（部位、数量、草图、说明、相片）：</w:t>
            </w:r>
          </w:p>
        </w:tc>
      </w:tr>
      <w:tr w14:paraId="641F454B">
        <w:tblPrEx>
          <w:tblCellMar>
            <w:top w:w="0" w:type="dxa"/>
            <w:left w:w="108" w:type="dxa"/>
            <w:bottom w:w="0" w:type="dxa"/>
            <w:right w:w="108" w:type="dxa"/>
          </w:tblCellMar>
        </w:tblPrEx>
        <w:trPr>
          <w:trHeight w:val="1753" w:hRule="atLeast"/>
          <w:jc w:val="center"/>
        </w:trPr>
        <w:tc>
          <w:tcPr>
            <w:tcW w:w="9056" w:type="dxa"/>
            <w:gridSpan w:val="9"/>
            <w:vMerge w:val="continue"/>
            <w:tcBorders>
              <w:top w:val="single" w:color="auto" w:sz="4" w:space="0"/>
              <w:left w:val="single" w:color="auto" w:sz="4" w:space="0"/>
              <w:bottom w:val="nil"/>
              <w:right w:val="single" w:color="000000" w:sz="4" w:space="0"/>
            </w:tcBorders>
            <w:vAlign w:val="center"/>
          </w:tcPr>
          <w:p w14:paraId="3DA8D0A6">
            <w:pPr>
              <w:widowControl/>
              <w:jc w:val="left"/>
              <w:rPr>
                <w:rFonts w:ascii="宋体" w:hAnsi="宋体" w:cs="宋体"/>
                <w:color w:val="auto"/>
                <w:kern w:val="0"/>
                <w:sz w:val="22"/>
                <w:highlight w:val="none"/>
              </w:rPr>
            </w:pPr>
          </w:p>
        </w:tc>
      </w:tr>
      <w:tr w14:paraId="13C6B9A7">
        <w:tblPrEx>
          <w:tblCellMar>
            <w:top w:w="0" w:type="dxa"/>
            <w:left w:w="108" w:type="dxa"/>
            <w:bottom w:w="0" w:type="dxa"/>
            <w:right w:w="108" w:type="dxa"/>
          </w:tblCellMar>
        </w:tblPrEx>
        <w:trPr>
          <w:trHeight w:val="433" w:hRule="atLeast"/>
          <w:jc w:val="center"/>
        </w:trPr>
        <w:tc>
          <w:tcPr>
            <w:tcW w:w="9056" w:type="dxa"/>
            <w:gridSpan w:val="9"/>
            <w:vMerge w:val="continue"/>
            <w:tcBorders>
              <w:top w:val="single" w:color="auto" w:sz="4" w:space="0"/>
              <w:left w:val="single" w:color="auto" w:sz="4" w:space="0"/>
              <w:bottom w:val="nil"/>
              <w:right w:val="single" w:color="000000" w:sz="4" w:space="0"/>
            </w:tcBorders>
            <w:vAlign w:val="center"/>
          </w:tcPr>
          <w:p w14:paraId="71E35FF6">
            <w:pPr>
              <w:widowControl/>
              <w:jc w:val="left"/>
              <w:rPr>
                <w:rFonts w:ascii="宋体" w:hAnsi="宋体" w:cs="宋体"/>
                <w:color w:val="auto"/>
                <w:kern w:val="0"/>
                <w:sz w:val="22"/>
                <w:highlight w:val="none"/>
              </w:rPr>
            </w:pPr>
          </w:p>
        </w:tc>
      </w:tr>
      <w:tr w14:paraId="117F2DCE">
        <w:tblPrEx>
          <w:tblCellMar>
            <w:top w:w="0" w:type="dxa"/>
            <w:left w:w="108" w:type="dxa"/>
            <w:bottom w:w="0" w:type="dxa"/>
            <w:right w:w="108" w:type="dxa"/>
          </w:tblCellMar>
        </w:tblPrEx>
        <w:trPr>
          <w:trHeight w:val="312" w:hRule="atLeast"/>
          <w:jc w:val="center"/>
        </w:trPr>
        <w:tc>
          <w:tcPr>
            <w:tcW w:w="9056" w:type="dxa"/>
            <w:gridSpan w:val="9"/>
            <w:vMerge w:val="continue"/>
            <w:tcBorders>
              <w:top w:val="single" w:color="auto" w:sz="4" w:space="0"/>
              <w:left w:val="single" w:color="auto" w:sz="4" w:space="0"/>
              <w:bottom w:val="single" w:color="auto" w:sz="4" w:space="0"/>
              <w:right w:val="single" w:color="000000" w:sz="4" w:space="0"/>
            </w:tcBorders>
            <w:vAlign w:val="center"/>
          </w:tcPr>
          <w:p w14:paraId="6F33A1B7">
            <w:pPr>
              <w:widowControl/>
              <w:jc w:val="left"/>
              <w:rPr>
                <w:rFonts w:ascii="宋体" w:hAnsi="宋体" w:cs="宋体"/>
                <w:color w:val="auto"/>
                <w:kern w:val="0"/>
                <w:sz w:val="22"/>
                <w:highlight w:val="none"/>
              </w:rPr>
            </w:pPr>
          </w:p>
        </w:tc>
      </w:tr>
      <w:tr w14:paraId="123905C0">
        <w:tblPrEx>
          <w:tblCellMar>
            <w:top w:w="0" w:type="dxa"/>
            <w:left w:w="108" w:type="dxa"/>
            <w:bottom w:w="0" w:type="dxa"/>
            <w:right w:w="108" w:type="dxa"/>
          </w:tblCellMar>
        </w:tblPrEx>
        <w:trPr>
          <w:trHeight w:val="906" w:hRule="atLeast"/>
          <w:jc w:val="center"/>
        </w:trPr>
        <w:tc>
          <w:tcPr>
            <w:tcW w:w="9056" w:type="dxa"/>
            <w:gridSpan w:val="9"/>
            <w:vMerge w:val="restart"/>
            <w:tcBorders>
              <w:top w:val="single" w:color="auto" w:sz="4" w:space="0"/>
              <w:left w:val="single" w:color="auto" w:sz="4" w:space="0"/>
              <w:bottom w:val="nil"/>
              <w:right w:val="single" w:color="000000" w:sz="4" w:space="0"/>
            </w:tcBorders>
          </w:tcPr>
          <w:p w14:paraId="35695B8F">
            <w:pPr>
              <w:rPr>
                <w:rFonts w:ascii="宋体" w:hAnsi="宋体" w:cs="宋体"/>
                <w:color w:val="auto"/>
                <w:kern w:val="0"/>
                <w:sz w:val="22"/>
                <w:highlight w:val="none"/>
              </w:rPr>
            </w:pPr>
            <w:r>
              <w:rPr>
                <w:rFonts w:hint="eastAsia" w:ascii="宋体" w:hAnsi="宋体" w:cs="宋体"/>
                <w:color w:val="auto"/>
                <w:kern w:val="0"/>
                <w:sz w:val="22"/>
                <w:highlight w:val="none"/>
              </w:rPr>
              <w:t>审核人员意见：</w:t>
            </w:r>
          </w:p>
        </w:tc>
      </w:tr>
      <w:tr w14:paraId="0DEFD7D3">
        <w:tblPrEx>
          <w:tblCellMar>
            <w:top w:w="0" w:type="dxa"/>
            <w:left w:w="108" w:type="dxa"/>
            <w:bottom w:w="0" w:type="dxa"/>
            <w:right w:w="108" w:type="dxa"/>
          </w:tblCellMar>
        </w:tblPrEx>
        <w:trPr>
          <w:trHeight w:val="312" w:hRule="atLeast"/>
          <w:jc w:val="center"/>
        </w:trPr>
        <w:tc>
          <w:tcPr>
            <w:tcW w:w="9056" w:type="dxa"/>
            <w:gridSpan w:val="9"/>
            <w:vMerge w:val="continue"/>
            <w:tcBorders>
              <w:top w:val="single" w:color="auto" w:sz="4" w:space="0"/>
              <w:left w:val="single" w:color="auto" w:sz="4" w:space="0"/>
              <w:bottom w:val="nil"/>
              <w:right w:val="single" w:color="000000" w:sz="4" w:space="0"/>
            </w:tcBorders>
            <w:vAlign w:val="center"/>
          </w:tcPr>
          <w:p w14:paraId="38E8F1BB">
            <w:pPr>
              <w:widowControl/>
              <w:jc w:val="left"/>
              <w:rPr>
                <w:rFonts w:ascii="宋体" w:hAnsi="宋体" w:cs="宋体"/>
                <w:color w:val="auto"/>
                <w:kern w:val="0"/>
                <w:sz w:val="22"/>
                <w:highlight w:val="none"/>
              </w:rPr>
            </w:pPr>
          </w:p>
        </w:tc>
      </w:tr>
      <w:tr w14:paraId="3ED26B25">
        <w:tblPrEx>
          <w:tblCellMar>
            <w:top w:w="0" w:type="dxa"/>
            <w:left w:w="108" w:type="dxa"/>
            <w:bottom w:w="0" w:type="dxa"/>
            <w:right w:w="108" w:type="dxa"/>
          </w:tblCellMar>
        </w:tblPrEx>
        <w:trPr>
          <w:trHeight w:val="415" w:hRule="atLeast"/>
          <w:jc w:val="center"/>
        </w:trPr>
        <w:tc>
          <w:tcPr>
            <w:tcW w:w="1411" w:type="dxa"/>
            <w:vMerge w:val="restart"/>
            <w:tcBorders>
              <w:top w:val="single" w:color="auto" w:sz="4" w:space="0"/>
              <w:left w:val="single" w:color="auto" w:sz="4" w:space="0"/>
              <w:bottom w:val="single" w:color="auto" w:sz="4" w:space="0"/>
              <w:right w:val="single" w:color="auto" w:sz="4" w:space="0"/>
            </w:tcBorders>
          </w:tcPr>
          <w:p w14:paraId="411DB6FE">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 xml:space="preserve">施工单位签章                           </w:t>
            </w:r>
          </w:p>
        </w:tc>
        <w:tc>
          <w:tcPr>
            <w:tcW w:w="1417" w:type="dxa"/>
            <w:vMerge w:val="restart"/>
            <w:tcBorders>
              <w:top w:val="single" w:color="auto" w:sz="4" w:space="0"/>
              <w:left w:val="single" w:color="auto" w:sz="4" w:space="0"/>
              <w:bottom w:val="single" w:color="auto" w:sz="4" w:space="0"/>
              <w:right w:val="single" w:color="auto" w:sz="4" w:space="0"/>
            </w:tcBorders>
          </w:tcPr>
          <w:p w14:paraId="741A953E">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监理公司签章</w:t>
            </w:r>
          </w:p>
        </w:tc>
        <w:tc>
          <w:tcPr>
            <w:tcW w:w="1559" w:type="dxa"/>
            <w:vMerge w:val="restart"/>
            <w:tcBorders>
              <w:top w:val="single" w:color="auto" w:sz="4" w:space="0"/>
              <w:left w:val="single" w:color="auto" w:sz="4" w:space="0"/>
              <w:bottom w:val="single" w:color="auto" w:sz="4" w:space="0"/>
              <w:right w:val="single" w:color="auto" w:sz="4" w:space="0"/>
            </w:tcBorders>
          </w:tcPr>
          <w:p w14:paraId="75F7B24F">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现场专业负责人（项目负责人）</w:t>
            </w:r>
          </w:p>
          <w:p w14:paraId="3B59E99E">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部门签章</w:t>
            </w:r>
          </w:p>
        </w:tc>
        <w:tc>
          <w:tcPr>
            <w:tcW w:w="1560" w:type="dxa"/>
            <w:gridSpan w:val="3"/>
            <w:vMerge w:val="restart"/>
            <w:tcBorders>
              <w:top w:val="single" w:color="auto" w:sz="4" w:space="0"/>
              <w:left w:val="single" w:color="auto" w:sz="4" w:space="0"/>
              <w:bottom w:val="single" w:color="auto" w:sz="4" w:space="0"/>
              <w:right w:val="single" w:color="auto" w:sz="4" w:space="0"/>
            </w:tcBorders>
          </w:tcPr>
          <w:p w14:paraId="4C7F2FD5">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造价管理人员</w:t>
            </w:r>
          </w:p>
        </w:tc>
        <w:tc>
          <w:tcPr>
            <w:tcW w:w="1559" w:type="dxa"/>
            <w:gridSpan w:val="2"/>
            <w:vMerge w:val="restart"/>
            <w:tcBorders>
              <w:top w:val="single" w:color="auto" w:sz="4" w:space="0"/>
              <w:left w:val="single" w:color="auto" w:sz="4" w:space="0"/>
              <w:bottom w:val="single" w:color="auto" w:sz="4" w:space="0"/>
              <w:right w:val="single" w:color="auto" w:sz="4" w:space="0"/>
            </w:tcBorders>
          </w:tcPr>
          <w:p w14:paraId="31206563">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部门领导</w:t>
            </w:r>
          </w:p>
        </w:tc>
        <w:tc>
          <w:tcPr>
            <w:tcW w:w="1550" w:type="dxa"/>
            <w:vMerge w:val="restart"/>
            <w:tcBorders>
              <w:top w:val="single" w:color="auto" w:sz="4" w:space="0"/>
              <w:left w:val="single" w:color="auto" w:sz="4" w:space="0"/>
              <w:bottom w:val="single" w:color="auto" w:sz="4" w:space="0"/>
              <w:right w:val="single" w:color="auto" w:sz="4" w:space="0"/>
            </w:tcBorders>
          </w:tcPr>
          <w:p w14:paraId="13A41CA4">
            <w:pPr>
              <w:widowControl/>
              <w:jc w:val="center"/>
              <w:rPr>
                <w:rFonts w:ascii="宋体" w:hAnsi="宋体" w:cs="宋体"/>
                <w:color w:val="auto"/>
                <w:kern w:val="0"/>
                <w:sz w:val="22"/>
                <w:highlight w:val="none"/>
              </w:rPr>
            </w:pPr>
            <w:r>
              <w:rPr>
                <w:rFonts w:hint="eastAsia" w:ascii="宋体" w:hAnsi="宋体" w:cs="宋体"/>
                <w:color w:val="auto"/>
                <w:kern w:val="0"/>
                <w:sz w:val="22"/>
                <w:highlight w:val="none"/>
              </w:rPr>
              <w:t>公司分管领导</w:t>
            </w:r>
          </w:p>
        </w:tc>
      </w:tr>
      <w:tr w14:paraId="1C25C2CE">
        <w:tblPrEx>
          <w:tblCellMar>
            <w:top w:w="0" w:type="dxa"/>
            <w:left w:w="108" w:type="dxa"/>
            <w:bottom w:w="0" w:type="dxa"/>
            <w:right w:w="108" w:type="dxa"/>
          </w:tblCellMar>
        </w:tblPrEx>
        <w:trPr>
          <w:trHeight w:val="767" w:hRule="atLeast"/>
          <w:jc w:val="center"/>
        </w:trPr>
        <w:tc>
          <w:tcPr>
            <w:tcW w:w="1411" w:type="dxa"/>
            <w:vMerge w:val="continue"/>
            <w:tcBorders>
              <w:top w:val="single" w:color="auto" w:sz="4" w:space="0"/>
              <w:left w:val="single" w:color="auto" w:sz="4" w:space="0"/>
              <w:bottom w:val="single" w:color="auto" w:sz="4" w:space="0"/>
              <w:right w:val="single" w:color="auto" w:sz="4" w:space="0"/>
            </w:tcBorders>
            <w:vAlign w:val="center"/>
          </w:tcPr>
          <w:p w14:paraId="793C672B">
            <w:pPr>
              <w:widowControl/>
              <w:jc w:val="left"/>
              <w:rPr>
                <w:rFonts w:ascii="宋体" w:hAnsi="宋体" w:cs="宋体"/>
                <w:color w:val="auto"/>
                <w:kern w:val="0"/>
                <w:sz w:val="22"/>
                <w:highlight w:val="none"/>
              </w:rPr>
            </w:pPr>
          </w:p>
        </w:tc>
        <w:tc>
          <w:tcPr>
            <w:tcW w:w="1417" w:type="dxa"/>
            <w:vMerge w:val="continue"/>
            <w:tcBorders>
              <w:top w:val="single" w:color="auto" w:sz="4" w:space="0"/>
              <w:left w:val="single" w:color="auto" w:sz="4" w:space="0"/>
              <w:bottom w:val="single" w:color="auto" w:sz="4" w:space="0"/>
              <w:right w:val="single" w:color="auto" w:sz="4" w:space="0"/>
            </w:tcBorders>
            <w:vAlign w:val="center"/>
          </w:tcPr>
          <w:p w14:paraId="22FAF574">
            <w:pPr>
              <w:widowControl/>
              <w:jc w:val="left"/>
              <w:rPr>
                <w:rFonts w:ascii="宋体" w:hAnsi="宋体" w:cs="宋体"/>
                <w:color w:val="auto"/>
                <w:kern w:val="0"/>
                <w:sz w:val="22"/>
                <w:highlight w:val="none"/>
              </w:rPr>
            </w:pPr>
          </w:p>
        </w:tc>
        <w:tc>
          <w:tcPr>
            <w:tcW w:w="1559" w:type="dxa"/>
            <w:vMerge w:val="continue"/>
            <w:tcBorders>
              <w:top w:val="single" w:color="auto" w:sz="4" w:space="0"/>
              <w:left w:val="single" w:color="auto" w:sz="4" w:space="0"/>
              <w:bottom w:val="single" w:color="auto" w:sz="4" w:space="0"/>
              <w:right w:val="single" w:color="auto" w:sz="4" w:space="0"/>
            </w:tcBorders>
            <w:vAlign w:val="center"/>
          </w:tcPr>
          <w:p w14:paraId="28F212A8">
            <w:pPr>
              <w:widowControl/>
              <w:jc w:val="left"/>
              <w:rPr>
                <w:rFonts w:ascii="宋体" w:hAnsi="宋体" w:cs="宋体"/>
                <w:color w:val="auto"/>
                <w:kern w:val="0"/>
                <w:sz w:val="22"/>
                <w:highlight w:val="none"/>
              </w:rPr>
            </w:pPr>
          </w:p>
        </w:tc>
        <w:tc>
          <w:tcPr>
            <w:tcW w:w="1560" w:type="dxa"/>
            <w:gridSpan w:val="3"/>
            <w:vMerge w:val="continue"/>
            <w:tcBorders>
              <w:top w:val="single" w:color="auto" w:sz="4" w:space="0"/>
              <w:left w:val="single" w:color="auto" w:sz="4" w:space="0"/>
              <w:bottom w:val="single" w:color="auto" w:sz="4" w:space="0"/>
              <w:right w:val="single" w:color="auto" w:sz="4" w:space="0"/>
            </w:tcBorders>
            <w:vAlign w:val="center"/>
          </w:tcPr>
          <w:p w14:paraId="32596D45">
            <w:pPr>
              <w:widowControl/>
              <w:jc w:val="left"/>
              <w:rPr>
                <w:rFonts w:ascii="宋体" w:hAnsi="宋体" w:cs="宋体"/>
                <w:color w:val="auto"/>
                <w:kern w:val="0"/>
                <w:sz w:val="22"/>
                <w:highlight w:val="none"/>
              </w:rPr>
            </w:pPr>
          </w:p>
        </w:tc>
        <w:tc>
          <w:tcPr>
            <w:tcW w:w="1559" w:type="dxa"/>
            <w:gridSpan w:val="2"/>
            <w:vMerge w:val="continue"/>
            <w:tcBorders>
              <w:top w:val="single" w:color="auto" w:sz="4" w:space="0"/>
              <w:left w:val="single" w:color="auto" w:sz="4" w:space="0"/>
              <w:bottom w:val="single" w:color="auto" w:sz="4" w:space="0"/>
              <w:right w:val="single" w:color="auto" w:sz="4" w:space="0"/>
            </w:tcBorders>
            <w:vAlign w:val="center"/>
          </w:tcPr>
          <w:p w14:paraId="321F7944">
            <w:pPr>
              <w:widowControl/>
              <w:jc w:val="left"/>
              <w:rPr>
                <w:rFonts w:ascii="宋体" w:hAnsi="宋体" w:cs="宋体"/>
                <w:color w:val="auto"/>
                <w:kern w:val="0"/>
                <w:sz w:val="22"/>
                <w:highlight w:val="none"/>
              </w:rPr>
            </w:pPr>
          </w:p>
        </w:tc>
        <w:tc>
          <w:tcPr>
            <w:tcW w:w="1550" w:type="dxa"/>
            <w:vMerge w:val="continue"/>
            <w:tcBorders>
              <w:top w:val="single" w:color="auto" w:sz="4" w:space="0"/>
              <w:left w:val="single" w:color="auto" w:sz="4" w:space="0"/>
              <w:bottom w:val="single" w:color="auto" w:sz="4" w:space="0"/>
              <w:right w:val="single" w:color="auto" w:sz="4" w:space="0"/>
            </w:tcBorders>
            <w:vAlign w:val="center"/>
          </w:tcPr>
          <w:p w14:paraId="478D5C64">
            <w:pPr>
              <w:widowControl/>
              <w:jc w:val="left"/>
              <w:rPr>
                <w:rFonts w:ascii="宋体" w:hAnsi="宋体" w:cs="宋体"/>
                <w:color w:val="auto"/>
                <w:kern w:val="0"/>
                <w:sz w:val="22"/>
                <w:highlight w:val="none"/>
              </w:rPr>
            </w:pPr>
          </w:p>
        </w:tc>
      </w:tr>
      <w:tr w14:paraId="0F669E7F">
        <w:tblPrEx>
          <w:tblCellMar>
            <w:top w:w="0" w:type="dxa"/>
            <w:left w:w="108" w:type="dxa"/>
            <w:bottom w:w="0" w:type="dxa"/>
            <w:right w:w="108" w:type="dxa"/>
          </w:tblCellMar>
        </w:tblPrEx>
        <w:trPr>
          <w:trHeight w:val="1118" w:hRule="atLeast"/>
          <w:jc w:val="center"/>
        </w:trPr>
        <w:tc>
          <w:tcPr>
            <w:tcW w:w="1411" w:type="dxa"/>
            <w:tcBorders>
              <w:top w:val="single" w:color="auto" w:sz="4" w:space="0"/>
              <w:left w:val="single" w:color="auto" w:sz="4" w:space="0"/>
              <w:bottom w:val="single" w:color="auto" w:sz="4" w:space="0"/>
              <w:right w:val="single" w:color="auto" w:sz="4" w:space="0"/>
            </w:tcBorders>
          </w:tcPr>
          <w:p w14:paraId="425C5FCB">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417" w:type="dxa"/>
            <w:tcBorders>
              <w:top w:val="single" w:color="auto" w:sz="4" w:space="0"/>
              <w:left w:val="nil"/>
              <w:bottom w:val="single" w:color="auto" w:sz="4" w:space="0"/>
              <w:right w:val="single" w:color="auto" w:sz="4" w:space="0"/>
            </w:tcBorders>
          </w:tcPr>
          <w:p w14:paraId="6AC6EBA8">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559" w:type="dxa"/>
            <w:tcBorders>
              <w:top w:val="single" w:color="auto" w:sz="4" w:space="0"/>
              <w:left w:val="nil"/>
              <w:bottom w:val="single" w:color="auto" w:sz="4" w:space="0"/>
              <w:right w:val="single" w:color="auto" w:sz="4" w:space="0"/>
            </w:tcBorders>
          </w:tcPr>
          <w:p w14:paraId="21A85179">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560" w:type="dxa"/>
            <w:gridSpan w:val="3"/>
            <w:tcBorders>
              <w:top w:val="single" w:color="auto" w:sz="4" w:space="0"/>
              <w:left w:val="nil"/>
              <w:bottom w:val="single" w:color="auto" w:sz="4" w:space="0"/>
              <w:right w:val="single" w:color="auto" w:sz="4" w:space="0"/>
            </w:tcBorders>
          </w:tcPr>
          <w:p w14:paraId="5395DC0B">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559" w:type="dxa"/>
            <w:gridSpan w:val="2"/>
            <w:tcBorders>
              <w:top w:val="single" w:color="auto" w:sz="4" w:space="0"/>
              <w:left w:val="nil"/>
              <w:bottom w:val="single" w:color="auto" w:sz="4" w:space="0"/>
              <w:right w:val="single" w:color="auto" w:sz="4" w:space="0"/>
            </w:tcBorders>
          </w:tcPr>
          <w:p w14:paraId="687F5F5E">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审批人：</w:t>
            </w:r>
          </w:p>
        </w:tc>
        <w:tc>
          <w:tcPr>
            <w:tcW w:w="1550" w:type="dxa"/>
            <w:tcBorders>
              <w:top w:val="single" w:color="auto" w:sz="4" w:space="0"/>
              <w:left w:val="nil"/>
              <w:bottom w:val="single" w:color="auto" w:sz="4" w:space="0"/>
              <w:right w:val="single" w:color="auto" w:sz="4" w:space="0"/>
            </w:tcBorders>
          </w:tcPr>
          <w:p w14:paraId="3BD82375">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审批人：</w:t>
            </w:r>
          </w:p>
        </w:tc>
      </w:tr>
    </w:tbl>
    <w:p w14:paraId="76AB1423">
      <w:pPr>
        <w:autoSpaceDE w:val="0"/>
        <w:autoSpaceDN w:val="0"/>
        <w:adjustRightInd w:val="0"/>
        <w:spacing w:line="360" w:lineRule="auto"/>
        <w:ind w:left="201" w:leftChars="96"/>
        <w:rPr>
          <w:rFonts w:ascii="宋体" w:hAnsi="宋体"/>
          <w:color w:val="auto"/>
          <w:szCs w:val="21"/>
          <w:highlight w:val="none"/>
        </w:rPr>
      </w:pPr>
      <w:r>
        <w:rPr>
          <w:rFonts w:hint="eastAsia" w:ascii="宋体" w:hAnsi="宋体"/>
          <w:color w:val="auto"/>
          <w:szCs w:val="21"/>
          <w:highlight w:val="none"/>
        </w:rPr>
        <w:t>注：1、本记录表二份原件，施工单位、建设单位工程管理部各执一份原件；</w:t>
      </w:r>
    </w:p>
    <w:p w14:paraId="3BC97AB1">
      <w:pPr>
        <w:autoSpaceDE w:val="0"/>
        <w:autoSpaceDN w:val="0"/>
        <w:adjustRightInd w:val="0"/>
        <w:spacing w:line="360" w:lineRule="auto"/>
        <w:ind w:left="201" w:leftChars="96"/>
        <w:rPr>
          <w:rFonts w:ascii="宋体" w:hAnsi="宋体"/>
          <w:color w:val="auto"/>
          <w:szCs w:val="21"/>
          <w:highlight w:val="none"/>
        </w:rPr>
      </w:pPr>
    </w:p>
    <w:p w14:paraId="4CEFF84D">
      <w:pPr>
        <w:autoSpaceDE w:val="0"/>
        <w:autoSpaceDN w:val="0"/>
        <w:adjustRightInd w:val="0"/>
        <w:spacing w:line="360" w:lineRule="auto"/>
        <w:ind w:left="201" w:leftChars="96"/>
        <w:rPr>
          <w:rFonts w:ascii="宋体" w:hAnsi="宋体"/>
          <w:color w:val="auto"/>
          <w:szCs w:val="21"/>
          <w:highlight w:val="none"/>
        </w:rPr>
        <w:sectPr>
          <w:type w:val="continuous"/>
          <w:pgSz w:w="11906" w:h="16838"/>
          <w:pgMar w:top="720" w:right="720" w:bottom="720" w:left="720" w:header="1418" w:footer="1134" w:gutter="0"/>
          <w:cols w:space="720" w:num="1"/>
          <w:formProt w:val="0"/>
          <w:docGrid w:type="linesAndChars" w:linePitch="312" w:charSpace="0"/>
        </w:sectPr>
      </w:pPr>
    </w:p>
    <w:p w14:paraId="1052BCFA">
      <w:pPr>
        <w:jc w:val="center"/>
        <w:rPr>
          <w:color w:val="auto"/>
          <w:highlight w:val="none"/>
        </w:rPr>
      </w:pPr>
      <w:r>
        <w:rPr>
          <w:rFonts w:hint="eastAsia"/>
          <w:color w:val="auto"/>
          <w:highlight w:val="none"/>
        </w:rPr>
        <w:t>附录</w:t>
      </w:r>
      <w:r>
        <w:rPr>
          <w:color w:val="auto"/>
          <w:highlight w:val="none"/>
        </w:rPr>
        <w:t>C</w:t>
      </w:r>
      <w:r>
        <w:rPr>
          <w:color w:val="auto"/>
          <w:highlight w:val="none"/>
        </w:rPr>
        <w:br w:type="textWrapping"/>
      </w:r>
      <w:r>
        <w:rPr>
          <w:rFonts w:hint="eastAsia"/>
          <w:color w:val="auto"/>
          <w:highlight w:val="none"/>
        </w:rPr>
        <w:t>（规范性附录）</w:t>
      </w:r>
    </w:p>
    <w:p w14:paraId="7E64ECB8">
      <w:pPr>
        <w:pStyle w:val="73"/>
        <w:spacing w:before="156" w:after="156"/>
        <w:rPr>
          <w:color w:val="auto"/>
          <w:highlight w:val="none"/>
          <w:lang w:val="zh-CN"/>
        </w:rPr>
      </w:pPr>
      <w:r>
        <w:rPr>
          <w:rFonts w:hint="eastAsia"/>
          <w:color w:val="auto"/>
          <w:highlight w:val="none"/>
        </w:rPr>
        <w:t>经济签证单办理程序</w:t>
      </w:r>
    </w:p>
    <w:p w14:paraId="237788C6">
      <w:pPr>
        <w:autoSpaceDE w:val="0"/>
        <w:autoSpaceDN w:val="0"/>
        <w:adjustRightInd w:val="0"/>
        <w:spacing w:line="360" w:lineRule="auto"/>
        <w:jc w:val="center"/>
        <w:rPr>
          <w:rFonts w:ascii="宋体" w:hAnsi="宋体"/>
          <w:color w:val="auto"/>
          <w:szCs w:val="21"/>
          <w:highlight w:val="none"/>
        </w:rPr>
      </w:pPr>
      <w:r>
        <w:rPr>
          <w:color w:val="auto"/>
          <w:highlight w:val="none"/>
        </w:rPr>
        <w:drawing>
          <wp:inline distT="0" distB="0" distL="114300" distR="114300">
            <wp:extent cx="5704205" cy="4178935"/>
            <wp:effectExtent l="0" t="0" r="1270" b="2540"/>
            <wp:docPr id="4" name="图片 3" descr="F:\360MoveData\Users\shixiaoli\Documents\Tencent Files\1149962068\nt_qq\nt_data\Pic\2024-10\Ori\b411cad96a6021b6a8d88e7b3603f7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F:\360MoveData\Users\shixiaoli\Documents\Tencent Files\1149962068\nt_qq\nt_data\Pic\2024-10\Ori\b411cad96a6021b6a8d88e7b3603f759.png"/>
                    <pic:cNvPicPr>
                      <a:picLocks noChangeAspect="1"/>
                    </pic:cNvPicPr>
                  </pic:nvPicPr>
                  <pic:blipFill>
                    <a:blip r:embed="rId15"/>
                    <a:stretch>
                      <a:fillRect/>
                    </a:stretch>
                  </pic:blipFill>
                  <pic:spPr>
                    <a:xfrm>
                      <a:off x="0" y="0"/>
                      <a:ext cx="5704205" cy="4178935"/>
                    </a:xfrm>
                    <a:prstGeom prst="rect">
                      <a:avLst/>
                    </a:prstGeom>
                    <a:noFill/>
                    <a:ln>
                      <a:noFill/>
                    </a:ln>
                  </pic:spPr>
                </pic:pic>
              </a:graphicData>
            </a:graphic>
          </wp:inline>
        </w:drawing>
      </w:r>
    </w:p>
    <w:p w14:paraId="2E59F793">
      <w:pPr>
        <w:pStyle w:val="8"/>
        <w:ind w:left="63" w:right="63"/>
        <w:jc w:val="left"/>
        <w:rPr>
          <w:rFonts w:ascii="宋体" w:hAnsi="宋体"/>
          <w:color w:val="auto"/>
          <w:szCs w:val="21"/>
          <w:highlight w:val="none"/>
        </w:rPr>
      </w:pPr>
    </w:p>
    <w:p w14:paraId="1C44B2E4">
      <w:pPr>
        <w:pStyle w:val="69"/>
        <w:jc w:val="both"/>
        <w:rPr>
          <w:color w:val="auto"/>
          <w:highlight w:val="none"/>
        </w:rPr>
      </w:pPr>
      <w:r>
        <w:rPr>
          <w:rFonts w:ascii="Times New Roman" w:eastAsia="仿宋_GB2312"/>
          <w:color w:val="auto"/>
          <w:sz w:val="30"/>
          <w:szCs w:val="30"/>
          <w:highlight w:val="none"/>
        </w:rPr>
        <w:t>附件5：</w:t>
      </w:r>
    </w:p>
    <w:p w14:paraId="2ADB137A">
      <w:pPr>
        <w:jc w:val="center"/>
        <w:rPr>
          <w:rFonts w:ascii="方正小标宋简体" w:eastAsia="方正小标宋简体"/>
          <w:b/>
          <w:bCs/>
          <w:color w:val="auto"/>
          <w:kern w:val="44"/>
          <w:sz w:val="32"/>
          <w:szCs w:val="32"/>
          <w:highlight w:val="none"/>
        </w:rPr>
      </w:pPr>
      <w:r>
        <w:rPr>
          <w:rFonts w:hint="eastAsia" w:ascii="方正小标宋简体" w:eastAsia="方正小标宋简体"/>
          <w:b/>
          <w:bCs/>
          <w:color w:val="auto"/>
          <w:kern w:val="44"/>
          <w:sz w:val="32"/>
          <w:szCs w:val="32"/>
          <w:highlight w:val="none"/>
        </w:rPr>
        <w:t>工程项目质量管理考核细则</w:t>
      </w:r>
    </w:p>
    <w:p w14:paraId="497AE54D">
      <w:pPr>
        <w:pStyle w:val="58"/>
        <w:numPr>
          <w:ilvl w:val="0"/>
          <w:numId w:val="9"/>
        </w:numPr>
        <w:ind w:firstLineChars="0"/>
        <w:rPr>
          <w:b/>
          <w:color w:val="auto"/>
          <w:szCs w:val="21"/>
          <w:highlight w:val="none"/>
        </w:rPr>
      </w:pPr>
      <w:r>
        <w:rPr>
          <w:rFonts w:hint="eastAsia"/>
          <w:b/>
          <w:color w:val="auto"/>
          <w:szCs w:val="21"/>
          <w:highlight w:val="none"/>
        </w:rPr>
        <w:t>目的</w:t>
      </w:r>
    </w:p>
    <w:p w14:paraId="37D67D64">
      <w:pPr>
        <w:ind w:firstLine="420" w:firstLineChars="200"/>
        <w:rPr>
          <w:color w:val="auto"/>
          <w:szCs w:val="21"/>
          <w:highlight w:val="none"/>
        </w:rPr>
      </w:pPr>
      <w:r>
        <w:rPr>
          <w:rFonts w:hint="eastAsia"/>
          <w:color w:val="auto"/>
          <w:szCs w:val="21"/>
          <w:highlight w:val="none"/>
        </w:rPr>
        <w:t>为了加强对工程质量的管理，保证工程质量，进一步明确质量责任和责任追究办法，特制定本制度。</w:t>
      </w:r>
    </w:p>
    <w:p w14:paraId="09E35672">
      <w:pPr>
        <w:pStyle w:val="58"/>
        <w:numPr>
          <w:ilvl w:val="0"/>
          <w:numId w:val="9"/>
        </w:numPr>
        <w:ind w:firstLineChars="0"/>
        <w:rPr>
          <w:b/>
          <w:color w:val="auto"/>
          <w:szCs w:val="21"/>
          <w:highlight w:val="none"/>
        </w:rPr>
      </w:pPr>
      <w:bookmarkStart w:id="533" w:name="_Toc122791548"/>
      <w:r>
        <w:rPr>
          <w:rFonts w:hint="eastAsia"/>
          <w:b/>
          <w:color w:val="auto"/>
          <w:szCs w:val="21"/>
          <w:highlight w:val="none"/>
        </w:rPr>
        <w:t>适用范围</w:t>
      </w:r>
      <w:bookmarkEnd w:id="533"/>
    </w:p>
    <w:p w14:paraId="07637BA7">
      <w:pPr>
        <w:ind w:firstLine="420" w:firstLineChars="200"/>
        <w:rPr>
          <w:color w:val="auto"/>
          <w:szCs w:val="21"/>
          <w:highlight w:val="none"/>
        </w:rPr>
      </w:pPr>
      <w:r>
        <w:rPr>
          <w:rFonts w:hint="eastAsia"/>
          <w:color w:val="auto"/>
          <w:szCs w:val="21"/>
          <w:highlight w:val="none"/>
        </w:rPr>
        <w:t>本规定的适用于重庆国际复合材料股份有限公司工程项目的施工质量管理，适用对象为承担本工程的各个承包商，适用期为整个工程建设期。</w:t>
      </w:r>
    </w:p>
    <w:p w14:paraId="0FC58742">
      <w:pPr>
        <w:pStyle w:val="58"/>
        <w:numPr>
          <w:ilvl w:val="0"/>
          <w:numId w:val="9"/>
        </w:numPr>
        <w:ind w:firstLineChars="0"/>
        <w:rPr>
          <w:b/>
          <w:color w:val="auto"/>
          <w:szCs w:val="21"/>
          <w:highlight w:val="none"/>
        </w:rPr>
      </w:pPr>
      <w:bookmarkStart w:id="534" w:name="_Toc122791549"/>
      <w:r>
        <w:rPr>
          <w:rFonts w:hint="eastAsia"/>
          <w:b/>
          <w:color w:val="auto"/>
          <w:szCs w:val="21"/>
          <w:highlight w:val="none"/>
        </w:rPr>
        <w:t>制定依据</w:t>
      </w:r>
      <w:bookmarkEnd w:id="534"/>
    </w:p>
    <w:p w14:paraId="30FE5F9D">
      <w:pPr>
        <w:ind w:firstLine="420" w:firstLineChars="200"/>
        <w:rPr>
          <w:color w:val="auto"/>
          <w:szCs w:val="21"/>
          <w:highlight w:val="none"/>
        </w:rPr>
      </w:pPr>
      <w:r>
        <w:rPr>
          <w:rFonts w:hint="eastAsia"/>
          <w:color w:val="auto"/>
          <w:szCs w:val="21"/>
          <w:highlight w:val="none"/>
        </w:rPr>
        <w:t>本规定的制定依据为《中华人民共和国建筑法》、《建设工程质量管理条例》、国家标准和行业规范、施工承包商签订的《施工承包合同》。</w:t>
      </w:r>
    </w:p>
    <w:p w14:paraId="360F981D">
      <w:pPr>
        <w:pStyle w:val="58"/>
        <w:numPr>
          <w:ilvl w:val="0"/>
          <w:numId w:val="9"/>
        </w:numPr>
        <w:ind w:firstLineChars="0"/>
        <w:rPr>
          <w:b/>
          <w:color w:val="auto"/>
          <w:szCs w:val="21"/>
          <w:highlight w:val="none"/>
        </w:rPr>
      </w:pPr>
      <w:bookmarkStart w:id="535" w:name="_Toc122791550"/>
      <w:r>
        <w:rPr>
          <w:rFonts w:hint="eastAsia"/>
          <w:b/>
          <w:color w:val="auto"/>
          <w:szCs w:val="21"/>
          <w:highlight w:val="none"/>
        </w:rPr>
        <w:t>《建设工程质量管理条例》相关条文</w:t>
      </w:r>
      <w:bookmarkEnd w:id="535"/>
    </w:p>
    <w:p w14:paraId="79696F91">
      <w:pPr>
        <w:ind w:firstLine="420" w:firstLineChars="200"/>
        <w:rPr>
          <w:color w:val="auto"/>
          <w:szCs w:val="21"/>
          <w:highlight w:val="none"/>
        </w:rPr>
      </w:pPr>
      <w:r>
        <w:rPr>
          <w:rFonts w:hint="eastAsia"/>
          <w:color w:val="auto"/>
          <w:szCs w:val="21"/>
          <w:highlight w:val="none"/>
        </w:rPr>
        <w:t>本部分引用《建设工程质量管理条例》关于施工承包商的质量责任和义务部分的原条文。</w:t>
      </w:r>
    </w:p>
    <w:p w14:paraId="2E8679DB">
      <w:pPr>
        <w:rPr>
          <w:color w:val="auto"/>
          <w:szCs w:val="21"/>
          <w:highlight w:val="none"/>
        </w:rPr>
      </w:pPr>
      <w:r>
        <w:rPr>
          <w:rFonts w:hint="eastAsia"/>
          <w:color w:val="auto"/>
          <w:szCs w:val="21"/>
          <w:highlight w:val="none"/>
        </w:rPr>
        <w:t>4.1 施工单位不得转包或者违法分包工程。</w:t>
      </w:r>
    </w:p>
    <w:p w14:paraId="5BBB34F1">
      <w:pPr>
        <w:rPr>
          <w:color w:val="auto"/>
          <w:szCs w:val="21"/>
          <w:highlight w:val="none"/>
        </w:rPr>
      </w:pPr>
      <w:r>
        <w:rPr>
          <w:rFonts w:hint="eastAsia"/>
          <w:color w:val="auto"/>
          <w:szCs w:val="21"/>
          <w:highlight w:val="none"/>
        </w:rPr>
        <w:t>4.2施工单位必须按照工程设计图纸和施工技术标准施工，不得擅自修改工程设计，不得偷工减料。</w:t>
      </w:r>
    </w:p>
    <w:p w14:paraId="34242870">
      <w:pPr>
        <w:rPr>
          <w:color w:val="auto"/>
          <w:szCs w:val="21"/>
          <w:highlight w:val="none"/>
        </w:rPr>
      </w:pPr>
      <w:r>
        <w:rPr>
          <w:rFonts w:hint="eastAsia"/>
          <w:color w:val="auto"/>
          <w:szCs w:val="21"/>
          <w:highlight w:val="none"/>
        </w:rPr>
        <w:t>4.3施工单位在施工过程中发现设计文件和图纸有差错的，应当及时提出意见和建议。</w:t>
      </w:r>
    </w:p>
    <w:p w14:paraId="4C1A387D">
      <w:pPr>
        <w:rPr>
          <w:color w:val="auto"/>
          <w:szCs w:val="21"/>
          <w:highlight w:val="none"/>
        </w:rPr>
      </w:pPr>
      <w:r>
        <w:rPr>
          <w:rFonts w:hint="eastAsia"/>
          <w:color w:val="auto"/>
          <w:szCs w:val="21"/>
          <w:highlight w:val="none"/>
        </w:rPr>
        <w:t>4.4施工单位必须按照工程设计要求、施工技术标准和合同约定，对建筑材料、建筑构配件、 设备和自拌混凝土进行检验、检验应当有书面记录和专人签字；未经检验和检验不合格的，不得使用。</w:t>
      </w:r>
    </w:p>
    <w:p w14:paraId="59F811ED">
      <w:pPr>
        <w:rPr>
          <w:color w:val="auto"/>
          <w:szCs w:val="21"/>
          <w:highlight w:val="none"/>
        </w:rPr>
      </w:pPr>
      <w:r>
        <w:rPr>
          <w:rFonts w:hint="eastAsia"/>
          <w:color w:val="auto"/>
          <w:szCs w:val="21"/>
          <w:highlight w:val="none"/>
        </w:rPr>
        <w:t>4.5施工单位必须建立、健全施工质量检验制度，严格工序管理，作好隐蔽工程的质量检查和记录。隐蔽工程在隐蔽前，施工单位应当通知监理单位、建设单位。</w:t>
      </w:r>
    </w:p>
    <w:p w14:paraId="229AF2D2">
      <w:pPr>
        <w:rPr>
          <w:color w:val="auto"/>
          <w:szCs w:val="21"/>
          <w:highlight w:val="none"/>
        </w:rPr>
      </w:pPr>
      <w:r>
        <w:rPr>
          <w:rFonts w:hint="eastAsia"/>
          <w:color w:val="auto"/>
          <w:szCs w:val="21"/>
          <w:highlight w:val="none"/>
        </w:rPr>
        <w:t>4.6施工人员对涉及结构安全的试块、试件以及有关材料，应当在建设单位或者工程监理单位监督下现场取样，并送具有相应资质等级的质量检测单位进行检测。</w:t>
      </w:r>
    </w:p>
    <w:p w14:paraId="427783F2">
      <w:pPr>
        <w:rPr>
          <w:color w:val="auto"/>
          <w:szCs w:val="21"/>
          <w:highlight w:val="none"/>
        </w:rPr>
      </w:pPr>
      <w:r>
        <w:rPr>
          <w:rFonts w:hint="eastAsia"/>
          <w:color w:val="auto"/>
          <w:szCs w:val="21"/>
          <w:highlight w:val="none"/>
        </w:rPr>
        <w:t>4.7施工单位对施工中出现质量问题的建设工程或者竣工验收不合格的建设工程，应当负责返修。</w:t>
      </w:r>
    </w:p>
    <w:p w14:paraId="2C27CAA8">
      <w:pPr>
        <w:rPr>
          <w:color w:val="auto"/>
          <w:szCs w:val="21"/>
          <w:highlight w:val="none"/>
        </w:rPr>
      </w:pPr>
      <w:r>
        <w:rPr>
          <w:rFonts w:hint="eastAsia"/>
          <w:color w:val="auto"/>
          <w:szCs w:val="21"/>
          <w:highlight w:val="none"/>
        </w:rPr>
        <w:t>4.8施工单位应当建立、健全质量教育培训制度，坚持对职工的质量教育培训；未经质量教育培训或者考核不合格的人员，不得上岗作业。</w:t>
      </w:r>
    </w:p>
    <w:p w14:paraId="5E9C050E">
      <w:pPr>
        <w:pStyle w:val="58"/>
        <w:numPr>
          <w:ilvl w:val="0"/>
          <w:numId w:val="9"/>
        </w:numPr>
        <w:ind w:firstLineChars="0"/>
        <w:rPr>
          <w:b/>
          <w:color w:val="auto"/>
          <w:szCs w:val="21"/>
          <w:highlight w:val="none"/>
        </w:rPr>
      </w:pPr>
      <w:bookmarkStart w:id="536" w:name="_Toc122791551"/>
      <w:r>
        <w:rPr>
          <w:rFonts w:hint="eastAsia"/>
          <w:b/>
          <w:color w:val="auto"/>
          <w:szCs w:val="21"/>
          <w:highlight w:val="none"/>
        </w:rPr>
        <w:t>对施工承包商的质量责任和义务的解释和扩充</w:t>
      </w:r>
      <w:bookmarkEnd w:id="536"/>
    </w:p>
    <w:p w14:paraId="45AE6775">
      <w:pPr>
        <w:rPr>
          <w:color w:val="auto"/>
          <w:szCs w:val="21"/>
          <w:highlight w:val="none"/>
        </w:rPr>
      </w:pPr>
      <w:r>
        <w:rPr>
          <w:rFonts w:hint="eastAsia"/>
          <w:color w:val="auto"/>
          <w:szCs w:val="21"/>
          <w:highlight w:val="none"/>
        </w:rPr>
        <w:t>5.1  施工分包商在隐蔽工程隐蔽前应提前48小时通监理单位（或建设单位）。</w:t>
      </w:r>
    </w:p>
    <w:p w14:paraId="159189A1">
      <w:pPr>
        <w:rPr>
          <w:color w:val="auto"/>
          <w:szCs w:val="21"/>
          <w:highlight w:val="none"/>
        </w:rPr>
      </w:pPr>
      <w:r>
        <w:rPr>
          <w:rFonts w:hint="eastAsia"/>
          <w:color w:val="auto"/>
          <w:szCs w:val="21"/>
          <w:highlight w:val="none"/>
        </w:rPr>
        <w:t>5.2  施工分包商必须健全质量管理组织机构，每个专业都必须配备足够的专职质量监督人员，管理人员要持证上岗，要切实保证各专业人员到位。</w:t>
      </w:r>
    </w:p>
    <w:p w14:paraId="0CE79E9C">
      <w:pPr>
        <w:rPr>
          <w:color w:val="auto"/>
          <w:szCs w:val="21"/>
          <w:highlight w:val="none"/>
        </w:rPr>
      </w:pPr>
      <w:r>
        <w:rPr>
          <w:rFonts w:hint="eastAsia"/>
          <w:color w:val="auto"/>
          <w:szCs w:val="21"/>
          <w:highlight w:val="none"/>
        </w:rPr>
        <w:t>5.3  针对4.8条的扩充为，本工程现场施工人员必须经过质量培训并通过考试，才能上岗。特殊作业人员要持政府部门颁发的有效上岗证才能上岗。</w:t>
      </w:r>
    </w:p>
    <w:p w14:paraId="74B7BB92">
      <w:pPr>
        <w:rPr>
          <w:color w:val="auto"/>
          <w:szCs w:val="21"/>
          <w:highlight w:val="none"/>
        </w:rPr>
      </w:pPr>
      <w:r>
        <w:rPr>
          <w:rFonts w:hint="eastAsia"/>
          <w:color w:val="auto"/>
          <w:szCs w:val="21"/>
          <w:highlight w:val="none"/>
        </w:rPr>
        <w:t>5.4  在每个专业的施工准备阶段，各承包商都要将测量仪器送有校验资质的单位进行校验，保证测量仪器准确。并将校验证书报监理部备案。</w:t>
      </w:r>
    </w:p>
    <w:p w14:paraId="4E348F9B">
      <w:pPr>
        <w:rPr>
          <w:color w:val="auto"/>
          <w:szCs w:val="21"/>
          <w:highlight w:val="none"/>
        </w:rPr>
      </w:pPr>
      <w:r>
        <w:rPr>
          <w:rFonts w:hint="eastAsia"/>
          <w:color w:val="auto"/>
          <w:szCs w:val="21"/>
          <w:highlight w:val="none"/>
        </w:rPr>
        <w:t xml:space="preserve">5.5  凡由施工承包商采购的材料、设备等，在采购订货前应向建设单位、监理单位申报，在建设单位确认后方可进行采购。 </w:t>
      </w:r>
    </w:p>
    <w:p w14:paraId="25043E47">
      <w:pPr>
        <w:rPr>
          <w:color w:val="auto"/>
          <w:szCs w:val="21"/>
          <w:highlight w:val="none"/>
        </w:rPr>
      </w:pPr>
      <w:r>
        <w:rPr>
          <w:rFonts w:hint="eastAsia"/>
          <w:color w:val="auto"/>
          <w:szCs w:val="21"/>
          <w:highlight w:val="none"/>
        </w:rPr>
        <w:t>5.6  凡运到施工现场的原材料、半成品或构配件，应有产品合格证或技术说明书、试验报告，并由施工单位按规范要求进行检验，向建设单位、监理工程师提出检验或试验报告，确认质量合格后，方可使用。</w:t>
      </w:r>
    </w:p>
    <w:p w14:paraId="50A2996A">
      <w:pPr>
        <w:rPr>
          <w:color w:val="auto"/>
          <w:szCs w:val="21"/>
          <w:highlight w:val="none"/>
        </w:rPr>
      </w:pPr>
      <w:r>
        <w:rPr>
          <w:rFonts w:hint="eastAsia"/>
          <w:color w:val="auto"/>
          <w:szCs w:val="21"/>
          <w:highlight w:val="none"/>
        </w:rPr>
        <w:t>5.7  设备、材料的存放必须进行可靠保护，要保证设备和材料不受损坏。</w:t>
      </w:r>
    </w:p>
    <w:p w14:paraId="6CD1BAD0">
      <w:pPr>
        <w:rPr>
          <w:color w:val="auto"/>
          <w:szCs w:val="21"/>
          <w:highlight w:val="none"/>
        </w:rPr>
      </w:pPr>
      <w:r>
        <w:rPr>
          <w:rFonts w:hint="eastAsia"/>
          <w:color w:val="auto"/>
          <w:szCs w:val="21"/>
          <w:highlight w:val="none"/>
        </w:rPr>
        <w:t>5.8  重大施工作业前，施工单位必须编制作业指导书（或施工方案），并提前7天上报建设或监理方审核，作业指导书或施工方案未经批准前不得进行该部分的施工，批准后的作业指导书在施工前要进行技术交底，并有技术交底记录。</w:t>
      </w:r>
    </w:p>
    <w:p w14:paraId="520F6755">
      <w:pPr>
        <w:rPr>
          <w:color w:val="auto"/>
          <w:szCs w:val="21"/>
          <w:highlight w:val="none"/>
        </w:rPr>
      </w:pPr>
      <w:r>
        <w:rPr>
          <w:rFonts w:hint="eastAsia"/>
          <w:color w:val="auto"/>
          <w:szCs w:val="21"/>
          <w:highlight w:val="none"/>
        </w:rPr>
        <w:t>5.9  《施工方案》经审核、审批、正式出版后，作为建设单位、监理单位监督管理的依据，现场施工必须按照施工方案中描述的措施和工艺进行施工。</w:t>
      </w:r>
    </w:p>
    <w:p w14:paraId="790238CA">
      <w:pPr>
        <w:rPr>
          <w:color w:val="auto"/>
          <w:szCs w:val="21"/>
          <w:highlight w:val="none"/>
        </w:rPr>
      </w:pPr>
      <w:r>
        <w:rPr>
          <w:rFonts w:hint="eastAsia"/>
          <w:color w:val="auto"/>
          <w:szCs w:val="21"/>
          <w:highlight w:val="none"/>
        </w:rPr>
        <w:t>5.10  单位工程开工前，施工单位必须按开工报告要求完成准备工作，向建设单位或监理单位提交开工申请。单位工程完工且自检查合格达到报验条件后，施工单位必须提前24小时准备好相关材料，向建设单位提交单位工程验收申请。</w:t>
      </w:r>
    </w:p>
    <w:p w14:paraId="4741E20D">
      <w:pPr>
        <w:rPr>
          <w:color w:val="auto"/>
          <w:szCs w:val="21"/>
          <w:highlight w:val="none"/>
        </w:rPr>
      </w:pPr>
      <w:r>
        <w:rPr>
          <w:rFonts w:hint="eastAsia"/>
          <w:color w:val="auto"/>
          <w:szCs w:val="21"/>
          <w:highlight w:val="none"/>
        </w:rPr>
        <w:t>5.11  对主要的工序交接作业，办理工序交接签证，不得在未办理工序交接手续前进行下道工序。施工过程的的检查验收要严格按照各专业的“验评项目划分表执行”，施工单位要严格执行质量验收制度，上一级质检员未自检，无施工记录、自检记录，不得通知下一级质检。</w:t>
      </w:r>
    </w:p>
    <w:p w14:paraId="16BA6AC4">
      <w:pPr>
        <w:rPr>
          <w:color w:val="auto"/>
          <w:szCs w:val="21"/>
          <w:highlight w:val="none"/>
        </w:rPr>
      </w:pPr>
      <w:r>
        <w:rPr>
          <w:rFonts w:hint="eastAsia"/>
          <w:color w:val="auto"/>
          <w:szCs w:val="21"/>
          <w:highlight w:val="none"/>
        </w:rPr>
        <w:t>5.1</w:t>
      </w:r>
      <w:r>
        <w:rPr>
          <w:color w:val="auto"/>
          <w:szCs w:val="21"/>
          <w:highlight w:val="none"/>
        </w:rPr>
        <w:t>2</w:t>
      </w:r>
      <w:r>
        <w:rPr>
          <w:rFonts w:hint="eastAsia"/>
          <w:color w:val="auto"/>
          <w:szCs w:val="21"/>
          <w:highlight w:val="none"/>
        </w:rPr>
        <w:t>成品保护措施</w:t>
      </w:r>
    </w:p>
    <w:p w14:paraId="72823003">
      <w:pPr>
        <w:pStyle w:val="58"/>
        <w:ind w:firstLine="0" w:firstLineChars="0"/>
        <w:rPr>
          <w:color w:val="auto"/>
          <w:szCs w:val="21"/>
          <w:highlight w:val="none"/>
        </w:rPr>
      </w:pPr>
      <w:r>
        <w:rPr>
          <w:rFonts w:hint="eastAsia"/>
          <w:color w:val="auto"/>
          <w:szCs w:val="21"/>
          <w:highlight w:val="none"/>
        </w:rPr>
        <w:t>5.12.1施工单位在成品保护管理上应实行项目经理负责制，各班组、各技术专业组、各职能人员应明确职责，分工负责，各专业队或作业班组必须配备认真负责的专职或兼职的成品保护专管员。</w:t>
      </w:r>
    </w:p>
    <w:p w14:paraId="370DDDA0">
      <w:pPr>
        <w:pStyle w:val="58"/>
        <w:ind w:firstLine="0" w:firstLineChars="0"/>
        <w:rPr>
          <w:color w:val="auto"/>
          <w:szCs w:val="21"/>
          <w:highlight w:val="none"/>
        </w:rPr>
      </w:pPr>
      <w:r>
        <w:rPr>
          <w:rFonts w:hint="eastAsia"/>
          <w:color w:val="auto"/>
          <w:szCs w:val="21"/>
          <w:highlight w:val="none"/>
        </w:rPr>
        <w:t>5.12.2各施工单位应建立健全成品保护工作体系，严格执行本单位的工程施工安装产品保护程序，在安排施工生产的同时明确成品保护的基本要求和重点，对成品保护措施纳入技术交底。</w:t>
      </w:r>
    </w:p>
    <w:p w14:paraId="0D18A557">
      <w:pPr>
        <w:pStyle w:val="58"/>
        <w:ind w:firstLine="0" w:firstLineChars="0"/>
        <w:rPr>
          <w:color w:val="auto"/>
          <w:szCs w:val="21"/>
          <w:highlight w:val="none"/>
        </w:rPr>
      </w:pPr>
      <w:r>
        <w:rPr>
          <w:rFonts w:hint="eastAsia"/>
          <w:color w:val="auto"/>
          <w:szCs w:val="21"/>
          <w:highlight w:val="none"/>
        </w:rPr>
        <w:t>5.12.3各施工单位应加强成品保护的宣传教育，使有关人员明白做好成品保护是满足施工正常进行的必要条件和维护职业道德的基本要求。</w:t>
      </w:r>
    </w:p>
    <w:p w14:paraId="5ED14EE9">
      <w:pPr>
        <w:pStyle w:val="58"/>
        <w:ind w:firstLine="0" w:firstLineChars="0"/>
        <w:rPr>
          <w:color w:val="auto"/>
          <w:szCs w:val="21"/>
          <w:highlight w:val="none"/>
        </w:rPr>
      </w:pPr>
      <w:r>
        <w:rPr>
          <w:rFonts w:hint="eastAsia"/>
          <w:color w:val="auto"/>
          <w:szCs w:val="21"/>
          <w:highlight w:val="none"/>
        </w:rPr>
        <w:t>5.12.4工序全部或部分完成后，本工序施工责任单位应设立醒目明确的标识，警戒、围挡等措施，涉及安全风险的还应做好安全防护。</w:t>
      </w:r>
    </w:p>
    <w:p w14:paraId="1082572B">
      <w:pPr>
        <w:pStyle w:val="58"/>
        <w:ind w:firstLine="0" w:firstLineChars="0"/>
        <w:rPr>
          <w:color w:val="auto"/>
          <w:szCs w:val="21"/>
          <w:highlight w:val="none"/>
        </w:rPr>
      </w:pPr>
      <w:r>
        <w:rPr>
          <w:rFonts w:hint="eastAsia"/>
          <w:color w:val="auto"/>
          <w:szCs w:val="21"/>
          <w:highlight w:val="none"/>
        </w:rPr>
        <w:t>5.12.5其他相邻施工单位不得随意拆除、破坏成品保护标识、警戒、围挡，应严格按照设置标识妥善保护已完工程。</w:t>
      </w:r>
    </w:p>
    <w:p w14:paraId="3823CC0F">
      <w:pPr>
        <w:pStyle w:val="58"/>
        <w:ind w:firstLine="0" w:firstLineChars="0"/>
        <w:rPr>
          <w:color w:val="auto"/>
          <w:szCs w:val="21"/>
          <w:highlight w:val="none"/>
        </w:rPr>
      </w:pPr>
      <w:r>
        <w:rPr>
          <w:rFonts w:hint="eastAsia"/>
          <w:color w:val="auto"/>
          <w:szCs w:val="21"/>
          <w:highlight w:val="none"/>
        </w:rPr>
        <w:t>5.12.6已完工程施工单位应加大成品保护工作的监督力度，落实好成品保护措施的有效性，及时发现和制止成品损坏的行为。</w:t>
      </w:r>
    </w:p>
    <w:p w14:paraId="5C43A2BD">
      <w:pPr>
        <w:pStyle w:val="58"/>
        <w:ind w:firstLine="0" w:firstLineChars="0"/>
        <w:rPr>
          <w:color w:val="auto"/>
          <w:szCs w:val="21"/>
          <w:highlight w:val="none"/>
        </w:rPr>
      </w:pPr>
      <w:r>
        <w:rPr>
          <w:rFonts w:hint="eastAsia"/>
          <w:color w:val="auto"/>
          <w:szCs w:val="21"/>
          <w:highlight w:val="none"/>
        </w:rPr>
        <w:t>5.12.7施工单位内部和各施工单位存在工序交接时，应组织办理书面的成品保护交接手续。</w:t>
      </w:r>
    </w:p>
    <w:p w14:paraId="54B2C6C9">
      <w:pPr>
        <w:pStyle w:val="58"/>
        <w:numPr>
          <w:ilvl w:val="0"/>
          <w:numId w:val="9"/>
        </w:numPr>
        <w:ind w:firstLineChars="0"/>
        <w:rPr>
          <w:b/>
          <w:color w:val="auto"/>
          <w:szCs w:val="21"/>
          <w:highlight w:val="none"/>
        </w:rPr>
      </w:pPr>
      <w:bookmarkStart w:id="537" w:name="_Toc122791553"/>
      <w:r>
        <w:rPr>
          <w:rFonts w:hint="eastAsia"/>
          <w:b/>
          <w:color w:val="auto"/>
          <w:szCs w:val="21"/>
          <w:highlight w:val="none"/>
        </w:rPr>
        <w:t>质量问题（事故）处理程序</w:t>
      </w:r>
      <w:bookmarkEnd w:id="537"/>
    </w:p>
    <w:p w14:paraId="01B31503">
      <w:pPr>
        <w:pStyle w:val="58"/>
        <w:numPr>
          <w:ilvl w:val="1"/>
          <w:numId w:val="9"/>
        </w:numPr>
        <w:ind w:firstLineChars="0"/>
        <w:rPr>
          <w:color w:val="auto"/>
          <w:szCs w:val="21"/>
          <w:highlight w:val="none"/>
        </w:rPr>
      </w:pPr>
      <w:r>
        <w:rPr>
          <w:rFonts w:hint="eastAsia"/>
          <w:color w:val="auto"/>
          <w:szCs w:val="21"/>
          <w:highlight w:val="none"/>
        </w:rPr>
        <w:t>施工单位在施工过程，如模板拆除等工作中，如果发现质量缺陷（包括甲供材料、构配件、设备等等），必须立刻报建设或监理方，不许私自隐蔽。</w:t>
      </w:r>
    </w:p>
    <w:p w14:paraId="644F27A8">
      <w:pPr>
        <w:pStyle w:val="58"/>
        <w:numPr>
          <w:ilvl w:val="1"/>
          <w:numId w:val="9"/>
        </w:numPr>
        <w:ind w:firstLineChars="0"/>
        <w:rPr>
          <w:color w:val="auto"/>
          <w:szCs w:val="21"/>
          <w:highlight w:val="none"/>
        </w:rPr>
      </w:pPr>
      <w:r>
        <w:rPr>
          <w:rFonts w:hint="eastAsia"/>
          <w:color w:val="auto"/>
          <w:szCs w:val="21"/>
          <w:highlight w:val="none"/>
        </w:rPr>
        <w:t>质量缺陷、质量问题、质量事故发生后，施工单位应停止与其有关部位的施工，并通知建设或监理单位。施工承包商立即进行质量事故的调查，写出调查分析报告并制定出处理方案。</w:t>
      </w:r>
    </w:p>
    <w:p w14:paraId="315C617E">
      <w:pPr>
        <w:pStyle w:val="58"/>
        <w:numPr>
          <w:ilvl w:val="1"/>
          <w:numId w:val="9"/>
        </w:numPr>
        <w:ind w:firstLineChars="0"/>
        <w:rPr>
          <w:color w:val="auto"/>
          <w:szCs w:val="21"/>
          <w:highlight w:val="none"/>
        </w:rPr>
      </w:pPr>
      <w:r>
        <w:rPr>
          <w:rFonts w:hint="eastAsia"/>
          <w:color w:val="auto"/>
          <w:szCs w:val="21"/>
          <w:highlight w:val="none"/>
        </w:rPr>
        <w:t>质量缺陷处理完毕后，施工单位应组织监理和建设单位人员对处理的结果进行严格的鉴定和验收，写出事故处理报告，提交建设单位。</w:t>
      </w:r>
    </w:p>
    <w:p w14:paraId="7A2565DC">
      <w:pPr>
        <w:pStyle w:val="58"/>
        <w:numPr>
          <w:ilvl w:val="0"/>
          <w:numId w:val="9"/>
        </w:numPr>
        <w:ind w:firstLineChars="0"/>
        <w:rPr>
          <w:b/>
          <w:color w:val="auto"/>
          <w:szCs w:val="21"/>
          <w:highlight w:val="none"/>
        </w:rPr>
      </w:pPr>
      <w:r>
        <w:rPr>
          <w:rFonts w:hint="eastAsia"/>
          <w:b/>
          <w:color w:val="auto"/>
          <w:szCs w:val="21"/>
          <w:highlight w:val="none"/>
        </w:rPr>
        <w:t>考核的实施</w:t>
      </w:r>
    </w:p>
    <w:p w14:paraId="4610730B">
      <w:pPr>
        <w:ind w:firstLine="420" w:firstLineChars="200"/>
        <w:rPr>
          <w:color w:val="auto"/>
          <w:szCs w:val="21"/>
          <w:highlight w:val="none"/>
        </w:rPr>
      </w:pPr>
      <w:r>
        <w:rPr>
          <w:rFonts w:hint="eastAsia"/>
          <w:color w:val="auto"/>
          <w:szCs w:val="21"/>
          <w:highlight w:val="none"/>
        </w:rPr>
        <w:t>承包商违反相应的质量管理程序和规范要求，建设单位根据本规定作出考核的，由建设单位指定人员将违约通知单以书面的形式（纸质或电子邮件均可）通知到承包商，承包商在收到违约单起五个工作日内如有异议可书面回复，建设单位根据回复判定是否撤销原违约单。承包商有异议的根据合同争议条款进行处理。</w:t>
      </w:r>
    </w:p>
    <w:p w14:paraId="530D237B">
      <w:pPr>
        <w:ind w:firstLine="420" w:firstLineChars="200"/>
        <w:rPr>
          <w:color w:val="auto"/>
          <w:szCs w:val="21"/>
          <w:highlight w:val="none"/>
        </w:rPr>
      </w:pPr>
      <w:r>
        <w:rPr>
          <w:rFonts w:hint="eastAsia"/>
          <w:color w:val="auto"/>
          <w:szCs w:val="21"/>
          <w:highlight w:val="none"/>
        </w:rPr>
        <w:t xml:space="preserve">生效的工程质量考核单由施工单位签字盖章后由工程造价管理人员在当期工程进度款中扣除， </w:t>
      </w:r>
    </w:p>
    <w:p w14:paraId="73DE9575">
      <w:pPr>
        <w:pStyle w:val="58"/>
        <w:numPr>
          <w:ilvl w:val="0"/>
          <w:numId w:val="9"/>
        </w:numPr>
        <w:ind w:firstLineChars="0"/>
        <w:rPr>
          <w:b/>
          <w:color w:val="auto"/>
          <w:szCs w:val="21"/>
          <w:highlight w:val="none"/>
        </w:rPr>
      </w:pPr>
      <w:r>
        <w:rPr>
          <w:rFonts w:hint="eastAsia"/>
          <w:b/>
          <w:color w:val="auto"/>
          <w:szCs w:val="21"/>
          <w:highlight w:val="none"/>
        </w:rPr>
        <w:t>工程质量考核标准见附表1</w:t>
      </w:r>
    </w:p>
    <w:tbl>
      <w:tblPr>
        <w:tblStyle w:val="20"/>
        <w:tblW w:w="0" w:type="auto"/>
        <w:tblInd w:w="108" w:type="dxa"/>
        <w:tblLayout w:type="fixed"/>
        <w:tblCellMar>
          <w:top w:w="0" w:type="dxa"/>
          <w:left w:w="108" w:type="dxa"/>
          <w:bottom w:w="0" w:type="dxa"/>
          <w:right w:w="108" w:type="dxa"/>
        </w:tblCellMar>
      </w:tblPr>
      <w:tblGrid>
        <w:gridCol w:w="851"/>
        <w:gridCol w:w="1069"/>
        <w:gridCol w:w="4459"/>
        <w:gridCol w:w="1985"/>
      </w:tblGrid>
      <w:tr w14:paraId="3775BBBA">
        <w:tblPrEx>
          <w:tblCellMar>
            <w:top w:w="0" w:type="dxa"/>
            <w:left w:w="108" w:type="dxa"/>
            <w:bottom w:w="0" w:type="dxa"/>
            <w:right w:w="108" w:type="dxa"/>
          </w:tblCellMar>
        </w:tblPrEx>
        <w:trPr>
          <w:trHeight w:val="996" w:hRule="atLeast"/>
        </w:trPr>
        <w:tc>
          <w:tcPr>
            <w:tcW w:w="8364" w:type="dxa"/>
            <w:gridSpan w:val="4"/>
            <w:tcBorders>
              <w:top w:val="nil"/>
              <w:left w:val="nil"/>
              <w:bottom w:val="nil"/>
              <w:right w:val="nil"/>
            </w:tcBorders>
            <w:vAlign w:val="bottom"/>
          </w:tcPr>
          <w:p w14:paraId="518661E7">
            <w:pPr>
              <w:pStyle w:val="58"/>
              <w:numPr>
                <w:ilvl w:val="0"/>
                <w:numId w:val="9"/>
              </w:numPr>
              <w:ind w:firstLineChars="0"/>
              <w:rPr>
                <w:b/>
                <w:color w:val="auto"/>
                <w:szCs w:val="21"/>
                <w:highlight w:val="none"/>
              </w:rPr>
            </w:pPr>
            <w:r>
              <w:rPr>
                <w:rFonts w:hint="eastAsia"/>
                <w:b/>
                <w:color w:val="auto"/>
                <w:szCs w:val="21"/>
                <w:highlight w:val="none"/>
              </w:rPr>
              <w:t>违约单见附表2</w:t>
            </w:r>
          </w:p>
          <w:p w14:paraId="6FFF4720">
            <w:pPr>
              <w:widowControl/>
              <w:jc w:val="left"/>
              <w:rPr>
                <w:rFonts w:ascii="等线" w:hAnsi="等线" w:eastAsia="等线" w:cs="宋体"/>
                <w:color w:val="auto"/>
                <w:kern w:val="0"/>
                <w:sz w:val="22"/>
                <w:highlight w:val="none"/>
              </w:rPr>
            </w:pPr>
          </w:p>
          <w:p w14:paraId="3346940F">
            <w:pPr>
              <w:widowControl/>
              <w:jc w:val="left"/>
              <w:rPr>
                <w:rFonts w:ascii="等线" w:hAnsi="等线" w:eastAsia="等线" w:cs="宋体"/>
                <w:color w:val="auto"/>
                <w:kern w:val="0"/>
                <w:sz w:val="22"/>
                <w:highlight w:val="none"/>
              </w:rPr>
            </w:pPr>
          </w:p>
          <w:p w14:paraId="2FED15DE">
            <w:pPr>
              <w:widowControl/>
              <w:ind w:firstLine="440" w:firstLineChars="200"/>
              <w:jc w:val="left"/>
              <w:rPr>
                <w:rFonts w:ascii="等线" w:hAnsi="等线" w:eastAsia="等线" w:cs="宋体"/>
                <w:color w:val="auto"/>
                <w:kern w:val="0"/>
                <w:sz w:val="22"/>
                <w:highlight w:val="none"/>
              </w:rPr>
            </w:pPr>
            <w:r>
              <w:rPr>
                <w:rFonts w:hint="eastAsia" w:ascii="等线" w:hAnsi="等线" w:eastAsia="等线" w:cs="宋体"/>
                <w:color w:val="auto"/>
                <w:kern w:val="0"/>
                <w:sz w:val="22"/>
                <w:highlight w:val="none"/>
              </w:rPr>
              <w:t>附表1</w:t>
            </w:r>
          </w:p>
          <w:p w14:paraId="748FAD47">
            <w:pPr>
              <w:widowControl/>
              <w:ind w:firstLine="560" w:firstLineChars="200"/>
              <w:jc w:val="center"/>
              <w:rPr>
                <w:rFonts w:ascii="等线" w:hAnsi="等线" w:eastAsia="等线" w:cs="宋体"/>
                <w:color w:val="auto"/>
                <w:kern w:val="0"/>
                <w:sz w:val="28"/>
                <w:szCs w:val="28"/>
                <w:highlight w:val="none"/>
              </w:rPr>
            </w:pPr>
            <w:r>
              <w:rPr>
                <w:rFonts w:hint="eastAsia"/>
                <w:color w:val="auto"/>
                <w:sz w:val="28"/>
                <w:szCs w:val="28"/>
                <w:highlight w:val="none"/>
              </w:rPr>
              <w:t>工程质量考核标准</w:t>
            </w:r>
          </w:p>
          <w:p w14:paraId="6DAE00E8">
            <w:pPr>
              <w:widowControl/>
              <w:ind w:firstLine="440" w:firstLineChars="200"/>
              <w:jc w:val="left"/>
              <w:rPr>
                <w:rFonts w:ascii="等线" w:hAnsi="等线" w:eastAsia="等线" w:cs="宋体"/>
                <w:color w:val="auto"/>
                <w:kern w:val="0"/>
                <w:sz w:val="22"/>
                <w:highlight w:val="none"/>
              </w:rPr>
            </w:pPr>
            <w:r>
              <w:rPr>
                <w:rFonts w:hint="eastAsia" w:ascii="等线" w:hAnsi="等线" w:eastAsia="等线" w:cs="宋体"/>
                <w:color w:val="auto"/>
                <w:kern w:val="0"/>
                <w:sz w:val="22"/>
                <w:highlight w:val="none"/>
              </w:rPr>
              <w:t xml:space="preserve"> 说明：考核标准为每次或每项扣罚标准，单位为人民币。扣罚不能免除施工单位修复、施工至合格以及由此造成的直接损失和工期延误而带来的间接损失。</w:t>
            </w:r>
          </w:p>
        </w:tc>
      </w:tr>
      <w:tr w14:paraId="7BC5273B">
        <w:tblPrEx>
          <w:tblCellMar>
            <w:top w:w="0" w:type="dxa"/>
            <w:left w:w="108" w:type="dxa"/>
            <w:bottom w:w="0" w:type="dxa"/>
            <w:right w:w="108" w:type="dxa"/>
          </w:tblCellMar>
        </w:tblPrEx>
        <w:trPr>
          <w:trHeight w:val="276" w:hRule="atLeast"/>
        </w:trPr>
        <w:tc>
          <w:tcPr>
            <w:tcW w:w="851" w:type="dxa"/>
            <w:tcBorders>
              <w:top w:val="single" w:color="auto" w:sz="4" w:space="0"/>
              <w:left w:val="single" w:color="auto" w:sz="4" w:space="0"/>
              <w:bottom w:val="single" w:color="auto" w:sz="4" w:space="0"/>
              <w:right w:val="single" w:color="auto" w:sz="4" w:space="0"/>
            </w:tcBorders>
            <w:vAlign w:val="center"/>
          </w:tcPr>
          <w:p w14:paraId="1127BCC6">
            <w:pPr>
              <w:widowControl/>
              <w:jc w:val="center"/>
              <w:rPr>
                <w:rFonts w:ascii="等线" w:hAnsi="等线" w:eastAsia="等线" w:cs="宋体"/>
                <w:b/>
                <w:bCs/>
                <w:color w:val="auto"/>
                <w:kern w:val="0"/>
                <w:szCs w:val="21"/>
                <w:highlight w:val="none"/>
              </w:rPr>
            </w:pPr>
            <w:r>
              <w:rPr>
                <w:rFonts w:hint="eastAsia" w:ascii="等线" w:hAnsi="等线" w:eastAsia="等线" w:cs="宋体"/>
                <w:b/>
                <w:bCs/>
                <w:color w:val="auto"/>
                <w:kern w:val="0"/>
                <w:szCs w:val="21"/>
                <w:highlight w:val="none"/>
              </w:rPr>
              <w:t>序号</w:t>
            </w:r>
          </w:p>
        </w:tc>
        <w:tc>
          <w:tcPr>
            <w:tcW w:w="1069" w:type="dxa"/>
            <w:tcBorders>
              <w:top w:val="single" w:color="auto" w:sz="4" w:space="0"/>
              <w:left w:val="nil"/>
              <w:bottom w:val="single" w:color="auto" w:sz="4" w:space="0"/>
              <w:right w:val="single" w:color="auto" w:sz="4" w:space="0"/>
            </w:tcBorders>
            <w:vAlign w:val="center"/>
          </w:tcPr>
          <w:p w14:paraId="688C3A21">
            <w:pPr>
              <w:widowControl/>
              <w:jc w:val="center"/>
              <w:rPr>
                <w:rFonts w:ascii="等线" w:hAnsi="等线" w:eastAsia="等线" w:cs="宋体"/>
                <w:b/>
                <w:bCs/>
                <w:color w:val="auto"/>
                <w:kern w:val="0"/>
                <w:szCs w:val="21"/>
                <w:highlight w:val="none"/>
              </w:rPr>
            </w:pPr>
            <w:r>
              <w:rPr>
                <w:rFonts w:hint="eastAsia" w:ascii="等线" w:hAnsi="等线" w:eastAsia="等线" w:cs="宋体"/>
                <w:b/>
                <w:bCs/>
                <w:color w:val="auto"/>
                <w:kern w:val="0"/>
                <w:szCs w:val="21"/>
                <w:highlight w:val="none"/>
              </w:rPr>
              <w:t>类别</w:t>
            </w:r>
          </w:p>
        </w:tc>
        <w:tc>
          <w:tcPr>
            <w:tcW w:w="4459" w:type="dxa"/>
            <w:tcBorders>
              <w:top w:val="single" w:color="auto" w:sz="4" w:space="0"/>
              <w:left w:val="nil"/>
              <w:bottom w:val="single" w:color="auto" w:sz="4" w:space="0"/>
              <w:right w:val="single" w:color="auto" w:sz="4" w:space="0"/>
            </w:tcBorders>
            <w:vAlign w:val="center"/>
          </w:tcPr>
          <w:p w14:paraId="4A3151B8">
            <w:pPr>
              <w:widowControl/>
              <w:jc w:val="center"/>
              <w:rPr>
                <w:rFonts w:ascii="等线" w:hAnsi="等线" w:eastAsia="等线" w:cs="宋体"/>
                <w:b/>
                <w:bCs/>
                <w:color w:val="auto"/>
                <w:kern w:val="0"/>
                <w:szCs w:val="21"/>
                <w:highlight w:val="none"/>
              </w:rPr>
            </w:pPr>
            <w:r>
              <w:rPr>
                <w:rFonts w:hint="eastAsia" w:ascii="等线" w:hAnsi="等线" w:eastAsia="等线" w:cs="宋体"/>
                <w:b/>
                <w:bCs/>
                <w:color w:val="auto"/>
                <w:kern w:val="0"/>
                <w:szCs w:val="21"/>
                <w:highlight w:val="none"/>
              </w:rPr>
              <w:t>考核指标</w:t>
            </w:r>
          </w:p>
        </w:tc>
        <w:tc>
          <w:tcPr>
            <w:tcW w:w="1985" w:type="dxa"/>
            <w:tcBorders>
              <w:top w:val="single" w:color="auto" w:sz="4" w:space="0"/>
              <w:left w:val="nil"/>
              <w:bottom w:val="single" w:color="auto" w:sz="4" w:space="0"/>
              <w:right w:val="single" w:color="auto" w:sz="4" w:space="0"/>
            </w:tcBorders>
            <w:vAlign w:val="center"/>
          </w:tcPr>
          <w:p w14:paraId="0BF717F5">
            <w:pPr>
              <w:widowControl/>
              <w:jc w:val="center"/>
              <w:rPr>
                <w:rFonts w:ascii="等线" w:hAnsi="等线" w:eastAsia="等线" w:cs="宋体"/>
                <w:b/>
                <w:bCs/>
                <w:color w:val="auto"/>
                <w:kern w:val="0"/>
                <w:szCs w:val="21"/>
                <w:highlight w:val="none"/>
              </w:rPr>
            </w:pPr>
            <w:r>
              <w:rPr>
                <w:rFonts w:hint="eastAsia" w:ascii="等线" w:hAnsi="等线" w:eastAsia="等线" w:cs="宋体"/>
                <w:b/>
                <w:bCs/>
                <w:color w:val="auto"/>
                <w:kern w:val="0"/>
                <w:szCs w:val="21"/>
                <w:highlight w:val="none"/>
              </w:rPr>
              <w:t>违约金</w:t>
            </w:r>
          </w:p>
        </w:tc>
      </w:tr>
      <w:tr w14:paraId="5A05FEC4">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5D980103">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w:t>
            </w:r>
          </w:p>
        </w:tc>
        <w:tc>
          <w:tcPr>
            <w:tcW w:w="1069" w:type="dxa"/>
            <w:vMerge w:val="restart"/>
            <w:tcBorders>
              <w:top w:val="nil"/>
              <w:left w:val="single" w:color="auto" w:sz="4" w:space="0"/>
              <w:bottom w:val="single" w:color="auto" w:sz="4" w:space="0"/>
              <w:right w:val="single" w:color="auto" w:sz="4" w:space="0"/>
            </w:tcBorders>
            <w:vAlign w:val="center"/>
          </w:tcPr>
          <w:p w14:paraId="79FD7D92">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质量保证措施</w:t>
            </w:r>
          </w:p>
        </w:tc>
        <w:tc>
          <w:tcPr>
            <w:tcW w:w="4459" w:type="dxa"/>
            <w:tcBorders>
              <w:top w:val="nil"/>
              <w:left w:val="nil"/>
              <w:bottom w:val="single" w:color="auto" w:sz="4" w:space="0"/>
              <w:right w:val="single" w:color="auto" w:sz="4" w:space="0"/>
            </w:tcBorders>
            <w:vAlign w:val="bottom"/>
          </w:tcPr>
          <w:p w14:paraId="122DC04A">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无质量责任体系或体系不健全</w:t>
            </w:r>
          </w:p>
        </w:tc>
        <w:tc>
          <w:tcPr>
            <w:tcW w:w="1985" w:type="dxa"/>
            <w:tcBorders>
              <w:top w:val="nil"/>
              <w:left w:val="nil"/>
              <w:bottom w:val="single" w:color="auto" w:sz="4" w:space="0"/>
              <w:right w:val="single" w:color="auto" w:sz="4" w:space="0"/>
            </w:tcBorders>
            <w:noWrap/>
            <w:vAlign w:val="bottom"/>
          </w:tcPr>
          <w:p w14:paraId="55302D29">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3AE80BEE">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391F59E7">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w:t>
            </w:r>
          </w:p>
        </w:tc>
        <w:tc>
          <w:tcPr>
            <w:tcW w:w="1069" w:type="dxa"/>
            <w:vMerge w:val="continue"/>
            <w:tcBorders>
              <w:top w:val="nil"/>
              <w:left w:val="single" w:color="auto" w:sz="4" w:space="0"/>
              <w:bottom w:val="single" w:color="auto" w:sz="4" w:space="0"/>
              <w:right w:val="single" w:color="auto" w:sz="4" w:space="0"/>
            </w:tcBorders>
            <w:vAlign w:val="center"/>
          </w:tcPr>
          <w:p w14:paraId="008A32DA">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00371E85">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质量保证制度不健全</w:t>
            </w:r>
          </w:p>
        </w:tc>
        <w:tc>
          <w:tcPr>
            <w:tcW w:w="1985" w:type="dxa"/>
            <w:tcBorders>
              <w:top w:val="nil"/>
              <w:left w:val="nil"/>
              <w:bottom w:val="single" w:color="auto" w:sz="4" w:space="0"/>
              <w:right w:val="single" w:color="auto" w:sz="4" w:space="0"/>
            </w:tcBorders>
            <w:noWrap/>
            <w:vAlign w:val="bottom"/>
          </w:tcPr>
          <w:p w14:paraId="4478E5CE">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0D9C9B99">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2FF88E52">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w:t>
            </w:r>
          </w:p>
        </w:tc>
        <w:tc>
          <w:tcPr>
            <w:tcW w:w="1069" w:type="dxa"/>
            <w:vMerge w:val="continue"/>
            <w:tcBorders>
              <w:top w:val="nil"/>
              <w:left w:val="single" w:color="auto" w:sz="4" w:space="0"/>
              <w:bottom w:val="single" w:color="auto" w:sz="4" w:space="0"/>
              <w:right w:val="single" w:color="auto" w:sz="4" w:space="0"/>
            </w:tcBorders>
            <w:vAlign w:val="center"/>
          </w:tcPr>
          <w:p w14:paraId="04CA121F">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076268F7">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重要工序缺少作业指导书</w:t>
            </w:r>
          </w:p>
        </w:tc>
        <w:tc>
          <w:tcPr>
            <w:tcW w:w="1985" w:type="dxa"/>
            <w:tcBorders>
              <w:top w:val="nil"/>
              <w:left w:val="nil"/>
              <w:bottom w:val="single" w:color="auto" w:sz="4" w:space="0"/>
              <w:right w:val="single" w:color="auto" w:sz="4" w:space="0"/>
            </w:tcBorders>
            <w:noWrap/>
            <w:vAlign w:val="bottom"/>
          </w:tcPr>
          <w:p w14:paraId="1689E37F">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6C762991">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7CD37F0C">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4</w:t>
            </w:r>
          </w:p>
        </w:tc>
        <w:tc>
          <w:tcPr>
            <w:tcW w:w="1069" w:type="dxa"/>
            <w:vMerge w:val="continue"/>
            <w:tcBorders>
              <w:top w:val="nil"/>
              <w:left w:val="single" w:color="auto" w:sz="4" w:space="0"/>
              <w:bottom w:val="single" w:color="auto" w:sz="4" w:space="0"/>
              <w:right w:val="single" w:color="auto" w:sz="4" w:space="0"/>
            </w:tcBorders>
            <w:vAlign w:val="center"/>
          </w:tcPr>
          <w:p w14:paraId="53486A6B">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304C6270">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未经建设单位审查同意使用专业劳务队或分包队</w:t>
            </w:r>
          </w:p>
        </w:tc>
        <w:tc>
          <w:tcPr>
            <w:tcW w:w="1985" w:type="dxa"/>
            <w:tcBorders>
              <w:top w:val="nil"/>
              <w:left w:val="nil"/>
              <w:bottom w:val="single" w:color="auto" w:sz="4" w:space="0"/>
              <w:right w:val="single" w:color="auto" w:sz="4" w:space="0"/>
            </w:tcBorders>
            <w:noWrap/>
            <w:vAlign w:val="bottom"/>
          </w:tcPr>
          <w:p w14:paraId="0905270D">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3000~5000元</w:t>
            </w:r>
          </w:p>
        </w:tc>
      </w:tr>
      <w:tr w14:paraId="3721418F">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24638243">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5</w:t>
            </w:r>
          </w:p>
        </w:tc>
        <w:tc>
          <w:tcPr>
            <w:tcW w:w="1069" w:type="dxa"/>
            <w:vMerge w:val="continue"/>
            <w:tcBorders>
              <w:top w:val="nil"/>
              <w:left w:val="single" w:color="auto" w:sz="4" w:space="0"/>
              <w:bottom w:val="single" w:color="auto" w:sz="4" w:space="0"/>
              <w:right w:val="single" w:color="auto" w:sz="4" w:space="0"/>
            </w:tcBorders>
            <w:vAlign w:val="center"/>
          </w:tcPr>
          <w:p w14:paraId="75316DE9">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7FE76365">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检验员、质检员、特殊工种无证上岗</w:t>
            </w:r>
          </w:p>
        </w:tc>
        <w:tc>
          <w:tcPr>
            <w:tcW w:w="1985" w:type="dxa"/>
            <w:tcBorders>
              <w:top w:val="nil"/>
              <w:left w:val="nil"/>
              <w:bottom w:val="single" w:color="auto" w:sz="4" w:space="0"/>
              <w:right w:val="single" w:color="auto" w:sz="4" w:space="0"/>
            </w:tcBorders>
            <w:noWrap/>
            <w:vAlign w:val="bottom"/>
          </w:tcPr>
          <w:p w14:paraId="42CEEA2D">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1E23A3C4">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7D16E979">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6</w:t>
            </w:r>
          </w:p>
        </w:tc>
        <w:tc>
          <w:tcPr>
            <w:tcW w:w="1069" w:type="dxa"/>
            <w:vMerge w:val="continue"/>
            <w:tcBorders>
              <w:top w:val="nil"/>
              <w:left w:val="single" w:color="auto" w:sz="4" w:space="0"/>
              <w:bottom w:val="single" w:color="auto" w:sz="4" w:space="0"/>
              <w:right w:val="single" w:color="auto" w:sz="4" w:space="0"/>
            </w:tcBorders>
            <w:vAlign w:val="center"/>
          </w:tcPr>
          <w:p w14:paraId="3D12061E">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649AC914">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施工作业人员未经上岗培训，考核合格的，施工作业人员水平不能满足施工需要</w:t>
            </w:r>
          </w:p>
        </w:tc>
        <w:tc>
          <w:tcPr>
            <w:tcW w:w="1985" w:type="dxa"/>
            <w:tcBorders>
              <w:top w:val="nil"/>
              <w:left w:val="nil"/>
              <w:bottom w:val="single" w:color="auto" w:sz="4" w:space="0"/>
              <w:right w:val="single" w:color="auto" w:sz="4" w:space="0"/>
            </w:tcBorders>
            <w:noWrap/>
            <w:vAlign w:val="bottom"/>
          </w:tcPr>
          <w:p w14:paraId="46D52D2A">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5179DAB8">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3E93DB8C">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7</w:t>
            </w:r>
          </w:p>
        </w:tc>
        <w:tc>
          <w:tcPr>
            <w:tcW w:w="1069" w:type="dxa"/>
            <w:vMerge w:val="continue"/>
            <w:tcBorders>
              <w:top w:val="nil"/>
              <w:left w:val="single" w:color="auto" w:sz="4" w:space="0"/>
              <w:bottom w:val="single" w:color="auto" w:sz="4" w:space="0"/>
              <w:right w:val="single" w:color="auto" w:sz="4" w:space="0"/>
            </w:tcBorders>
            <w:vAlign w:val="center"/>
          </w:tcPr>
          <w:p w14:paraId="37EC5DE4">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3F12A5D8">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入场设备有缺陷，或选用不当不能保证工程质量</w:t>
            </w:r>
          </w:p>
        </w:tc>
        <w:tc>
          <w:tcPr>
            <w:tcW w:w="1985" w:type="dxa"/>
            <w:tcBorders>
              <w:top w:val="nil"/>
              <w:left w:val="nil"/>
              <w:bottom w:val="single" w:color="auto" w:sz="4" w:space="0"/>
              <w:right w:val="single" w:color="auto" w:sz="4" w:space="0"/>
            </w:tcBorders>
            <w:noWrap/>
            <w:vAlign w:val="bottom"/>
          </w:tcPr>
          <w:p w14:paraId="7465B283">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6F381E77">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2335AC72">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8</w:t>
            </w:r>
          </w:p>
        </w:tc>
        <w:tc>
          <w:tcPr>
            <w:tcW w:w="1069" w:type="dxa"/>
            <w:vMerge w:val="continue"/>
            <w:tcBorders>
              <w:top w:val="nil"/>
              <w:left w:val="single" w:color="auto" w:sz="4" w:space="0"/>
              <w:bottom w:val="single" w:color="auto" w:sz="4" w:space="0"/>
              <w:right w:val="single" w:color="auto" w:sz="4" w:space="0"/>
            </w:tcBorders>
            <w:vAlign w:val="center"/>
          </w:tcPr>
          <w:p w14:paraId="45B17CB2">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00D8A44A">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乙供材料品牌、型号未报请建设单位同意就开始使用</w:t>
            </w:r>
          </w:p>
        </w:tc>
        <w:tc>
          <w:tcPr>
            <w:tcW w:w="1985" w:type="dxa"/>
            <w:tcBorders>
              <w:top w:val="nil"/>
              <w:left w:val="nil"/>
              <w:bottom w:val="single" w:color="auto" w:sz="4" w:space="0"/>
              <w:right w:val="single" w:color="auto" w:sz="4" w:space="0"/>
            </w:tcBorders>
            <w:noWrap/>
            <w:vAlign w:val="bottom"/>
          </w:tcPr>
          <w:p w14:paraId="61FD5020">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3000~5000元</w:t>
            </w:r>
          </w:p>
        </w:tc>
      </w:tr>
      <w:tr w14:paraId="2B4BC67B">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122B02D4">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9</w:t>
            </w:r>
          </w:p>
        </w:tc>
        <w:tc>
          <w:tcPr>
            <w:tcW w:w="1069" w:type="dxa"/>
            <w:vMerge w:val="restart"/>
            <w:tcBorders>
              <w:top w:val="nil"/>
              <w:left w:val="single" w:color="auto" w:sz="4" w:space="0"/>
              <w:bottom w:val="single" w:color="auto" w:sz="4" w:space="0"/>
              <w:right w:val="single" w:color="auto" w:sz="4" w:space="0"/>
            </w:tcBorders>
            <w:vAlign w:val="center"/>
          </w:tcPr>
          <w:p w14:paraId="3C69DFE7">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质量控制程序</w:t>
            </w:r>
          </w:p>
        </w:tc>
        <w:tc>
          <w:tcPr>
            <w:tcW w:w="4459" w:type="dxa"/>
            <w:tcBorders>
              <w:top w:val="nil"/>
              <w:left w:val="nil"/>
              <w:bottom w:val="single" w:color="auto" w:sz="4" w:space="0"/>
              <w:right w:val="single" w:color="auto" w:sz="4" w:space="0"/>
            </w:tcBorders>
            <w:vAlign w:val="center"/>
          </w:tcPr>
          <w:p w14:paraId="7102F8F0">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工程开工报告未经批准擅自开工</w:t>
            </w:r>
          </w:p>
        </w:tc>
        <w:tc>
          <w:tcPr>
            <w:tcW w:w="1985" w:type="dxa"/>
            <w:tcBorders>
              <w:top w:val="nil"/>
              <w:left w:val="nil"/>
              <w:bottom w:val="single" w:color="auto" w:sz="4" w:space="0"/>
              <w:right w:val="single" w:color="auto" w:sz="4" w:space="0"/>
            </w:tcBorders>
            <w:noWrap/>
            <w:vAlign w:val="bottom"/>
          </w:tcPr>
          <w:p w14:paraId="44F10117">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7AFCBA16">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4871C044">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w:t>
            </w:r>
          </w:p>
        </w:tc>
        <w:tc>
          <w:tcPr>
            <w:tcW w:w="1069" w:type="dxa"/>
            <w:vMerge w:val="continue"/>
            <w:tcBorders>
              <w:top w:val="nil"/>
              <w:left w:val="single" w:color="auto" w:sz="4" w:space="0"/>
              <w:bottom w:val="single" w:color="auto" w:sz="4" w:space="0"/>
              <w:right w:val="single" w:color="auto" w:sz="4" w:space="0"/>
            </w:tcBorders>
            <w:vAlign w:val="center"/>
          </w:tcPr>
          <w:p w14:paraId="2C3A0C6D">
            <w:pPr>
              <w:widowControl/>
              <w:jc w:val="left"/>
              <w:rPr>
                <w:rFonts w:ascii="等线" w:hAnsi="等线" w:eastAsia="等线" w:cs="宋体"/>
                <w:color w:val="auto"/>
                <w:kern w:val="0"/>
                <w:szCs w:val="21"/>
                <w:highlight w:val="none"/>
              </w:rPr>
            </w:pPr>
          </w:p>
        </w:tc>
        <w:tc>
          <w:tcPr>
            <w:tcW w:w="4459" w:type="dxa"/>
            <w:tcBorders>
              <w:top w:val="nil"/>
              <w:left w:val="nil"/>
              <w:bottom w:val="nil"/>
              <w:right w:val="nil"/>
            </w:tcBorders>
            <w:vAlign w:val="bottom"/>
          </w:tcPr>
          <w:p w14:paraId="21429C6F">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交接桩、施工复测及测量控制网资料不齐全</w:t>
            </w:r>
          </w:p>
        </w:tc>
        <w:tc>
          <w:tcPr>
            <w:tcW w:w="1985" w:type="dxa"/>
            <w:tcBorders>
              <w:top w:val="nil"/>
              <w:left w:val="single" w:color="auto" w:sz="4" w:space="0"/>
              <w:bottom w:val="single" w:color="auto" w:sz="4" w:space="0"/>
              <w:right w:val="single" w:color="auto" w:sz="4" w:space="0"/>
            </w:tcBorders>
            <w:noWrap/>
            <w:vAlign w:val="bottom"/>
          </w:tcPr>
          <w:p w14:paraId="028C5592">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52FC4743">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557F7BB8">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11</w:t>
            </w:r>
          </w:p>
        </w:tc>
        <w:tc>
          <w:tcPr>
            <w:tcW w:w="1069" w:type="dxa"/>
            <w:vMerge w:val="continue"/>
            <w:tcBorders>
              <w:top w:val="nil"/>
              <w:left w:val="single" w:color="auto" w:sz="4" w:space="0"/>
              <w:bottom w:val="single" w:color="auto" w:sz="4" w:space="0"/>
              <w:right w:val="single" w:color="auto" w:sz="4" w:space="0"/>
            </w:tcBorders>
            <w:vAlign w:val="center"/>
          </w:tcPr>
          <w:p w14:paraId="135C78D1">
            <w:pPr>
              <w:widowControl/>
              <w:jc w:val="left"/>
              <w:rPr>
                <w:rFonts w:ascii="等线" w:hAnsi="等线" w:eastAsia="等线" w:cs="宋体"/>
                <w:color w:val="auto"/>
                <w:kern w:val="0"/>
                <w:szCs w:val="21"/>
                <w:highlight w:val="none"/>
              </w:rPr>
            </w:pPr>
          </w:p>
        </w:tc>
        <w:tc>
          <w:tcPr>
            <w:tcW w:w="4459" w:type="dxa"/>
            <w:tcBorders>
              <w:top w:val="single" w:color="auto" w:sz="4" w:space="0"/>
              <w:left w:val="nil"/>
              <w:bottom w:val="single" w:color="auto" w:sz="4" w:space="0"/>
              <w:right w:val="single" w:color="auto" w:sz="4" w:space="0"/>
            </w:tcBorders>
            <w:vAlign w:val="center"/>
          </w:tcPr>
          <w:p w14:paraId="230D38DF">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图纸未经设计方或业主方认可，未经会审、会签，擅自施工</w:t>
            </w:r>
          </w:p>
        </w:tc>
        <w:tc>
          <w:tcPr>
            <w:tcW w:w="1985" w:type="dxa"/>
            <w:tcBorders>
              <w:top w:val="nil"/>
              <w:left w:val="nil"/>
              <w:bottom w:val="single" w:color="auto" w:sz="4" w:space="0"/>
              <w:right w:val="single" w:color="auto" w:sz="4" w:space="0"/>
            </w:tcBorders>
            <w:noWrap/>
            <w:vAlign w:val="bottom"/>
          </w:tcPr>
          <w:p w14:paraId="300B9920">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25E58BBE">
        <w:tblPrEx>
          <w:tblCellMar>
            <w:top w:w="0" w:type="dxa"/>
            <w:left w:w="108" w:type="dxa"/>
            <w:bottom w:w="0" w:type="dxa"/>
            <w:right w:w="108" w:type="dxa"/>
          </w:tblCellMar>
        </w:tblPrEx>
        <w:trPr>
          <w:trHeight w:val="828" w:hRule="atLeast"/>
        </w:trPr>
        <w:tc>
          <w:tcPr>
            <w:tcW w:w="851" w:type="dxa"/>
            <w:tcBorders>
              <w:top w:val="nil"/>
              <w:left w:val="single" w:color="auto" w:sz="4" w:space="0"/>
              <w:bottom w:val="single" w:color="auto" w:sz="4" w:space="0"/>
              <w:right w:val="single" w:color="auto" w:sz="4" w:space="0"/>
            </w:tcBorders>
            <w:noWrap/>
            <w:vAlign w:val="center"/>
          </w:tcPr>
          <w:p w14:paraId="777F0A4B">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12</w:t>
            </w:r>
          </w:p>
        </w:tc>
        <w:tc>
          <w:tcPr>
            <w:tcW w:w="1069" w:type="dxa"/>
            <w:vMerge w:val="continue"/>
            <w:tcBorders>
              <w:top w:val="nil"/>
              <w:left w:val="single" w:color="auto" w:sz="4" w:space="0"/>
              <w:bottom w:val="single" w:color="auto" w:sz="4" w:space="0"/>
              <w:right w:val="single" w:color="auto" w:sz="4" w:space="0"/>
            </w:tcBorders>
            <w:vAlign w:val="center"/>
          </w:tcPr>
          <w:p w14:paraId="322D2041">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center"/>
          </w:tcPr>
          <w:p w14:paraId="3D8ADF8F">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未按照设计图纸进行施工，擅自变更设计或图纸进行施工，设计变更（变更设计）未会签完，擅自施工</w:t>
            </w:r>
          </w:p>
        </w:tc>
        <w:tc>
          <w:tcPr>
            <w:tcW w:w="1985" w:type="dxa"/>
            <w:tcBorders>
              <w:top w:val="nil"/>
              <w:left w:val="nil"/>
              <w:bottom w:val="single" w:color="auto" w:sz="4" w:space="0"/>
              <w:right w:val="single" w:color="auto" w:sz="4" w:space="0"/>
            </w:tcBorders>
            <w:noWrap/>
            <w:vAlign w:val="bottom"/>
          </w:tcPr>
          <w:p w14:paraId="12FB5B14">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5F407219">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3D56E08C">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13</w:t>
            </w:r>
          </w:p>
        </w:tc>
        <w:tc>
          <w:tcPr>
            <w:tcW w:w="1069" w:type="dxa"/>
            <w:vMerge w:val="continue"/>
            <w:tcBorders>
              <w:top w:val="nil"/>
              <w:left w:val="single" w:color="auto" w:sz="4" w:space="0"/>
              <w:bottom w:val="single" w:color="auto" w:sz="4" w:space="0"/>
              <w:right w:val="single" w:color="auto" w:sz="4" w:space="0"/>
            </w:tcBorders>
            <w:vAlign w:val="center"/>
          </w:tcPr>
          <w:p w14:paraId="2B944CBF">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03CB8DA2">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有设计变更而未按照变更施工的</w:t>
            </w:r>
          </w:p>
        </w:tc>
        <w:tc>
          <w:tcPr>
            <w:tcW w:w="1985" w:type="dxa"/>
            <w:tcBorders>
              <w:top w:val="nil"/>
              <w:left w:val="nil"/>
              <w:bottom w:val="single" w:color="auto" w:sz="4" w:space="0"/>
              <w:right w:val="single" w:color="auto" w:sz="4" w:space="0"/>
            </w:tcBorders>
            <w:noWrap/>
            <w:vAlign w:val="bottom"/>
          </w:tcPr>
          <w:p w14:paraId="7257D7D4">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304E6ED2">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20585948">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14</w:t>
            </w:r>
          </w:p>
        </w:tc>
        <w:tc>
          <w:tcPr>
            <w:tcW w:w="1069" w:type="dxa"/>
            <w:vMerge w:val="continue"/>
            <w:tcBorders>
              <w:top w:val="nil"/>
              <w:left w:val="single" w:color="auto" w:sz="4" w:space="0"/>
              <w:bottom w:val="single" w:color="auto" w:sz="4" w:space="0"/>
              <w:right w:val="single" w:color="auto" w:sz="4" w:space="0"/>
            </w:tcBorders>
            <w:vAlign w:val="center"/>
          </w:tcPr>
          <w:p w14:paraId="107E2F66">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54E205B8">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材料入场检验记录不全或记录作假</w:t>
            </w:r>
          </w:p>
        </w:tc>
        <w:tc>
          <w:tcPr>
            <w:tcW w:w="1985" w:type="dxa"/>
            <w:tcBorders>
              <w:top w:val="nil"/>
              <w:left w:val="nil"/>
              <w:bottom w:val="single" w:color="auto" w:sz="4" w:space="0"/>
              <w:right w:val="single" w:color="auto" w:sz="4" w:space="0"/>
            </w:tcBorders>
            <w:noWrap/>
            <w:vAlign w:val="bottom"/>
          </w:tcPr>
          <w:p w14:paraId="42783FFA">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798EFB01">
        <w:tblPrEx>
          <w:tblCellMar>
            <w:top w:w="0" w:type="dxa"/>
            <w:left w:w="108" w:type="dxa"/>
            <w:bottom w:w="0" w:type="dxa"/>
            <w:right w:w="108" w:type="dxa"/>
          </w:tblCellMar>
        </w:tblPrEx>
        <w:trPr>
          <w:trHeight w:val="828" w:hRule="atLeast"/>
        </w:trPr>
        <w:tc>
          <w:tcPr>
            <w:tcW w:w="851" w:type="dxa"/>
            <w:tcBorders>
              <w:top w:val="nil"/>
              <w:left w:val="single" w:color="auto" w:sz="4" w:space="0"/>
              <w:bottom w:val="single" w:color="auto" w:sz="4" w:space="0"/>
              <w:right w:val="single" w:color="auto" w:sz="4" w:space="0"/>
            </w:tcBorders>
            <w:noWrap/>
            <w:vAlign w:val="center"/>
          </w:tcPr>
          <w:p w14:paraId="7E1558AD">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15</w:t>
            </w:r>
          </w:p>
        </w:tc>
        <w:tc>
          <w:tcPr>
            <w:tcW w:w="1069" w:type="dxa"/>
            <w:vMerge w:val="continue"/>
            <w:tcBorders>
              <w:top w:val="nil"/>
              <w:left w:val="single" w:color="auto" w:sz="4" w:space="0"/>
              <w:bottom w:val="single" w:color="auto" w:sz="4" w:space="0"/>
              <w:right w:val="single" w:color="auto" w:sz="4" w:space="0"/>
            </w:tcBorders>
            <w:vAlign w:val="center"/>
          </w:tcPr>
          <w:p w14:paraId="3999EAA6">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center"/>
          </w:tcPr>
          <w:p w14:paraId="58E960FB">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使用的原材料、成品、半成品、预制构件及外构件，无出厂合格证件、或按规定应复试而未复试，未经报验而擅自使用</w:t>
            </w:r>
          </w:p>
        </w:tc>
        <w:tc>
          <w:tcPr>
            <w:tcW w:w="1985" w:type="dxa"/>
            <w:tcBorders>
              <w:top w:val="nil"/>
              <w:left w:val="nil"/>
              <w:bottom w:val="single" w:color="auto" w:sz="4" w:space="0"/>
              <w:right w:val="single" w:color="auto" w:sz="4" w:space="0"/>
            </w:tcBorders>
            <w:noWrap/>
            <w:vAlign w:val="bottom"/>
          </w:tcPr>
          <w:p w14:paraId="147B9777">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3F790FA4">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22DFD8AF">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16</w:t>
            </w:r>
          </w:p>
        </w:tc>
        <w:tc>
          <w:tcPr>
            <w:tcW w:w="1069" w:type="dxa"/>
            <w:vMerge w:val="continue"/>
            <w:tcBorders>
              <w:top w:val="nil"/>
              <w:left w:val="single" w:color="auto" w:sz="4" w:space="0"/>
              <w:bottom w:val="single" w:color="auto" w:sz="4" w:space="0"/>
              <w:right w:val="single" w:color="auto" w:sz="4" w:space="0"/>
            </w:tcBorders>
            <w:vAlign w:val="center"/>
          </w:tcPr>
          <w:p w14:paraId="40A4D014">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center"/>
          </w:tcPr>
          <w:p w14:paraId="4774AFC1">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凡属监理单位规定应见证取样的项目，未通知擅自取样者</w:t>
            </w:r>
          </w:p>
        </w:tc>
        <w:tc>
          <w:tcPr>
            <w:tcW w:w="1985" w:type="dxa"/>
            <w:tcBorders>
              <w:top w:val="nil"/>
              <w:left w:val="nil"/>
              <w:bottom w:val="single" w:color="auto" w:sz="4" w:space="0"/>
              <w:right w:val="single" w:color="auto" w:sz="4" w:space="0"/>
            </w:tcBorders>
            <w:noWrap/>
            <w:vAlign w:val="bottom"/>
          </w:tcPr>
          <w:p w14:paraId="2D9F3C98">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6B254C5C">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74DE0F48">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17</w:t>
            </w:r>
          </w:p>
        </w:tc>
        <w:tc>
          <w:tcPr>
            <w:tcW w:w="1069" w:type="dxa"/>
            <w:vMerge w:val="continue"/>
            <w:tcBorders>
              <w:top w:val="nil"/>
              <w:left w:val="single" w:color="auto" w:sz="4" w:space="0"/>
              <w:bottom w:val="single" w:color="auto" w:sz="4" w:space="0"/>
              <w:right w:val="single" w:color="auto" w:sz="4" w:space="0"/>
            </w:tcBorders>
            <w:vAlign w:val="center"/>
          </w:tcPr>
          <w:p w14:paraId="1FEE2B24">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center"/>
          </w:tcPr>
          <w:p w14:paraId="67CDE775">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工序完成后应进行检验未经检验，擅自进行下步工序施工的</w:t>
            </w:r>
          </w:p>
        </w:tc>
        <w:tc>
          <w:tcPr>
            <w:tcW w:w="1985" w:type="dxa"/>
            <w:tcBorders>
              <w:top w:val="nil"/>
              <w:left w:val="nil"/>
              <w:bottom w:val="single" w:color="auto" w:sz="4" w:space="0"/>
              <w:right w:val="single" w:color="auto" w:sz="4" w:space="0"/>
            </w:tcBorders>
            <w:noWrap/>
            <w:vAlign w:val="bottom"/>
          </w:tcPr>
          <w:p w14:paraId="7C733D03">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673E8CC9">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3CAD568F">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18</w:t>
            </w:r>
          </w:p>
        </w:tc>
        <w:tc>
          <w:tcPr>
            <w:tcW w:w="1069" w:type="dxa"/>
            <w:vMerge w:val="continue"/>
            <w:tcBorders>
              <w:top w:val="nil"/>
              <w:left w:val="single" w:color="auto" w:sz="4" w:space="0"/>
              <w:bottom w:val="single" w:color="auto" w:sz="4" w:space="0"/>
              <w:right w:val="single" w:color="auto" w:sz="4" w:space="0"/>
            </w:tcBorders>
            <w:vAlign w:val="center"/>
          </w:tcPr>
          <w:p w14:paraId="30B7C95A">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center"/>
          </w:tcPr>
          <w:p w14:paraId="7ED5501B">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施工组织设计、施工技术方案、环境保护方案及施工进程控制文件无审批</w:t>
            </w:r>
          </w:p>
        </w:tc>
        <w:tc>
          <w:tcPr>
            <w:tcW w:w="1985" w:type="dxa"/>
            <w:tcBorders>
              <w:top w:val="nil"/>
              <w:left w:val="nil"/>
              <w:bottom w:val="single" w:color="auto" w:sz="4" w:space="0"/>
              <w:right w:val="single" w:color="auto" w:sz="4" w:space="0"/>
            </w:tcBorders>
            <w:noWrap/>
            <w:vAlign w:val="bottom"/>
          </w:tcPr>
          <w:p w14:paraId="73F686D7">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122C8277">
        <w:tblPrEx>
          <w:tblCellMar>
            <w:top w:w="0" w:type="dxa"/>
            <w:left w:w="108" w:type="dxa"/>
            <w:bottom w:w="0" w:type="dxa"/>
            <w:right w:w="108" w:type="dxa"/>
          </w:tblCellMar>
        </w:tblPrEx>
        <w:trPr>
          <w:trHeight w:val="828" w:hRule="atLeast"/>
        </w:trPr>
        <w:tc>
          <w:tcPr>
            <w:tcW w:w="851" w:type="dxa"/>
            <w:tcBorders>
              <w:top w:val="nil"/>
              <w:left w:val="single" w:color="auto" w:sz="4" w:space="0"/>
              <w:bottom w:val="single" w:color="auto" w:sz="4" w:space="0"/>
              <w:right w:val="single" w:color="auto" w:sz="4" w:space="0"/>
            </w:tcBorders>
            <w:noWrap/>
            <w:vAlign w:val="center"/>
          </w:tcPr>
          <w:p w14:paraId="330EDEBE">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19</w:t>
            </w:r>
          </w:p>
        </w:tc>
        <w:tc>
          <w:tcPr>
            <w:tcW w:w="1069" w:type="dxa"/>
            <w:vMerge w:val="continue"/>
            <w:tcBorders>
              <w:top w:val="nil"/>
              <w:left w:val="single" w:color="auto" w:sz="4" w:space="0"/>
              <w:bottom w:val="single" w:color="auto" w:sz="4" w:space="0"/>
              <w:right w:val="single" w:color="auto" w:sz="4" w:space="0"/>
            </w:tcBorders>
            <w:vAlign w:val="center"/>
          </w:tcPr>
          <w:p w14:paraId="790F59E4">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38ED0BA3">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各作业项目施工前未按要求编制作业指导书（包括现场质量计划措施）或没有进行技术交底的项目</w:t>
            </w:r>
          </w:p>
        </w:tc>
        <w:tc>
          <w:tcPr>
            <w:tcW w:w="1985" w:type="dxa"/>
            <w:tcBorders>
              <w:top w:val="nil"/>
              <w:left w:val="nil"/>
              <w:bottom w:val="single" w:color="auto" w:sz="4" w:space="0"/>
              <w:right w:val="single" w:color="auto" w:sz="4" w:space="0"/>
            </w:tcBorders>
            <w:noWrap/>
            <w:vAlign w:val="bottom"/>
          </w:tcPr>
          <w:p w14:paraId="0B2FD5DA">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2899EA2E">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5557F355">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20</w:t>
            </w:r>
          </w:p>
        </w:tc>
        <w:tc>
          <w:tcPr>
            <w:tcW w:w="1069" w:type="dxa"/>
            <w:vMerge w:val="continue"/>
            <w:tcBorders>
              <w:top w:val="nil"/>
              <w:left w:val="single" w:color="auto" w:sz="4" w:space="0"/>
              <w:bottom w:val="single" w:color="auto" w:sz="4" w:space="0"/>
              <w:right w:val="single" w:color="auto" w:sz="4" w:space="0"/>
            </w:tcBorders>
            <w:vAlign w:val="center"/>
          </w:tcPr>
          <w:p w14:paraId="59D10D19">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center"/>
          </w:tcPr>
          <w:p w14:paraId="61494EC9">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已开工项目未经交底或无书面交底手续者</w:t>
            </w:r>
          </w:p>
        </w:tc>
        <w:tc>
          <w:tcPr>
            <w:tcW w:w="1985" w:type="dxa"/>
            <w:tcBorders>
              <w:top w:val="nil"/>
              <w:left w:val="nil"/>
              <w:bottom w:val="single" w:color="auto" w:sz="4" w:space="0"/>
              <w:right w:val="single" w:color="auto" w:sz="4" w:space="0"/>
            </w:tcBorders>
            <w:noWrap/>
            <w:vAlign w:val="bottom"/>
          </w:tcPr>
          <w:p w14:paraId="50594AE5">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6C0939BB">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7BF7B0DA">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21</w:t>
            </w:r>
          </w:p>
        </w:tc>
        <w:tc>
          <w:tcPr>
            <w:tcW w:w="1069" w:type="dxa"/>
            <w:vMerge w:val="continue"/>
            <w:tcBorders>
              <w:top w:val="nil"/>
              <w:left w:val="single" w:color="auto" w:sz="4" w:space="0"/>
              <w:bottom w:val="single" w:color="auto" w:sz="4" w:space="0"/>
              <w:right w:val="single" w:color="auto" w:sz="4" w:space="0"/>
            </w:tcBorders>
            <w:vAlign w:val="center"/>
          </w:tcPr>
          <w:p w14:paraId="7800F5D4">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center"/>
          </w:tcPr>
          <w:p w14:paraId="0F890030">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未按施工技术措施（或技术交底）执行或执行不力的</w:t>
            </w:r>
          </w:p>
        </w:tc>
        <w:tc>
          <w:tcPr>
            <w:tcW w:w="1985" w:type="dxa"/>
            <w:tcBorders>
              <w:top w:val="nil"/>
              <w:left w:val="nil"/>
              <w:bottom w:val="single" w:color="auto" w:sz="4" w:space="0"/>
              <w:right w:val="single" w:color="auto" w:sz="4" w:space="0"/>
            </w:tcBorders>
            <w:noWrap/>
            <w:vAlign w:val="bottom"/>
          </w:tcPr>
          <w:p w14:paraId="2FA76FD4">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269C8174">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564F25AD">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22</w:t>
            </w:r>
          </w:p>
        </w:tc>
        <w:tc>
          <w:tcPr>
            <w:tcW w:w="1069" w:type="dxa"/>
            <w:vMerge w:val="continue"/>
            <w:tcBorders>
              <w:top w:val="nil"/>
              <w:left w:val="single" w:color="auto" w:sz="4" w:space="0"/>
              <w:bottom w:val="single" w:color="auto" w:sz="4" w:space="0"/>
              <w:right w:val="single" w:color="auto" w:sz="4" w:space="0"/>
            </w:tcBorders>
            <w:vAlign w:val="center"/>
          </w:tcPr>
          <w:p w14:paraId="771EFDB8">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center"/>
          </w:tcPr>
          <w:p w14:paraId="0103F1BB">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隐蔽工程未经验收擅自或强行隐蔽</w:t>
            </w:r>
          </w:p>
        </w:tc>
        <w:tc>
          <w:tcPr>
            <w:tcW w:w="1985" w:type="dxa"/>
            <w:tcBorders>
              <w:top w:val="nil"/>
              <w:left w:val="nil"/>
              <w:bottom w:val="single" w:color="auto" w:sz="4" w:space="0"/>
              <w:right w:val="single" w:color="auto" w:sz="4" w:space="0"/>
            </w:tcBorders>
            <w:noWrap/>
            <w:vAlign w:val="bottom"/>
          </w:tcPr>
          <w:p w14:paraId="6470CFC6">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3000~5000元</w:t>
            </w:r>
          </w:p>
        </w:tc>
      </w:tr>
      <w:tr w14:paraId="1A9798B8">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28FC08BF">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23</w:t>
            </w:r>
          </w:p>
        </w:tc>
        <w:tc>
          <w:tcPr>
            <w:tcW w:w="1069" w:type="dxa"/>
            <w:vMerge w:val="continue"/>
            <w:tcBorders>
              <w:top w:val="nil"/>
              <w:left w:val="single" w:color="auto" w:sz="4" w:space="0"/>
              <w:bottom w:val="single" w:color="auto" w:sz="4" w:space="0"/>
              <w:right w:val="single" w:color="auto" w:sz="4" w:space="0"/>
            </w:tcBorders>
            <w:vAlign w:val="center"/>
          </w:tcPr>
          <w:p w14:paraId="28CAAF49">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center"/>
          </w:tcPr>
          <w:p w14:paraId="7CA63612">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质量过程日志、记录、签证不齐全、造假记录或靠事后补记录者</w:t>
            </w:r>
          </w:p>
        </w:tc>
        <w:tc>
          <w:tcPr>
            <w:tcW w:w="1985" w:type="dxa"/>
            <w:tcBorders>
              <w:top w:val="nil"/>
              <w:left w:val="nil"/>
              <w:bottom w:val="single" w:color="auto" w:sz="4" w:space="0"/>
              <w:right w:val="single" w:color="auto" w:sz="4" w:space="0"/>
            </w:tcBorders>
            <w:noWrap/>
            <w:vAlign w:val="bottom"/>
          </w:tcPr>
          <w:p w14:paraId="239286BC">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098B6649">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42FE78E9">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24</w:t>
            </w:r>
          </w:p>
        </w:tc>
        <w:tc>
          <w:tcPr>
            <w:tcW w:w="1069" w:type="dxa"/>
            <w:vMerge w:val="restart"/>
            <w:tcBorders>
              <w:top w:val="nil"/>
              <w:left w:val="single" w:color="auto" w:sz="4" w:space="0"/>
              <w:bottom w:val="single" w:color="auto" w:sz="4" w:space="0"/>
              <w:right w:val="single" w:color="auto" w:sz="4" w:space="0"/>
            </w:tcBorders>
            <w:vAlign w:val="center"/>
          </w:tcPr>
          <w:p w14:paraId="3F6A98A2">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现场质量管理</w:t>
            </w:r>
          </w:p>
        </w:tc>
        <w:tc>
          <w:tcPr>
            <w:tcW w:w="4459" w:type="dxa"/>
            <w:tcBorders>
              <w:top w:val="nil"/>
              <w:left w:val="nil"/>
              <w:bottom w:val="single" w:color="auto" w:sz="4" w:space="0"/>
              <w:right w:val="single" w:color="auto" w:sz="4" w:space="0"/>
            </w:tcBorders>
            <w:vAlign w:val="bottom"/>
          </w:tcPr>
          <w:p w14:paraId="579D0647">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监理单位组织的质量管理体系及现场实物质量检查提出问题，责任单位在规定期限内未完成</w:t>
            </w:r>
          </w:p>
        </w:tc>
        <w:tc>
          <w:tcPr>
            <w:tcW w:w="1985" w:type="dxa"/>
            <w:tcBorders>
              <w:top w:val="nil"/>
              <w:left w:val="nil"/>
              <w:bottom w:val="single" w:color="auto" w:sz="4" w:space="0"/>
              <w:right w:val="single" w:color="auto" w:sz="4" w:space="0"/>
            </w:tcBorders>
            <w:noWrap/>
            <w:vAlign w:val="bottom"/>
          </w:tcPr>
          <w:p w14:paraId="3296578D">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2A6C903F">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45F2C0BF">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25</w:t>
            </w:r>
          </w:p>
        </w:tc>
        <w:tc>
          <w:tcPr>
            <w:tcW w:w="1069" w:type="dxa"/>
            <w:vMerge w:val="continue"/>
            <w:tcBorders>
              <w:top w:val="nil"/>
              <w:left w:val="single" w:color="auto" w:sz="4" w:space="0"/>
              <w:bottom w:val="single" w:color="auto" w:sz="4" w:space="0"/>
              <w:right w:val="single" w:color="auto" w:sz="4" w:space="0"/>
            </w:tcBorders>
            <w:vAlign w:val="center"/>
          </w:tcPr>
          <w:p w14:paraId="230040D1">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643CAC74">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不按照规程、标准及作业指导书进行施工，造成质量缺陷的</w:t>
            </w:r>
          </w:p>
        </w:tc>
        <w:tc>
          <w:tcPr>
            <w:tcW w:w="1985" w:type="dxa"/>
            <w:tcBorders>
              <w:top w:val="nil"/>
              <w:left w:val="nil"/>
              <w:bottom w:val="single" w:color="auto" w:sz="4" w:space="0"/>
              <w:right w:val="single" w:color="auto" w:sz="4" w:space="0"/>
            </w:tcBorders>
            <w:noWrap/>
            <w:vAlign w:val="bottom"/>
          </w:tcPr>
          <w:p w14:paraId="75301BF1">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3230B9FF">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5E9AE885">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26</w:t>
            </w:r>
          </w:p>
        </w:tc>
        <w:tc>
          <w:tcPr>
            <w:tcW w:w="1069" w:type="dxa"/>
            <w:vMerge w:val="continue"/>
            <w:tcBorders>
              <w:top w:val="nil"/>
              <w:left w:val="single" w:color="auto" w:sz="4" w:space="0"/>
              <w:bottom w:val="single" w:color="auto" w:sz="4" w:space="0"/>
              <w:right w:val="single" w:color="auto" w:sz="4" w:space="0"/>
            </w:tcBorders>
            <w:vAlign w:val="center"/>
          </w:tcPr>
          <w:p w14:paraId="6E29646A">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28B0B4B0">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野蛮施工造成后果的</w:t>
            </w:r>
          </w:p>
        </w:tc>
        <w:tc>
          <w:tcPr>
            <w:tcW w:w="1985" w:type="dxa"/>
            <w:tcBorders>
              <w:top w:val="nil"/>
              <w:left w:val="nil"/>
              <w:bottom w:val="single" w:color="auto" w:sz="4" w:space="0"/>
              <w:right w:val="single" w:color="auto" w:sz="4" w:space="0"/>
            </w:tcBorders>
            <w:noWrap/>
            <w:vAlign w:val="bottom"/>
          </w:tcPr>
          <w:p w14:paraId="624B76A2">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098DC11A">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247CE846">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27</w:t>
            </w:r>
          </w:p>
        </w:tc>
        <w:tc>
          <w:tcPr>
            <w:tcW w:w="1069" w:type="dxa"/>
            <w:vMerge w:val="continue"/>
            <w:tcBorders>
              <w:top w:val="nil"/>
              <w:left w:val="single" w:color="auto" w:sz="4" w:space="0"/>
              <w:bottom w:val="single" w:color="auto" w:sz="4" w:space="0"/>
              <w:right w:val="single" w:color="auto" w:sz="4" w:space="0"/>
            </w:tcBorders>
            <w:vAlign w:val="center"/>
          </w:tcPr>
          <w:p w14:paraId="123EA654">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5902F789">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发生质量问题，隐瞒不报或未经监理单位许可，擅自掩盖或处理</w:t>
            </w:r>
          </w:p>
        </w:tc>
        <w:tc>
          <w:tcPr>
            <w:tcW w:w="1985" w:type="dxa"/>
            <w:tcBorders>
              <w:top w:val="nil"/>
              <w:left w:val="nil"/>
              <w:bottom w:val="single" w:color="auto" w:sz="4" w:space="0"/>
              <w:right w:val="single" w:color="auto" w:sz="4" w:space="0"/>
            </w:tcBorders>
            <w:noWrap/>
            <w:vAlign w:val="bottom"/>
          </w:tcPr>
          <w:p w14:paraId="5B13FD87">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57DE990C">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64D67E56">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28</w:t>
            </w:r>
          </w:p>
        </w:tc>
        <w:tc>
          <w:tcPr>
            <w:tcW w:w="1069" w:type="dxa"/>
            <w:vMerge w:val="continue"/>
            <w:tcBorders>
              <w:top w:val="nil"/>
              <w:left w:val="single" w:color="auto" w:sz="4" w:space="0"/>
              <w:bottom w:val="single" w:color="auto" w:sz="4" w:space="0"/>
              <w:right w:val="single" w:color="auto" w:sz="4" w:space="0"/>
            </w:tcBorders>
            <w:vAlign w:val="center"/>
          </w:tcPr>
          <w:p w14:paraId="6EA1F645">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5696A2E5">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对重复出现类似质量问题，没有得到有效改进</w:t>
            </w:r>
          </w:p>
        </w:tc>
        <w:tc>
          <w:tcPr>
            <w:tcW w:w="1985" w:type="dxa"/>
            <w:tcBorders>
              <w:top w:val="nil"/>
              <w:left w:val="nil"/>
              <w:bottom w:val="single" w:color="auto" w:sz="4" w:space="0"/>
              <w:right w:val="single" w:color="auto" w:sz="4" w:space="0"/>
            </w:tcBorders>
            <w:noWrap/>
            <w:vAlign w:val="bottom"/>
          </w:tcPr>
          <w:p w14:paraId="2DF7D771">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3000~5000元</w:t>
            </w:r>
          </w:p>
        </w:tc>
      </w:tr>
      <w:tr w14:paraId="55B08D62">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3D90332F">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29</w:t>
            </w:r>
          </w:p>
        </w:tc>
        <w:tc>
          <w:tcPr>
            <w:tcW w:w="1069" w:type="dxa"/>
            <w:vMerge w:val="continue"/>
            <w:tcBorders>
              <w:top w:val="nil"/>
              <w:left w:val="single" w:color="auto" w:sz="4" w:space="0"/>
              <w:bottom w:val="single" w:color="auto" w:sz="4" w:space="0"/>
              <w:right w:val="single" w:color="auto" w:sz="4" w:space="0"/>
            </w:tcBorders>
            <w:vAlign w:val="center"/>
          </w:tcPr>
          <w:p w14:paraId="7EC3C181">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780C168E">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在施工过程中不服从工程部业主代表、监理工程师的正确指导，态度恶劣的</w:t>
            </w:r>
          </w:p>
        </w:tc>
        <w:tc>
          <w:tcPr>
            <w:tcW w:w="1985" w:type="dxa"/>
            <w:tcBorders>
              <w:top w:val="nil"/>
              <w:left w:val="nil"/>
              <w:bottom w:val="single" w:color="auto" w:sz="4" w:space="0"/>
              <w:right w:val="single" w:color="auto" w:sz="4" w:space="0"/>
            </w:tcBorders>
            <w:noWrap/>
            <w:vAlign w:val="bottom"/>
          </w:tcPr>
          <w:p w14:paraId="1A9B230B">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1C323FD1">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21DF0D17">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w:t>
            </w:r>
          </w:p>
        </w:tc>
        <w:tc>
          <w:tcPr>
            <w:tcW w:w="1069" w:type="dxa"/>
            <w:vMerge w:val="restart"/>
            <w:tcBorders>
              <w:top w:val="nil"/>
              <w:left w:val="single" w:color="auto" w:sz="4" w:space="0"/>
              <w:bottom w:val="single" w:color="000000" w:sz="4" w:space="0"/>
              <w:right w:val="single" w:color="auto" w:sz="4" w:space="0"/>
            </w:tcBorders>
            <w:vAlign w:val="center"/>
          </w:tcPr>
          <w:p w14:paraId="1A2AF06F">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成品保护</w:t>
            </w:r>
          </w:p>
        </w:tc>
        <w:tc>
          <w:tcPr>
            <w:tcW w:w="4459" w:type="dxa"/>
            <w:tcBorders>
              <w:top w:val="nil"/>
              <w:left w:val="nil"/>
              <w:bottom w:val="single" w:color="auto" w:sz="4" w:space="0"/>
              <w:right w:val="single" w:color="auto" w:sz="4" w:space="0"/>
            </w:tcBorders>
            <w:vAlign w:val="bottom"/>
          </w:tcPr>
          <w:p w14:paraId="4AC99137">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对野蛮施工，造成破坏的</w:t>
            </w:r>
          </w:p>
        </w:tc>
        <w:tc>
          <w:tcPr>
            <w:tcW w:w="1985" w:type="dxa"/>
            <w:tcBorders>
              <w:top w:val="nil"/>
              <w:left w:val="nil"/>
              <w:bottom w:val="single" w:color="auto" w:sz="4" w:space="0"/>
              <w:right w:val="single" w:color="auto" w:sz="4" w:space="0"/>
            </w:tcBorders>
            <w:noWrap/>
            <w:vAlign w:val="bottom"/>
          </w:tcPr>
          <w:p w14:paraId="5DE6B65C">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3000~10000元</w:t>
            </w:r>
          </w:p>
        </w:tc>
      </w:tr>
      <w:tr w14:paraId="62FAF9E3">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27541BCC">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31</w:t>
            </w:r>
          </w:p>
        </w:tc>
        <w:tc>
          <w:tcPr>
            <w:tcW w:w="1069" w:type="dxa"/>
            <w:vMerge w:val="continue"/>
            <w:tcBorders>
              <w:top w:val="nil"/>
              <w:left w:val="single" w:color="auto" w:sz="4" w:space="0"/>
              <w:bottom w:val="single" w:color="000000" w:sz="4" w:space="0"/>
              <w:right w:val="single" w:color="auto" w:sz="4" w:space="0"/>
            </w:tcBorders>
            <w:vAlign w:val="center"/>
          </w:tcPr>
          <w:p w14:paraId="549D1E5A">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660243AE">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未落实成品保护交底、交接手续、设置警告、警示标识、围挡的</w:t>
            </w:r>
          </w:p>
        </w:tc>
        <w:tc>
          <w:tcPr>
            <w:tcW w:w="1985" w:type="dxa"/>
            <w:tcBorders>
              <w:top w:val="nil"/>
              <w:left w:val="nil"/>
              <w:bottom w:val="single" w:color="auto" w:sz="4" w:space="0"/>
              <w:right w:val="single" w:color="auto" w:sz="4" w:space="0"/>
            </w:tcBorders>
            <w:noWrap/>
            <w:vAlign w:val="bottom"/>
          </w:tcPr>
          <w:p w14:paraId="66DF1500">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72CA5610">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5624D7C2">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32</w:t>
            </w:r>
          </w:p>
        </w:tc>
        <w:tc>
          <w:tcPr>
            <w:tcW w:w="1069" w:type="dxa"/>
            <w:vMerge w:val="continue"/>
            <w:tcBorders>
              <w:top w:val="nil"/>
              <w:left w:val="single" w:color="auto" w:sz="4" w:space="0"/>
              <w:bottom w:val="single" w:color="000000" w:sz="4" w:space="0"/>
              <w:right w:val="single" w:color="auto" w:sz="4" w:space="0"/>
            </w:tcBorders>
            <w:vAlign w:val="center"/>
          </w:tcPr>
          <w:p w14:paraId="14953154">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337024AD">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成品保护措施不力，造成成品损毁、破坏的，应赔偿损失并处责任单位违约金3000~10000元；</w:t>
            </w:r>
          </w:p>
        </w:tc>
        <w:tc>
          <w:tcPr>
            <w:tcW w:w="1985" w:type="dxa"/>
            <w:tcBorders>
              <w:top w:val="nil"/>
              <w:left w:val="nil"/>
              <w:bottom w:val="single" w:color="auto" w:sz="4" w:space="0"/>
              <w:right w:val="single" w:color="auto" w:sz="4" w:space="0"/>
            </w:tcBorders>
            <w:noWrap/>
            <w:vAlign w:val="bottom"/>
          </w:tcPr>
          <w:p w14:paraId="0CD5D8EE">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3000~10000元</w:t>
            </w:r>
          </w:p>
        </w:tc>
      </w:tr>
      <w:tr w14:paraId="28B19B0D">
        <w:tblPrEx>
          <w:tblCellMar>
            <w:top w:w="0" w:type="dxa"/>
            <w:left w:w="108" w:type="dxa"/>
            <w:bottom w:w="0" w:type="dxa"/>
            <w:right w:w="108" w:type="dxa"/>
          </w:tblCellMar>
        </w:tblPrEx>
        <w:trPr>
          <w:trHeight w:val="828" w:hRule="atLeast"/>
        </w:trPr>
        <w:tc>
          <w:tcPr>
            <w:tcW w:w="851" w:type="dxa"/>
            <w:tcBorders>
              <w:top w:val="nil"/>
              <w:left w:val="single" w:color="auto" w:sz="4" w:space="0"/>
              <w:bottom w:val="single" w:color="auto" w:sz="4" w:space="0"/>
              <w:right w:val="single" w:color="auto" w:sz="4" w:space="0"/>
            </w:tcBorders>
            <w:noWrap/>
            <w:vAlign w:val="center"/>
          </w:tcPr>
          <w:p w14:paraId="276A0447">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33</w:t>
            </w:r>
          </w:p>
        </w:tc>
        <w:tc>
          <w:tcPr>
            <w:tcW w:w="1069" w:type="dxa"/>
            <w:vMerge w:val="continue"/>
            <w:tcBorders>
              <w:top w:val="nil"/>
              <w:left w:val="single" w:color="auto" w:sz="4" w:space="0"/>
              <w:bottom w:val="single" w:color="000000" w:sz="4" w:space="0"/>
              <w:right w:val="single" w:color="auto" w:sz="4" w:space="0"/>
            </w:tcBorders>
            <w:vAlign w:val="center"/>
          </w:tcPr>
          <w:p w14:paraId="4FE0BEA4">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7EB4B8AD">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完工交接前，未尽到检查责任，发生成品损毁、破坏的，由原施工单位负责修复，处责任单位违约金3000~10000元。</w:t>
            </w:r>
          </w:p>
        </w:tc>
        <w:tc>
          <w:tcPr>
            <w:tcW w:w="1985" w:type="dxa"/>
            <w:tcBorders>
              <w:top w:val="nil"/>
              <w:left w:val="nil"/>
              <w:bottom w:val="single" w:color="auto" w:sz="4" w:space="0"/>
              <w:right w:val="single" w:color="auto" w:sz="4" w:space="0"/>
            </w:tcBorders>
            <w:noWrap/>
            <w:vAlign w:val="bottom"/>
          </w:tcPr>
          <w:p w14:paraId="2D96CCA9">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3000~10000元</w:t>
            </w:r>
          </w:p>
        </w:tc>
      </w:tr>
    </w:tbl>
    <w:p w14:paraId="5E385BA2">
      <w:pPr>
        <w:rPr>
          <w:color w:val="auto"/>
          <w:highlight w:val="none"/>
        </w:rPr>
      </w:pPr>
    </w:p>
    <w:p w14:paraId="3422017D">
      <w:pPr>
        <w:rPr>
          <w:color w:val="auto"/>
          <w:highlight w:val="none"/>
        </w:rPr>
      </w:pPr>
    </w:p>
    <w:p w14:paraId="1BBBD656">
      <w:pPr>
        <w:rPr>
          <w:color w:val="auto"/>
          <w:highlight w:val="none"/>
        </w:rPr>
      </w:pPr>
    </w:p>
    <w:p w14:paraId="47FFC1EC">
      <w:pPr>
        <w:rPr>
          <w:color w:val="auto"/>
          <w:highlight w:val="none"/>
        </w:rPr>
      </w:pPr>
    </w:p>
    <w:p w14:paraId="7ADB1E6C">
      <w:pPr>
        <w:rPr>
          <w:color w:val="auto"/>
          <w:highlight w:val="none"/>
        </w:rPr>
      </w:pPr>
    </w:p>
    <w:p w14:paraId="6C764BDF">
      <w:pPr>
        <w:rPr>
          <w:color w:val="auto"/>
          <w:highlight w:val="none"/>
        </w:rPr>
      </w:pPr>
    </w:p>
    <w:p w14:paraId="277C0B02">
      <w:pPr>
        <w:rPr>
          <w:color w:val="auto"/>
          <w:highlight w:val="none"/>
        </w:rPr>
      </w:pPr>
    </w:p>
    <w:p w14:paraId="67C9BEB0">
      <w:pPr>
        <w:rPr>
          <w:color w:val="auto"/>
          <w:highlight w:val="none"/>
        </w:rPr>
      </w:pPr>
    </w:p>
    <w:p w14:paraId="4C29D146">
      <w:pPr>
        <w:rPr>
          <w:color w:val="auto"/>
          <w:highlight w:val="none"/>
        </w:rPr>
      </w:pPr>
    </w:p>
    <w:p w14:paraId="4332F738">
      <w:pPr>
        <w:rPr>
          <w:color w:val="auto"/>
          <w:highlight w:val="none"/>
        </w:rPr>
      </w:pPr>
    </w:p>
    <w:p w14:paraId="15349CF9">
      <w:pPr>
        <w:rPr>
          <w:color w:val="auto"/>
          <w:highlight w:val="none"/>
        </w:rPr>
      </w:pPr>
    </w:p>
    <w:p w14:paraId="1BB7882B">
      <w:pPr>
        <w:rPr>
          <w:color w:val="auto"/>
          <w:highlight w:val="none"/>
        </w:rPr>
      </w:pPr>
    </w:p>
    <w:p w14:paraId="6742F91C">
      <w:pPr>
        <w:rPr>
          <w:color w:val="auto"/>
          <w:highlight w:val="none"/>
        </w:rPr>
      </w:pPr>
    </w:p>
    <w:p w14:paraId="5A2CBBED">
      <w:pPr>
        <w:rPr>
          <w:color w:val="auto"/>
          <w:highlight w:val="none"/>
        </w:rPr>
      </w:pPr>
    </w:p>
    <w:p w14:paraId="594670DB">
      <w:pPr>
        <w:rPr>
          <w:color w:val="auto"/>
          <w:highlight w:val="none"/>
        </w:rPr>
      </w:pPr>
    </w:p>
    <w:p w14:paraId="025E4040">
      <w:pPr>
        <w:rPr>
          <w:color w:val="auto"/>
          <w:highlight w:val="none"/>
        </w:rPr>
      </w:pPr>
    </w:p>
    <w:p w14:paraId="007D6B18">
      <w:pPr>
        <w:rPr>
          <w:color w:val="auto"/>
          <w:highlight w:val="none"/>
        </w:rPr>
      </w:pPr>
    </w:p>
    <w:p w14:paraId="32C9E66F">
      <w:pPr>
        <w:rPr>
          <w:color w:val="auto"/>
          <w:highlight w:val="none"/>
        </w:rPr>
      </w:pPr>
    </w:p>
    <w:p w14:paraId="6586F5C0">
      <w:pPr>
        <w:rPr>
          <w:color w:val="auto"/>
          <w:highlight w:val="none"/>
        </w:rPr>
      </w:pPr>
    </w:p>
    <w:p w14:paraId="009742E7">
      <w:pPr>
        <w:rPr>
          <w:color w:val="auto"/>
          <w:highlight w:val="none"/>
        </w:rPr>
      </w:pPr>
    </w:p>
    <w:p w14:paraId="03CFE310">
      <w:pPr>
        <w:jc w:val="left"/>
        <w:rPr>
          <w:color w:val="auto"/>
          <w:sz w:val="28"/>
          <w:szCs w:val="28"/>
          <w:highlight w:val="none"/>
        </w:rPr>
      </w:pPr>
      <w:r>
        <w:rPr>
          <w:color w:val="auto"/>
          <w:highlight w:val="none"/>
        </w:rPr>
        <w:br w:type="page"/>
      </w:r>
      <w:r>
        <w:rPr>
          <w:rFonts w:hint="eastAsia"/>
          <w:color w:val="auto"/>
          <w:highlight w:val="none"/>
        </w:rPr>
        <w:t>附表2</w:t>
      </w:r>
    </w:p>
    <w:p w14:paraId="617C77B0">
      <w:pPr>
        <w:jc w:val="center"/>
        <w:rPr>
          <w:rFonts w:ascii="黑体" w:hAnsi="黑体" w:eastAsia="黑体"/>
          <w:color w:val="auto"/>
          <w:sz w:val="32"/>
          <w:szCs w:val="32"/>
          <w:highlight w:val="none"/>
        </w:rPr>
      </w:pPr>
      <w:r>
        <w:rPr>
          <w:rFonts w:hint="eastAsia" w:ascii="黑体" w:hAnsi="黑体" w:eastAsia="黑体"/>
          <w:color w:val="auto"/>
          <w:sz w:val="32"/>
          <w:szCs w:val="32"/>
          <w:highlight w:val="none"/>
        </w:rPr>
        <w:t>质量违约函</w:t>
      </w:r>
    </w:p>
    <w:p w14:paraId="6F765BC0">
      <w:pPr>
        <w:jc w:val="left"/>
        <w:rPr>
          <w:color w:val="auto"/>
          <w:sz w:val="28"/>
          <w:szCs w:val="28"/>
          <w:highlight w:val="none"/>
        </w:rPr>
      </w:pPr>
      <w:r>
        <w:rPr>
          <w:rFonts w:hint="eastAsia"/>
          <w:color w:val="auto"/>
          <w:sz w:val="28"/>
          <w:szCs w:val="28"/>
          <w:highlight w:val="none"/>
          <w:u w:val="single"/>
        </w:rPr>
        <w:t>XXXX公司</w:t>
      </w:r>
      <w:r>
        <w:rPr>
          <w:rFonts w:hint="eastAsia"/>
          <w:color w:val="auto"/>
          <w:sz w:val="28"/>
          <w:szCs w:val="28"/>
          <w:highlight w:val="none"/>
        </w:rPr>
        <w:t>：</w:t>
      </w:r>
    </w:p>
    <w:p w14:paraId="790DABCE">
      <w:pPr>
        <w:ind w:firstLine="560" w:firstLineChars="200"/>
        <w:jc w:val="left"/>
        <w:rPr>
          <w:color w:val="auto"/>
          <w:sz w:val="28"/>
          <w:szCs w:val="28"/>
          <w:highlight w:val="none"/>
        </w:rPr>
      </w:pPr>
      <w:r>
        <w:rPr>
          <w:rFonts w:hint="eastAsia"/>
          <w:color w:val="auto"/>
          <w:sz w:val="28"/>
          <w:szCs w:val="28"/>
          <w:highlight w:val="none"/>
        </w:rPr>
        <w:t>你单位人员在我公司XX年X月施工中存在如下违反质量管理规定的行为，按照双方施工承包合同和协议，相关处理如下：</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89"/>
        <w:gridCol w:w="3402"/>
        <w:gridCol w:w="2205"/>
      </w:tblGrid>
      <w:tr w14:paraId="6C593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vAlign w:val="center"/>
          </w:tcPr>
          <w:p w14:paraId="2FE9DF25">
            <w:pPr>
              <w:widowControl/>
              <w:jc w:val="center"/>
              <w:rPr>
                <w:rFonts w:ascii="等线" w:hAnsi="等线" w:eastAsia="等线"/>
                <w:color w:val="auto"/>
                <w:sz w:val="28"/>
                <w:szCs w:val="28"/>
                <w:highlight w:val="none"/>
              </w:rPr>
            </w:pPr>
            <w:r>
              <w:rPr>
                <w:rFonts w:hint="eastAsia" w:ascii="等线" w:hAnsi="等线" w:eastAsia="等线"/>
                <w:color w:val="auto"/>
                <w:sz w:val="28"/>
                <w:szCs w:val="28"/>
                <w:highlight w:val="none"/>
              </w:rPr>
              <w:t>事件经过</w:t>
            </w:r>
          </w:p>
        </w:tc>
        <w:tc>
          <w:tcPr>
            <w:tcW w:w="3402" w:type="dxa"/>
            <w:vAlign w:val="center"/>
          </w:tcPr>
          <w:p w14:paraId="3CD0BBDB">
            <w:pPr>
              <w:jc w:val="center"/>
              <w:rPr>
                <w:rFonts w:ascii="等线" w:hAnsi="等线" w:eastAsia="等线"/>
                <w:color w:val="auto"/>
                <w:sz w:val="28"/>
                <w:szCs w:val="28"/>
                <w:highlight w:val="none"/>
              </w:rPr>
            </w:pPr>
            <w:r>
              <w:rPr>
                <w:rFonts w:hint="eastAsia" w:ascii="等线" w:hAnsi="等线" w:eastAsia="等线"/>
                <w:color w:val="auto"/>
                <w:sz w:val="28"/>
                <w:szCs w:val="28"/>
                <w:highlight w:val="none"/>
              </w:rPr>
              <w:t>照 片</w:t>
            </w:r>
          </w:p>
        </w:tc>
        <w:tc>
          <w:tcPr>
            <w:tcW w:w="2205" w:type="dxa"/>
            <w:vAlign w:val="center"/>
          </w:tcPr>
          <w:p w14:paraId="59566BCA">
            <w:pPr>
              <w:jc w:val="center"/>
              <w:rPr>
                <w:rFonts w:ascii="等线" w:hAnsi="等线" w:eastAsia="等线"/>
                <w:color w:val="auto"/>
                <w:sz w:val="28"/>
                <w:szCs w:val="28"/>
                <w:highlight w:val="none"/>
              </w:rPr>
            </w:pPr>
            <w:r>
              <w:rPr>
                <w:rFonts w:hint="eastAsia" w:ascii="等线" w:hAnsi="等线" w:eastAsia="等线"/>
                <w:color w:val="auto"/>
                <w:sz w:val="28"/>
                <w:szCs w:val="28"/>
                <w:highlight w:val="none"/>
              </w:rPr>
              <w:t>处理决定</w:t>
            </w:r>
          </w:p>
        </w:tc>
      </w:tr>
      <w:tr w14:paraId="68DBE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9" w:hRule="atLeast"/>
        </w:trPr>
        <w:tc>
          <w:tcPr>
            <w:tcW w:w="2689" w:type="dxa"/>
          </w:tcPr>
          <w:p w14:paraId="5A8583B3">
            <w:pPr>
              <w:jc w:val="left"/>
              <w:rPr>
                <w:rFonts w:ascii="等线" w:hAnsi="等线" w:eastAsia="等线"/>
                <w:color w:val="auto"/>
                <w:highlight w:val="none"/>
              </w:rPr>
            </w:pPr>
          </w:p>
        </w:tc>
        <w:tc>
          <w:tcPr>
            <w:tcW w:w="3402" w:type="dxa"/>
          </w:tcPr>
          <w:p w14:paraId="03F01A1B">
            <w:pPr>
              <w:jc w:val="left"/>
              <w:rPr>
                <w:rFonts w:ascii="等线" w:hAnsi="等线" w:eastAsia="等线"/>
                <w:color w:val="auto"/>
                <w:highlight w:val="none"/>
              </w:rPr>
            </w:pPr>
          </w:p>
        </w:tc>
        <w:tc>
          <w:tcPr>
            <w:tcW w:w="2205" w:type="dxa"/>
          </w:tcPr>
          <w:p w14:paraId="31621FF8">
            <w:pPr>
              <w:jc w:val="left"/>
              <w:rPr>
                <w:rFonts w:ascii="等线" w:hAnsi="等线" w:eastAsia="等线"/>
                <w:color w:val="auto"/>
                <w:highlight w:val="none"/>
              </w:rPr>
            </w:pPr>
          </w:p>
        </w:tc>
      </w:tr>
    </w:tbl>
    <w:p w14:paraId="4508CFA8">
      <w:pPr>
        <w:rPr>
          <w:vanish/>
          <w:color w:val="auto"/>
          <w:highlight w:val="none"/>
        </w:rPr>
      </w:pPr>
    </w:p>
    <w:tbl>
      <w:tblPr>
        <w:tblStyle w:val="20"/>
        <w:tblW w:w="0" w:type="auto"/>
        <w:tblInd w:w="108" w:type="dxa"/>
        <w:tblLayout w:type="fixed"/>
        <w:tblCellMar>
          <w:top w:w="0" w:type="dxa"/>
          <w:left w:w="108" w:type="dxa"/>
          <w:bottom w:w="0" w:type="dxa"/>
          <w:right w:w="108" w:type="dxa"/>
        </w:tblCellMar>
      </w:tblPr>
      <w:tblGrid>
        <w:gridCol w:w="8700"/>
      </w:tblGrid>
      <w:tr w14:paraId="0768AA46">
        <w:tblPrEx>
          <w:tblCellMar>
            <w:top w:w="0" w:type="dxa"/>
            <w:left w:w="108" w:type="dxa"/>
            <w:bottom w:w="0" w:type="dxa"/>
            <w:right w:w="108" w:type="dxa"/>
          </w:tblCellMar>
        </w:tblPrEx>
        <w:trPr>
          <w:trHeight w:val="348" w:hRule="atLeast"/>
        </w:trPr>
        <w:tc>
          <w:tcPr>
            <w:tcW w:w="8700" w:type="dxa"/>
            <w:tcBorders>
              <w:top w:val="nil"/>
              <w:left w:val="nil"/>
              <w:bottom w:val="nil"/>
              <w:right w:val="nil"/>
            </w:tcBorders>
            <w:vAlign w:val="bottom"/>
          </w:tcPr>
          <w:p w14:paraId="7358FE76">
            <w:pPr>
              <w:widowControl/>
              <w:ind w:firstLine="560" w:firstLineChars="200"/>
              <w:jc w:val="left"/>
              <w:rPr>
                <w:rFonts w:ascii="等线" w:hAnsi="等线" w:eastAsia="等线" w:cs="宋体"/>
                <w:color w:val="auto"/>
                <w:kern w:val="0"/>
                <w:sz w:val="28"/>
                <w:szCs w:val="28"/>
                <w:highlight w:val="none"/>
              </w:rPr>
            </w:pPr>
            <w:r>
              <w:rPr>
                <w:rFonts w:hint="eastAsia" w:ascii="等线" w:hAnsi="等线" w:eastAsia="等线" w:cs="宋体"/>
                <w:color w:val="auto"/>
                <w:kern w:val="0"/>
                <w:sz w:val="28"/>
                <w:szCs w:val="28"/>
                <w:highlight w:val="none"/>
              </w:rPr>
              <w:t>如存在异议，请你方在接到通报后5个工作日内将书面意见反馈到项目办，过期视为同意。</w:t>
            </w:r>
          </w:p>
        </w:tc>
      </w:tr>
      <w:tr w14:paraId="29010837">
        <w:tblPrEx>
          <w:tblCellMar>
            <w:top w:w="0" w:type="dxa"/>
            <w:left w:w="108" w:type="dxa"/>
            <w:bottom w:w="0" w:type="dxa"/>
            <w:right w:w="108" w:type="dxa"/>
          </w:tblCellMar>
        </w:tblPrEx>
        <w:trPr>
          <w:trHeight w:val="348" w:hRule="atLeast"/>
        </w:trPr>
        <w:tc>
          <w:tcPr>
            <w:tcW w:w="8700" w:type="dxa"/>
            <w:tcBorders>
              <w:top w:val="nil"/>
              <w:left w:val="nil"/>
              <w:bottom w:val="nil"/>
              <w:right w:val="nil"/>
            </w:tcBorders>
            <w:noWrap/>
            <w:vAlign w:val="bottom"/>
          </w:tcPr>
          <w:p w14:paraId="775660B7">
            <w:pPr>
              <w:widowControl/>
              <w:jc w:val="left"/>
              <w:rPr>
                <w:rFonts w:ascii="等线" w:hAnsi="等线" w:eastAsia="等线" w:cs="宋体"/>
                <w:color w:val="auto"/>
                <w:kern w:val="0"/>
                <w:sz w:val="28"/>
                <w:szCs w:val="28"/>
                <w:highlight w:val="none"/>
              </w:rPr>
            </w:pPr>
            <w:r>
              <w:rPr>
                <w:rFonts w:hint="eastAsia" w:ascii="等线" w:hAnsi="等线" w:eastAsia="等线" w:cs="宋体"/>
                <w:color w:val="auto"/>
                <w:kern w:val="0"/>
                <w:sz w:val="28"/>
                <w:szCs w:val="28"/>
                <w:highlight w:val="none"/>
              </w:rPr>
              <w:t>特此函告</w:t>
            </w:r>
          </w:p>
        </w:tc>
      </w:tr>
      <w:tr w14:paraId="19E2DB9C">
        <w:tblPrEx>
          <w:tblCellMar>
            <w:top w:w="0" w:type="dxa"/>
            <w:left w:w="108" w:type="dxa"/>
            <w:bottom w:w="0" w:type="dxa"/>
            <w:right w:w="108" w:type="dxa"/>
          </w:tblCellMar>
        </w:tblPrEx>
        <w:trPr>
          <w:trHeight w:val="348" w:hRule="atLeast"/>
        </w:trPr>
        <w:tc>
          <w:tcPr>
            <w:tcW w:w="8700" w:type="dxa"/>
            <w:tcBorders>
              <w:top w:val="nil"/>
              <w:left w:val="nil"/>
              <w:bottom w:val="nil"/>
              <w:right w:val="nil"/>
            </w:tcBorders>
            <w:noWrap/>
            <w:vAlign w:val="bottom"/>
          </w:tcPr>
          <w:p w14:paraId="60ACD5EB">
            <w:pPr>
              <w:widowControl/>
              <w:jc w:val="right"/>
              <w:rPr>
                <w:rFonts w:ascii="等线" w:hAnsi="等线" w:eastAsia="等线" w:cs="宋体"/>
                <w:color w:val="auto"/>
                <w:kern w:val="0"/>
                <w:sz w:val="28"/>
                <w:szCs w:val="28"/>
                <w:highlight w:val="none"/>
              </w:rPr>
            </w:pPr>
            <w:r>
              <w:rPr>
                <w:rFonts w:hint="eastAsia" w:ascii="等线" w:hAnsi="等线" w:eastAsia="等线" w:cs="宋体"/>
                <w:color w:val="auto"/>
                <w:kern w:val="0"/>
                <w:sz w:val="28"/>
                <w:szCs w:val="28"/>
                <w:highlight w:val="none"/>
              </w:rPr>
              <w:t>项目办</w:t>
            </w:r>
          </w:p>
        </w:tc>
      </w:tr>
      <w:tr w14:paraId="77CE51C5">
        <w:tblPrEx>
          <w:tblCellMar>
            <w:top w:w="0" w:type="dxa"/>
            <w:left w:w="108" w:type="dxa"/>
            <w:bottom w:w="0" w:type="dxa"/>
            <w:right w:w="108" w:type="dxa"/>
          </w:tblCellMar>
        </w:tblPrEx>
        <w:trPr>
          <w:trHeight w:val="348" w:hRule="atLeast"/>
        </w:trPr>
        <w:tc>
          <w:tcPr>
            <w:tcW w:w="8700" w:type="dxa"/>
            <w:tcBorders>
              <w:top w:val="nil"/>
              <w:left w:val="nil"/>
              <w:bottom w:val="nil"/>
              <w:right w:val="nil"/>
            </w:tcBorders>
            <w:noWrap/>
            <w:vAlign w:val="bottom"/>
          </w:tcPr>
          <w:p w14:paraId="1EC1AE66">
            <w:pPr>
              <w:widowControl/>
              <w:jc w:val="right"/>
              <w:rPr>
                <w:rFonts w:ascii="等线" w:hAnsi="等线" w:eastAsia="等线" w:cs="宋体"/>
                <w:color w:val="auto"/>
                <w:kern w:val="0"/>
                <w:sz w:val="28"/>
                <w:szCs w:val="28"/>
                <w:highlight w:val="none"/>
              </w:rPr>
            </w:pPr>
            <w:r>
              <w:rPr>
                <w:rFonts w:hint="eastAsia" w:ascii="等线" w:hAnsi="等线" w:eastAsia="等线" w:cs="宋体"/>
                <w:color w:val="auto"/>
                <w:kern w:val="0"/>
                <w:sz w:val="28"/>
                <w:szCs w:val="28"/>
                <w:highlight w:val="none"/>
              </w:rPr>
              <w:t>年  月  日</w:t>
            </w:r>
          </w:p>
        </w:tc>
      </w:tr>
    </w:tbl>
    <w:p w14:paraId="79DEC8A2">
      <w:pPr>
        <w:ind w:firstLine="420" w:firstLineChars="200"/>
        <w:jc w:val="left"/>
        <w:rPr>
          <w:color w:val="auto"/>
          <w:highlight w:val="none"/>
        </w:rPr>
      </w:pPr>
    </w:p>
    <w:p w14:paraId="161608D1">
      <w:pPr>
        <w:spacing w:line="360" w:lineRule="auto"/>
        <w:rPr>
          <w:rFonts w:eastAsia="仿宋_GB2312"/>
          <w:color w:val="auto"/>
          <w:sz w:val="30"/>
          <w:szCs w:val="30"/>
          <w:highlight w:val="none"/>
        </w:rPr>
      </w:pPr>
      <w:r>
        <w:rPr>
          <w:rFonts w:eastAsia="仿宋_GB2312"/>
          <w:color w:val="auto"/>
          <w:sz w:val="30"/>
          <w:szCs w:val="30"/>
          <w:highlight w:val="none"/>
        </w:rPr>
        <w:br w:type="page"/>
      </w:r>
      <w:r>
        <w:rPr>
          <w:rFonts w:eastAsia="仿宋_GB2312"/>
          <w:color w:val="auto"/>
          <w:sz w:val="30"/>
          <w:szCs w:val="30"/>
          <w:highlight w:val="none"/>
        </w:rPr>
        <w:t>附件6：</w:t>
      </w:r>
    </w:p>
    <w:p w14:paraId="6FD048C6">
      <w:pPr>
        <w:spacing w:line="360" w:lineRule="auto"/>
        <w:jc w:val="center"/>
        <w:rPr>
          <w:b/>
          <w:color w:val="auto"/>
          <w:sz w:val="32"/>
          <w:szCs w:val="32"/>
          <w:highlight w:val="none"/>
        </w:rPr>
      </w:pPr>
      <w:r>
        <w:rPr>
          <w:rFonts w:hint="eastAsia"/>
          <w:b/>
          <w:color w:val="auto"/>
          <w:sz w:val="32"/>
          <w:szCs w:val="32"/>
          <w:highlight w:val="none"/>
        </w:rPr>
        <w:t>工程项目设计变更管理办法</w:t>
      </w:r>
    </w:p>
    <w:p w14:paraId="6510A935">
      <w:pPr>
        <w:pStyle w:val="70"/>
        <w:numPr>
          <w:ilvl w:val="0"/>
          <w:numId w:val="10"/>
        </w:numPr>
        <w:spacing w:before="312" w:after="312"/>
        <w:jc w:val="left"/>
        <w:rPr>
          <w:color w:val="auto"/>
          <w:highlight w:val="none"/>
        </w:rPr>
      </w:pPr>
      <w:bookmarkStart w:id="538" w:name="_Toc180489608"/>
      <w:bookmarkStart w:id="539" w:name="_Toc29571"/>
      <w:bookmarkStart w:id="540" w:name="_Toc18402_WPSOffice_Level1"/>
      <w:bookmarkStart w:id="541" w:name="_Toc325035189"/>
      <w:bookmarkStart w:id="542" w:name="_Toc15868"/>
      <w:bookmarkStart w:id="543" w:name="_Toc3613_WPSOffice_Level1"/>
      <w:bookmarkStart w:id="544" w:name="_Toc21640_WPSOffice_Level1"/>
      <w:bookmarkStart w:id="545" w:name="_Toc325380253"/>
      <w:bookmarkStart w:id="546" w:name="_Toc327262748"/>
      <w:bookmarkStart w:id="547" w:name="_Toc13459"/>
      <w:bookmarkStart w:id="548" w:name="_Toc22219_WPSOffice_Level1"/>
      <w:bookmarkStart w:id="549" w:name="_Toc325380244"/>
      <w:bookmarkStart w:id="550" w:name="_Toc19649_WPSOffice_Level1"/>
      <w:bookmarkStart w:id="551" w:name="_Toc325035050"/>
      <w:r>
        <w:rPr>
          <w:rFonts w:hint="eastAsia"/>
          <w:color w:val="auto"/>
          <w:highlight w:val="none"/>
        </w:rPr>
        <w:t>目的</w:t>
      </w:r>
      <w:bookmarkEnd w:id="538"/>
    </w:p>
    <w:p w14:paraId="746DCF99">
      <w:pPr>
        <w:pStyle w:val="67"/>
        <w:spacing w:before="109" w:beforeLines="35" w:after="109" w:afterLines="35"/>
        <w:rPr>
          <w:color w:val="auto"/>
          <w:highlight w:val="none"/>
        </w:rPr>
      </w:pPr>
      <w:r>
        <w:rPr>
          <w:rFonts w:hint="eastAsia"/>
          <w:color w:val="auto"/>
          <w:highlight w:val="none"/>
        </w:rPr>
        <w:t>为规范重庆国际复合材料股份有限公司（以下简称“国际复材”“公司”）</w:t>
      </w:r>
      <w:r>
        <w:rPr>
          <w:rFonts w:hint="eastAsia" w:hAnsi="宋体"/>
          <w:color w:val="auto"/>
          <w:highlight w:val="none"/>
        </w:rPr>
        <w:t>工程建设过程发生</w:t>
      </w:r>
      <w:r>
        <w:rPr>
          <w:rFonts w:hint="eastAsia"/>
          <w:color w:val="auto"/>
          <w:highlight w:val="none"/>
        </w:rPr>
        <w:t>的工程项目</w:t>
      </w:r>
      <w:r>
        <w:rPr>
          <w:rFonts w:hint="eastAsia" w:hAnsi="宋体"/>
          <w:color w:val="auto"/>
          <w:highlight w:val="none"/>
        </w:rPr>
        <w:t>设计变更（以下简称“设计变更”）</w:t>
      </w:r>
      <w:r>
        <w:rPr>
          <w:rFonts w:hint="eastAsia"/>
          <w:color w:val="auto"/>
          <w:highlight w:val="none"/>
        </w:rPr>
        <w:t>管理工作，规范工程项目设计变更审批管理，特制定本办法。</w:t>
      </w:r>
    </w:p>
    <w:p w14:paraId="253C3E35">
      <w:pPr>
        <w:pStyle w:val="70"/>
        <w:numPr>
          <w:ilvl w:val="0"/>
          <w:numId w:val="10"/>
        </w:numPr>
        <w:spacing w:before="312" w:after="312"/>
        <w:rPr>
          <w:color w:val="auto"/>
          <w:highlight w:val="none"/>
        </w:rPr>
      </w:pPr>
      <w:bookmarkStart w:id="552" w:name="_Toc180489609"/>
      <w:r>
        <w:rPr>
          <w:rFonts w:hint="eastAsia"/>
          <w:color w:val="auto"/>
          <w:highlight w:val="none"/>
        </w:rPr>
        <w:t>范围</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14:paraId="6A6B803F">
      <w:pPr>
        <w:pStyle w:val="67"/>
        <w:spacing w:line="288" w:lineRule="auto"/>
        <w:rPr>
          <w:color w:val="auto"/>
          <w:highlight w:val="none"/>
        </w:rPr>
      </w:pPr>
      <w:r>
        <w:rPr>
          <w:rFonts w:hint="eastAsia"/>
          <w:color w:val="auto"/>
          <w:highlight w:val="none"/>
        </w:rPr>
        <w:t>本制度适用于重庆国际复合材料股份有限公司（下称</w:t>
      </w:r>
      <w:r>
        <w:rPr>
          <w:color w:val="auto"/>
          <w:highlight w:val="none"/>
        </w:rPr>
        <w:t>“</w:t>
      </w:r>
      <w:r>
        <w:rPr>
          <w:rFonts w:hint="eastAsia"/>
          <w:color w:val="auto"/>
          <w:highlight w:val="none"/>
        </w:rPr>
        <w:t>公司</w:t>
      </w:r>
      <w:r>
        <w:rPr>
          <w:color w:val="auto"/>
          <w:highlight w:val="none"/>
        </w:rPr>
        <w:t>”</w:t>
      </w:r>
      <w:r>
        <w:rPr>
          <w:rFonts w:hint="eastAsia"/>
          <w:color w:val="auto"/>
          <w:highlight w:val="none"/>
        </w:rPr>
        <w:t>）及各级公司全资（控股）子公司、分公司（下称</w:t>
      </w:r>
      <w:r>
        <w:rPr>
          <w:color w:val="auto"/>
          <w:highlight w:val="none"/>
        </w:rPr>
        <w:t>“</w:t>
      </w:r>
      <w:r>
        <w:rPr>
          <w:rFonts w:hint="eastAsia"/>
          <w:color w:val="auto"/>
          <w:highlight w:val="none"/>
        </w:rPr>
        <w:t>各分子公司</w:t>
      </w:r>
      <w:r>
        <w:rPr>
          <w:color w:val="auto"/>
          <w:highlight w:val="none"/>
        </w:rPr>
        <w:t>”</w:t>
      </w:r>
      <w:r>
        <w:rPr>
          <w:rFonts w:hint="eastAsia"/>
          <w:color w:val="auto"/>
          <w:highlight w:val="none"/>
        </w:rPr>
        <w:t>）。</w:t>
      </w:r>
    </w:p>
    <w:p w14:paraId="79DB4760">
      <w:pPr>
        <w:pStyle w:val="70"/>
        <w:numPr>
          <w:ilvl w:val="0"/>
          <w:numId w:val="10"/>
        </w:numPr>
        <w:spacing w:before="312" w:after="312"/>
        <w:rPr>
          <w:color w:val="auto"/>
          <w:highlight w:val="none"/>
        </w:rPr>
      </w:pPr>
      <w:bookmarkStart w:id="553" w:name="_Toc325035052"/>
      <w:bookmarkStart w:id="554" w:name="_Toc325035191"/>
      <w:bookmarkStart w:id="555" w:name="_Toc325380246"/>
      <w:bookmarkStart w:id="556" w:name="_Toc325380255"/>
      <w:bookmarkStart w:id="557" w:name="_Toc327262750"/>
      <w:bookmarkStart w:id="558" w:name="_Toc14162_WPSOffice_Level1"/>
      <w:bookmarkStart w:id="559" w:name="_Toc959"/>
      <w:bookmarkStart w:id="560" w:name="_Toc5572"/>
      <w:bookmarkStart w:id="561" w:name="_Toc7014_WPSOffice_Level1"/>
      <w:bookmarkStart w:id="562" w:name="_Toc3537_WPSOffice_Level1"/>
      <w:bookmarkStart w:id="563" w:name="_Toc180489611"/>
      <w:bookmarkStart w:id="564" w:name="_Toc20062_WPSOffice_Level1"/>
      <w:bookmarkStart w:id="565" w:name="_Toc5719"/>
      <w:r>
        <w:rPr>
          <w:rFonts w:hint="eastAsia"/>
          <w:color w:val="auto"/>
          <w:highlight w:val="none"/>
        </w:rPr>
        <w:t>术语</w:t>
      </w:r>
      <w:bookmarkEnd w:id="553"/>
      <w:bookmarkEnd w:id="554"/>
      <w:bookmarkEnd w:id="555"/>
      <w:bookmarkEnd w:id="556"/>
      <w:bookmarkEnd w:id="557"/>
      <w:r>
        <w:rPr>
          <w:rFonts w:hint="eastAsia"/>
          <w:color w:val="auto"/>
          <w:highlight w:val="none"/>
        </w:rPr>
        <w:t>和定义</w:t>
      </w:r>
      <w:bookmarkEnd w:id="558"/>
      <w:bookmarkEnd w:id="559"/>
      <w:bookmarkEnd w:id="560"/>
      <w:bookmarkEnd w:id="561"/>
      <w:bookmarkEnd w:id="562"/>
      <w:bookmarkEnd w:id="563"/>
      <w:bookmarkEnd w:id="564"/>
      <w:bookmarkEnd w:id="565"/>
    </w:p>
    <w:p w14:paraId="59DE0E64">
      <w:pPr>
        <w:pStyle w:val="71"/>
        <w:numPr>
          <w:ilvl w:val="1"/>
          <w:numId w:val="10"/>
        </w:numPr>
        <w:spacing w:before="156" w:beforeLines="50" w:after="156" w:afterLines="50"/>
        <w:rPr>
          <w:color w:val="auto"/>
          <w:highlight w:val="none"/>
        </w:rPr>
      </w:pPr>
      <w:bookmarkStart w:id="566" w:name="_Toc180489615"/>
      <w:r>
        <w:rPr>
          <w:rFonts w:hint="eastAsia"/>
          <w:color w:val="auto"/>
          <w:highlight w:val="none"/>
        </w:rPr>
        <w:t>设计变更</w:t>
      </w:r>
    </w:p>
    <w:p w14:paraId="172E72B4">
      <w:pPr>
        <w:pStyle w:val="67"/>
        <w:rPr>
          <w:color w:val="auto"/>
          <w:highlight w:val="none"/>
        </w:rPr>
      </w:pPr>
      <w:r>
        <w:rPr>
          <w:color w:val="auto"/>
          <w:highlight w:val="none"/>
        </w:rPr>
        <w:t>项目自初步设计批准之日起至通过竣工验收正式交付使用之日止，对已批准的初步设计文件、技术设计文件或施工图设计文件所进行的修改、完善、优化等活动。</w:t>
      </w:r>
    </w:p>
    <w:p w14:paraId="2503DCED">
      <w:pPr>
        <w:pStyle w:val="71"/>
        <w:numPr>
          <w:ilvl w:val="1"/>
          <w:numId w:val="10"/>
        </w:numPr>
        <w:spacing w:before="156" w:beforeLines="50" w:after="156" w:afterLines="50"/>
        <w:rPr>
          <w:color w:val="auto"/>
          <w:highlight w:val="none"/>
        </w:rPr>
      </w:pPr>
      <w:r>
        <w:rPr>
          <w:rFonts w:hint="eastAsia"/>
          <w:color w:val="auto"/>
          <w:highlight w:val="none"/>
        </w:rPr>
        <w:t>一般变更</w:t>
      </w:r>
    </w:p>
    <w:p w14:paraId="356EF01F">
      <w:pPr>
        <w:pStyle w:val="74"/>
        <w:numPr>
          <w:ilvl w:val="2"/>
          <w:numId w:val="10"/>
        </w:numPr>
        <w:spacing w:before="0" w:after="0"/>
        <w:rPr>
          <w:color w:val="auto"/>
          <w:highlight w:val="none"/>
        </w:rPr>
      </w:pPr>
      <w:r>
        <w:rPr>
          <w:rFonts w:hint="eastAsia"/>
          <w:color w:val="auto"/>
          <w:highlight w:val="none"/>
        </w:rPr>
        <w:t>设备及材料的名称、规格、安装方式等发生变化，没有超出原设计或工艺技术要求的。</w:t>
      </w:r>
    </w:p>
    <w:p w14:paraId="77801804">
      <w:pPr>
        <w:pStyle w:val="74"/>
        <w:numPr>
          <w:ilvl w:val="2"/>
          <w:numId w:val="10"/>
        </w:numPr>
        <w:spacing w:before="0" w:after="0"/>
        <w:rPr>
          <w:color w:val="auto"/>
          <w:highlight w:val="none"/>
        </w:rPr>
      </w:pPr>
      <w:r>
        <w:rPr>
          <w:rFonts w:hint="eastAsia"/>
          <w:color w:val="auto"/>
          <w:highlight w:val="none"/>
        </w:rPr>
        <w:t>设备、材料及工程量的数量发生变化，不改变工艺技术要求且在单项批复估算内的。</w:t>
      </w:r>
    </w:p>
    <w:p w14:paraId="23F9ACB5">
      <w:pPr>
        <w:pStyle w:val="71"/>
        <w:numPr>
          <w:ilvl w:val="1"/>
          <w:numId w:val="10"/>
        </w:numPr>
        <w:spacing w:before="156" w:beforeLines="50" w:after="156" w:afterLines="50"/>
        <w:rPr>
          <w:color w:val="auto"/>
          <w:highlight w:val="none"/>
        </w:rPr>
      </w:pPr>
      <w:r>
        <w:rPr>
          <w:rFonts w:hint="eastAsia"/>
          <w:color w:val="auto"/>
          <w:highlight w:val="none"/>
        </w:rPr>
        <w:t>重大变更</w:t>
      </w:r>
    </w:p>
    <w:p w14:paraId="526D4208">
      <w:pPr>
        <w:pStyle w:val="74"/>
        <w:numPr>
          <w:ilvl w:val="2"/>
          <w:numId w:val="10"/>
        </w:numPr>
        <w:spacing w:before="0" w:after="0"/>
        <w:rPr>
          <w:color w:val="auto"/>
          <w:highlight w:val="none"/>
        </w:rPr>
      </w:pPr>
      <w:r>
        <w:rPr>
          <w:rFonts w:hint="eastAsia"/>
          <w:color w:val="auto"/>
          <w:highlight w:val="none"/>
        </w:rPr>
        <w:t>重大工艺变更、产品结构调整等发生变化，与可研报告不一致的。</w:t>
      </w:r>
    </w:p>
    <w:p w14:paraId="6358FA9F">
      <w:pPr>
        <w:pStyle w:val="74"/>
        <w:numPr>
          <w:ilvl w:val="2"/>
          <w:numId w:val="10"/>
        </w:numPr>
        <w:spacing w:before="0" w:after="0"/>
        <w:rPr>
          <w:color w:val="auto"/>
          <w:highlight w:val="none"/>
        </w:rPr>
      </w:pPr>
      <w:r>
        <w:rPr>
          <w:rFonts w:hint="eastAsia"/>
          <w:color w:val="auto"/>
          <w:highlight w:val="none"/>
        </w:rPr>
        <w:t>设备材料名称、规格、安装方式等发生变化，超出原设计或工艺技术要求的。</w:t>
      </w:r>
    </w:p>
    <w:p w14:paraId="1B4C0767">
      <w:pPr>
        <w:pStyle w:val="74"/>
        <w:numPr>
          <w:ilvl w:val="2"/>
          <w:numId w:val="10"/>
        </w:numPr>
        <w:spacing w:before="0" w:after="0"/>
        <w:rPr>
          <w:color w:val="auto"/>
          <w:highlight w:val="none"/>
        </w:rPr>
      </w:pPr>
      <w:r>
        <w:rPr>
          <w:rFonts w:hint="eastAsia"/>
          <w:color w:val="auto"/>
          <w:highlight w:val="none"/>
        </w:rPr>
        <w:t>设备、材料及工程量的数量发生变化，超出单项批复估算但未超出项目总批复估算的。</w:t>
      </w:r>
    </w:p>
    <w:p w14:paraId="6F7077B1">
      <w:pPr>
        <w:pStyle w:val="74"/>
        <w:numPr>
          <w:ilvl w:val="2"/>
          <w:numId w:val="10"/>
        </w:numPr>
        <w:spacing w:before="0" w:after="0"/>
        <w:rPr>
          <w:color w:val="auto"/>
          <w:highlight w:val="none"/>
        </w:rPr>
      </w:pPr>
      <w:r>
        <w:rPr>
          <w:rFonts w:hint="eastAsia"/>
          <w:color w:val="auto"/>
          <w:highlight w:val="none"/>
        </w:rPr>
        <w:t>因实施方案漏项，或新增加的超出原设计工艺内容的。</w:t>
      </w:r>
    </w:p>
    <w:p w14:paraId="32359759">
      <w:pPr>
        <w:pStyle w:val="74"/>
        <w:numPr>
          <w:ilvl w:val="2"/>
          <w:numId w:val="10"/>
        </w:numPr>
        <w:spacing w:before="0" w:after="0"/>
        <w:rPr>
          <w:color w:val="auto"/>
          <w:highlight w:val="none"/>
        </w:rPr>
      </w:pPr>
      <w:r>
        <w:rPr>
          <w:rFonts w:hint="eastAsia"/>
          <w:color w:val="auto"/>
          <w:highlight w:val="none"/>
        </w:rPr>
        <w:t xml:space="preserve">特种设备实施内容发生变化的。 </w:t>
      </w:r>
    </w:p>
    <w:bookmarkEnd w:id="566"/>
    <w:p w14:paraId="475B3AE5">
      <w:pPr>
        <w:pStyle w:val="70"/>
        <w:numPr>
          <w:ilvl w:val="0"/>
          <w:numId w:val="10"/>
        </w:numPr>
        <w:spacing w:before="312" w:after="312"/>
        <w:rPr>
          <w:color w:val="auto"/>
          <w:highlight w:val="none"/>
        </w:rPr>
      </w:pPr>
      <w:r>
        <w:rPr>
          <w:rFonts w:hint="eastAsia"/>
          <w:color w:val="auto"/>
          <w:highlight w:val="none"/>
        </w:rPr>
        <w:t>原则</w:t>
      </w:r>
    </w:p>
    <w:p w14:paraId="5AC3D5DA">
      <w:pPr>
        <w:pStyle w:val="74"/>
        <w:numPr>
          <w:ilvl w:val="2"/>
          <w:numId w:val="10"/>
        </w:numPr>
        <w:spacing w:before="0" w:after="0"/>
        <w:rPr>
          <w:color w:val="auto"/>
          <w:highlight w:val="none"/>
        </w:rPr>
      </w:pPr>
      <w:r>
        <w:rPr>
          <w:rFonts w:hint="eastAsia"/>
          <w:color w:val="auto"/>
          <w:highlight w:val="none"/>
        </w:rPr>
        <w:t>原设计不能保证工程质量要求、设计遗漏、有错误与现场不符无法施工、生产工艺重大变更。</w:t>
      </w:r>
    </w:p>
    <w:p w14:paraId="295ED8D6">
      <w:pPr>
        <w:pStyle w:val="74"/>
        <w:numPr>
          <w:ilvl w:val="2"/>
          <w:numId w:val="10"/>
        </w:numPr>
        <w:spacing w:before="0" w:after="0"/>
        <w:rPr>
          <w:color w:val="auto"/>
          <w:highlight w:val="none"/>
        </w:rPr>
      </w:pPr>
      <w:r>
        <w:rPr>
          <w:rFonts w:hint="eastAsia"/>
          <w:color w:val="auto"/>
          <w:highlight w:val="none"/>
        </w:rPr>
        <w:t>建设单位和公司相关部门对设计图纸的合理修改意见，应在施工之前提出。在施工试车或验收过程中，只要不影响生产，原则上不再接受设计变更要求。</w:t>
      </w:r>
    </w:p>
    <w:p w14:paraId="11BE9863">
      <w:pPr>
        <w:pStyle w:val="74"/>
        <w:numPr>
          <w:ilvl w:val="2"/>
          <w:numId w:val="10"/>
        </w:numPr>
        <w:spacing w:before="0" w:after="0"/>
        <w:rPr>
          <w:color w:val="auto"/>
          <w:highlight w:val="none"/>
        </w:rPr>
      </w:pPr>
      <w:r>
        <w:rPr>
          <w:rFonts w:hint="eastAsia"/>
          <w:color w:val="auto"/>
          <w:highlight w:val="none"/>
        </w:rPr>
        <w:t>坚决杜绝内容不明确、没有详图或具体使用部位而只是增加材料用量的变更。</w:t>
      </w:r>
    </w:p>
    <w:p w14:paraId="3C4DA681">
      <w:pPr>
        <w:pStyle w:val="74"/>
        <w:numPr>
          <w:ilvl w:val="2"/>
          <w:numId w:val="10"/>
        </w:numPr>
        <w:spacing w:before="0" w:after="0"/>
        <w:rPr>
          <w:color w:val="auto"/>
          <w:highlight w:val="none"/>
        </w:rPr>
      </w:pPr>
      <w:r>
        <w:rPr>
          <w:rFonts w:hint="eastAsia"/>
          <w:color w:val="auto"/>
          <w:highlight w:val="none"/>
        </w:rPr>
        <w:t>严禁一次设计变更分多次提出，逃避审核程序。</w:t>
      </w:r>
    </w:p>
    <w:p w14:paraId="1A5C61EB">
      <w:pPr>
        <w:pStyle w:val="74"/>
        <w:numPr>
          <w:ilvl w:val="2"/>
          <w:numId w:val="10"/>
        </w:numPr>
        <w:spacing w:before="0" w:after="0"/>
        <w:rPr>
          <w:color w:val="auto"/>
          <w:highlight w:val="none"/>
        </w:rPr>
      </w:pPr>
      <w:r>
        <w:rPr>
          <w:rFonts w:hint="eastAsia"/>
          <w:color w:val="auto"/>
          <w:highlight w:val="none"/>
        </w:rPr>
        <w:t>工程造价增减幅度是否控制在总概算的范围之内，若确需变更但有可能超概算时，必须经过公司项目变更审议流程。</w:t>
      </w:r>
    </w:p>
    <w:p w14:paraId="5D6BBEFE">
      <w:pPr>
        <w:pStyle w:val="70"/>
        <w:numPr>
          <w:ilvl w:val="0"/>
          <w:numId w:val="10"/>
        </w:numPr>
        <w:spacing w:before="312" w:after="312"/>
        <w:rPr>
          <w:color w:val="auto"/>
          <w:highlight w:val="none"/>
        </w:rPr>
      </w:pPr>
      <w:r>
        <w:rPr>
          <w:rFonts w:hint="eastAsia"/>
          <w:color w:val="auto"/>
          <w:highlight w:val="none"/>
        </w:rPr>
        <w:t>职责</w:t>
      </w:r>
    </w:p>
    <w:p w14:paraId="132542A3">
      <w:pPr>
        <w:pStyle w:val="74"/>
        <w:numPr>
          <w:ilvl w:val="2"/>
          <w:numId w:val="10"/>
        </w:numPr>
        <w:spacing w:before="0" w:after="0"/>
        <w:rPr>
          <w:color w:val="auto"/>
          <w:highlight w:val="none"/>
        </w:rPr>
      </w:pPr>
      <w:r>
        <w:rPr>
          <w:rFonts w:hint="eastAsia"/>
          <w:color w:val="auto"/>
          <w:highlight w:val="none"/>
        </w:rPr>
        <w:t>属地部门负责提出项目变更，由属地部门按照项目办项目变更管理制度要求，完善项目变更手续。</w:t>
      </w:r>
    </w:p>
    <w:p w14:paraId="2C98CFF3">
      <w:pPr>
        <w:pStyle w:val="74"/>
        <w:numPr>
          <w:ilvl w:val="2"/>
          <w:numId w:val="10"/>
        </w:numPr>
        <w:spacing w:before="0" w:after="0"/>
        <w:rPr>
          <w:color w:val="auto"/>
          <w:highlight w:val="none"/>
        </w:rPr>
      </w:pPr>
      <w:r>
        <w:rPr>
          <w:rFonts w:hint="eastAsia"/>
          <w:color w:val="auto"/>
          <w:highlight w:val="none"/>
        </w:rPr>
        <w:t>建设单位、设计单位、施工单位负责设计变更提报，详见附件B、附件C、附件D。</w:t>
      </w:r>
    </w:p>
    <w:p w14:paraId="0F97182C">
      <w:pPr>
        <w:pStyle w:val="74"/>
        <w:numPr>
          <w:ilvl w:val="2"/>
          <w:numId w:val="10"/>
        </w:numPr>
        <w:spacing w:before="0" w:after="0"/>
        <w:rPr>
          <w:color w:val="auto"/>
          <w:highlight w:val="none"/>
        </w:rPr>
      </w:pPr>
      <w:r>
        <w:rPr>
          <w:rFonts w:hint="eastAsia"/>
          <w:color w:val="auto"/>
          <w:highlight w:val="none"/>
        </w:rPr>
        <w:t>项目办负责设计变更的技术审核、设计变更费用预决算。</w:t>
      </w:r>
    </w:p>
    <w:p w14:paraId="7EDF3426">
      <w:pPr>
        <w:pStyle w:val="74"/>
        <w:numPr>
          <w:ilvl w:val="2"/>
          <w:numId w:val="10"/>
        </w:numPr>
        <w:spacing w:before="0" w:after="0"/>
        <w:rPr>
          <w:color w:val="auto"/>
          <w:highlight w:val="none"/>
        </w:rPr>
      </w:pPr>
      <w:r>
        <w:rPr>
          <w:rFonts w:hint="eastAsia"/>
          <w:color w:val="auto"/>
          <w:highlight w:val="none"/>
        </w:rPr>
        <w:t>数智化工装技术中心负责设计变更的审核、档案归档。</w:t>
      </w:r>
    </w:p>
    <w:p w14:paraId="5398608B">
      <w:pPr>
        <w:pStyle w:val="70"/>
        <w:numPr>
          <w:ilvl w:val="0"/>
          <w:numId w:val="10"/>
        </w:numPr>
        <w:spacing w:before="312" w:after="312"/>
        <w:rPr>
          <w:color w:val="auto"/>
          <w:highlight w:val="none"/>
        </w:rPr>
      </w:pPr>
      <w:r>
        <w:rPr>
          <w:rFonts w:hint="eastAsia"/>
          <w:color w:val="auto"/>
          <w:highlight w:val="none"/>
        </w:rPr>
        <w:t>管理内容</w:t>
      </w:r>
    </w:p>
    <w:p w14:paraId="4ED85804">
      <w:pPr>
        <w:pStyle w:val="72"/>
        <w:numPr>
          <w:ilvl w:val="1"/>
          <w:numId w:val="10"/>
        </w:numPr>
        <w:spacing w:before="156" w:after="156"/>
        <w:rPr>
          <w:color w:val="auto"/>
          <w:highlight w:val="none"/>
        </w:rPr>
      </w:pPr>
      <w:bookmarkStart w:id="567" w:name="_Toc180489622"/>
      <w:bookmarkStart w:id="568" w:name="_Toc20031_WPSOffice_Level1"/>
      <w:bookmarkStart w:id="569" w:name="_Toc28486"/>
      <w:bookmarkStart w:id="570" w:name="_Toc9144_WPSOffice_Level1"/>
      <w:bookmarkStart w:id="571" w:name="_Toc28607"/>
      <w:bookmarkStart w:id="572" w:name="_Toc11779_WPSOffice_Level1"/>
      <w:bookmarkStart w:id="573" w:name="_Toc4905_WPSOffice_Level1"/>
      <w:bookmarkStart w:id="574" w:name="_Toc5661"/>
      <w:bookmarkStart w:id="575" w:name="_Toc25939_WPSOffice_Level1"/>
      <w:r>
        <w:rPr>
          <w:rFonts w:hint="eastAsia"/>
          <w:color w:val="auto"/>
          <w:highlight w:val="none"/>
        </w:rPr>
        <w:t>设计变更的原因</w:t>
      </w:r>
    </w:p>
    <w:p w14:paraId="2566EAFB">
      <w:pPr>
        <w:pStyle w:val="74"/>
        <w:numPr>
          <w:ilvl w:val="2"/>
          <w:numId w:val="10"/>
        </w:numPr>
        <w:spacing w:before="0" w:after="0"/>
        <w:rPr>
          <w:color w:val="auto"/>
          <w:highlight w:val="none"/>
        </w:rPr>
      </w:pPr>
      <w:r>
        <w:rPr>
          <w:color w:val="auto"/>
          <w:highlight w:val="none"/>
        </w:rPr>
        <w:t>修改工艺技术，包括设备的改变</w:t>
      </w:r>
      <w:r>
        <w:rPr>
          <w:rFonts w:hint="eastAsia"/>
          <w:color w:val="auto"/>
          <w:highlight w:val="none"/>
        </w:rPr>
        <w:t>。</w:t>
      </w:r>
    </w:p>
    <w:p w14:paraId="6DCB08ED">
      <w:pPr>
        <w:pStyle w:val="74"/>
        <w:numPr>
          <w:ilvl w:val="2"/>
          <w:numId w:val="10"/>
        </w:numPr>
        <w:spacing w:before="0" w:after="0"/>
        <w:rPr>
          <w:color w:val="auto"/>
          <w:highlight w:val="none"/>
        </w:rPr>
      </w:pPr>
      <w:r>
        <w:rPr>
          <w:color w:val="auto"/>
          <w:highlight w:val="none"/>
        </w:rPr>
        <w:t>增减工程内容</w:t>
      </w:r>
      <w:r>
        <w:rPr>
          <w:rFonts w:hint="eastAsia"/>
          <w:color w:val="auto"/>
          <w:highlight w:val="none"/>
        </w:rPr>
        <w:t>。</w:t>
      </w:r>
    </w:p>
    <w:p w14:paraId="074B2826">
      <w:pPr>
        <w:pStyle w:val="74"/>
        <w:numPr>
          <w:ilvl w:val="2"/>
          <w:numId w:val="10"/>
        </w:numPr>
        <w:spacing w:before="0" w:after="0"/>
        <w:rPr>
          <w:color w:val="auto"/>
          <w:highlight w:val="none"/>
        </w:rPr>
      </w:pPr>
      <w:r>
        <w:rPr>
          <w:color w:val="auto"/>
          <w:highlight w:val="none"/>
        </w:rPr>
        <w:t>改变使用功能</w:t>
      </w:r>
      <w:r>
        <w:rPr>
          <w:rFonts w:hint="eastAsia"/>
          <w:color w:val="auto"/>
          <w:highlight w:val="none"/>
        </w:rPr>
        <w:t>。</w:t>
      </w:r>
    </w:p>
    <w:p w14:paraId="3B8B7D78">
      <w:pPr>
        <w:pStyle w:val="74"/>
        <w:numPr>
          <w:ilvl w:val="2"/>
          <w:numId w:val="10"/>
        </w:numPr>
        <w:spacing w:before="0" w:after="0"/>
        <w:rPr>
          <w:color w:val="auto"/>
          <w:highlight w:val="none"/>
        </w:rPr>
      </w:pPr>
      <w:r>
        <w:rPr>
          <w:color w:val="auto"/>
          <w:highlight w:val="none"/>
        </w:rPr>
        <w:t>设计错误、遗漏</w:t>
      </w:r>
      <w:r>
        <w:rPr>
          <w:rFonts w:hint="eastAsia"/>
          <w:color w:val="auto"/>
          <w:highlight w:val="none"/>
        </w:rPr>
        <w:t>。</w:t>
      </w:r>
    </w:p>
    <w:p w14:paraId="34BB300B">
      <w:pPr>
        <w:pStyle w:val="74"/>
        <w:numPr>
          <w:ilvl w:val="2"/>
          <w:numId w:val="10"/>
        </w:numPr>
        <w:spacing w:before="0" w:after="0"/>
        <w:rPr>
          <w:color w:val="auto"/>
          <w:highlight w:val="none"/>
        </w:rPr>
      </w:pPr>
      <w:r>
        <w:rPr>
          <w:rFonts w:hint="eastAsia"/>
          <w:color w:val="auto"/>
          <w:highlight w:val="none"/>
        </w:rPr>
        <w:t>现场</w:t>
      </w:r>
      <w:r>
        <w:rPr>
          <w:color w:val="auto"/>
          <w:highlight w:val="none"/>
        </w:rPr>
        <w:t>提</w:t>
      </w:r>
      <w:r>
        <w:rPr>
          <w:rFonts w:hint="eastAsia"/>
          <w:color w:val="auto"/>
          <w:highlight w:val="none"/>
        </w:rPr>
        <w:t>出的</w:t>
      </w:r>
      <w:r>
        <w:rPr>
          <w:color w:val="auto"/>
          <w:highlight w:val="none"/>
        </w:rPr>
        <w:t>合理化建议</w:t>
      </w:r>
      <w:r>
        <w:rPr>
          <w:rFonts w:hint="eastAsia"/>
          <w:color w:val="auto"/>
          <w:highlight w:val="none"/>
        </w:rPr>
        <w:t>。</w:t>
      </w:r>
    </w:p>
    <w:p w14:paraId="39DD84E9">
      <w:pPr>
        <w:pStyle w:val="74"/>
        <w:numPr>
          <w:ilvl w:val="2"/>
          <w:numId w:val="10"/>
        </w:numPr>
        <w:spacing w:before="0" w:after="0"/>
        <w:rPr>
          <w:color w:val="auto"/>
          <w:highlight w:val="none"/>
        </w:rPr>
      </w:pPr>
      <w:r>
        <w:rPr>
          <w:rFonts w:hint="eastAsia" w:cs="宋体"/>
          <w:color w:val="auto"/>
          <w:highlight w:val="none"/>
        </w:rPr>
        <w:t>施工过程中产生的错误。</w:t>
      </w:r>
    </w:p>
    <w:p w14:paraId="03EB084D">
      <w:pPr>
        <w:pStyle w:val="74"/>
        <w:numPr>
          <w:ilvl w:val="2"/>
          <w:numId w:val="10"/>
        </w:numPr>
        <w:spacing w:before="0" w:after="0"/>
        <w:rPr>
          <w:color w:val="auto"/>
          <w:highlight w:val="none"/>
        </w:rPr>
      </w:pPr>
      <w:r>
        <w:rPr>
          <w:color w:val="auto"/>
          <w:highlight w:val="none"/>
        </w:rPr>
        <w:t>使用的材料品种的改变</w:t>
      </w:r>
      <w:r>
        <w:rPr>
          <w:rFonts w:hint="eastAsia"/>
          <w:color w:val="auto"/>
          <w:highlight w:val="none"/>
        </w:rPr>
        <w:t>。</w:t>
      </w:r>
    </w:p>
    <w:p w14:paraId="6835B23B">
      <w:pPr>
        <w:pStyle w:val="74"/>
        <w:numPr>
          <w:ilvl w:val="2"/>
          <w:numId w:val="10"/>
        </w:numPr>
        <w:spacing w:before="0" w:after="0"/>
        <w:rPr>
          <w:color w:val="auto"/>
          <w:highlight w:val="none"/>
        </w:rPr>
      </w:pPr>
      <w:r>
        <w:rPr>
          <w:color w:val="auto"/>
          <w:highlight w:val="none"/>
        </w:rPr>
        <w:t>工程地质勘察资料不准确而引起的修改，如基础加深</w:t>
      </w:r>
      <w:r>
        <w:rPr>
          <w:rFonts w:hint="eastAsia"/>
          <w:color w:val="auto"/>
          <w:highlight w:val="none"/>
        </w:rPr>
        <w:t>等。</w:t>
      </w:r>
    </w:p>
    <w:p w14:paraId="257DD46C">
      <w:pPr>
        <w:pStyle w:val="72"/>
        <w:numPr>
          <w:ilvl w:val="1"/>
          <w:numId w:val="10"/>
        </w:numPr>
        <w:spacing w:before="156" w:after="156"/>
        <w:rPr>
          <w:color w:val="auto"/>
          <w:highlight w:val="none"/>
        </w:rPr>
      </w:pPr>
      <w:r>
        <w:rPr>
          <w:rFonts w:hint="eastAsia"/>
          <w:color w:val="auto"/>
          <w:highlight w:val="none"/>
        </w:rPr>
        <w:t>设计变更的时效性：</w:t>
      </w:r>
    </w:p>
    <w:p w14:paraId="607C1DD6">
      <w:pPr>
        <w:pStyle w:val="74"/>
        <w:numPr>
          <w:ilvl w:val="2"/>
          <w:numId w:val="10"/>
        </w:numPr>
        <w:spacing w:before="0" w:after="0"/>
        <w:rPr>
          <w:color w:val="auto"/>
          <w:highlight w:val="none"/>
        </w:rPr>
      </w:pPr>
      <w:r>
        <w:rPr>
          <w:rFonts w:hint="eastAsia"/>
          <w:color w:val="auto"/>
          <w:highlight w:val="none"/>
        </w:rPr>
        <w:t>项目专业设计人员对设计单位、施工单位提出的设计变更在2个工作日内完成审核。</w:t>
      </w:r>
    </w:p>
    <w:p w14:paraId="5682E1BE">
      <w:pPr>
        <w:pStyle w:val="74"/>
        <w:numPr>
          <w:ilvl w:val="2"/>
          <w:numId w:val="10"/>
        </w:numPr>
        <w:spacing w:before="0" w:after="0"/>
        <w:rPr>
          <w:color w:val="auto"/>
          <w:highlight w:val="none"/>
        </w:rPr>
      </w:pPr>
      <w:r>
        <w:rPr>
          <w:rFonts w:hint="eastAsia"/>
          <w:color w:val="auto"/>
          <w:highlight w:val="none"/>
        </w:rPr>
        <w:t>项目（执行）经理在收到设计变更申请表和会议纪要后</w:t>
      </w:r>
      <w:r>
        <w:rPr>
          <w:color w:val="auto"/>
          <w:highlight w:val="none"/>
        </w:rPr>
        <w:t>1</w:t>
      </w:r>
      <w:r>
        <w:rPr>
          <w:rFonts w:hint="eastAsia"/>
          <w:color w:val="auto"/>
          <w:highlight w:val="none"/>
        </w:rPr>
        <w:t>个工作日内完成审核。</w:t>
      </w:r>
    </w:p>
    <w:p w14:paraId="17C482BB">
      <w:pPr>
        <w:pStyle w:val="74"/>
        <w:numPr>
          <w:ilvl w:val="2"/>
          <w:numId w:val="10"/>
        </w:numPr>
        <w:spacing w:before="0" w:after="0"/>
        <w:rPr>
          <w:color w:val="auto"/>
          <w:highlight w:val="none"/>
        </w:rPr>
      </w:pPr>
      <w:r>
        <w:rPr>
          <w:rFonts w:hint="eastAsia"/>
          <w:color w:val="auto"/>
          <w:highlight w:val="none"/>
        </w:rPr>
        <w:t>设计院在2个工作日内组织讨论、审核及初步方案等。</w:t>
      </w:r>
    </w:p>
    <w:p w14:paraId="74CC05F1">
      <w:pPr>
        <w:pStyle w:val="74"/>
        <w:numPr>
          <w:ilvl w:val="2"/>
          <w:numId w:val="10"/>
        </w:numPr>
        <w:spacing w:before="0" w:after="0"/>
        <w:rPr>
          <w:color w:val="auto"/>
          <w:highlight w:val="none"/>
        </w:rPr>
      </w:pPr>
      <w:r>
        <w:rPr>
          <w:rFonts w:hint="eastAsia"/>
          <w:color w:val="auto"/>
          <w:highlight w:val="none"/>
        </w:rPr>
        <w:t>项目负责人在</w:t>
      </w:r>
      <w:r>
        <w:rPr>
          <w:color w:val="auto"/>
          <w:highlight w:val="none"/>
        </w:rPr>
        <w:t>1</w:t>
      </w:r>
      <w:r>
        <w:rPr>
          <w:rFonts w:hint="eastAsia"/>
          <w:color w:val="auto"/>
          <w:highlight w:val="none"/>
        </w:rPr>
        <w:t>个工作日内完成审批。</w:t>
      </w:r>
    </w:p>
    <w:p w14:paraId="6882F948">
      <w:pPr>
        <w:pStyle w:val="74"/>
        <w:numPr>
          <w:ilvl w:val="2"/>
          <w:numId w:val="10"/>
        </w:numPr>
        <w:spacing w:before="0" w:after="0"/>
        <w:rPr>
          <w:color w:val="auto"/>
          <w:highlight w:val="none"/>
        </w:rPr>
      </w:pPr>
      <w:r>
        <w:rPr>
          <w:rFonts w:hint="eastAsia"/>
          <w:color w:val="auto"/>
          <w:highlight w:val="none"/>
        </w:rPr>
        <w:t>项目办造价人员在收到项目变更、初步方案后在2个工作日完成造价估算。</w:t>
      </w:r>
    </w:p>
    <w:p w14:paraId="733BFCC7">
      <w:pPr>
        <w:pStyle w:val="74"/>
        <w:numPr>
          <w:ilvl w:val="2"/>
          <w:numId w:val="10"/>
        </w:numPr>
        <w:spacing w:before="0" w:after="0"/>
        <w:rPr>
          <w:color w:val="auto"/>
          <w:highlight w:val="none"/>
        </w:rPr>
      </w:pPr>
      <w:r>
        <w:rPr>
          <w:rFonts w:hint="eastAsia"/>
          <w:color w:val="auto"/>
          <w:szCs w:val="18"/>
          <w:highlight w:val="none"/>
        </w:rPr>
        <w:t>数智化工装技术中心、项目办</w:t>
      </w:r>
      <w:r>
        <w:rPr>
          <w:rFonts w:hint="eastAsia"/>
          <w:color w:val="auto"/>
          <w:highlight w:val="none"/>
        </w:rPr>
        <w:t>领导审</w:t>
      </w:r>
      <w:r>
        <w:rPr>
          <w:color w:val="auto"/>
          <w:highlight w:val="none"/>
        </w:rPr>
        <w:t>核</w:t>
      </w:r>
      <w:r>
        <w:rPr>
          <w:rFonts w:hint="eastAsia"/>
          <w:color w:val="auto"/>
          <w:highlight w:val="none"/>
        </w:rPr>
        <w:t>和公司项目分管领导在2个工作日完成审批。</w:t>
      </w:r>
    </w:p>
    <w:p w14:paraId="79014141">
      <w:pPr>
        <w:pStyle w:val="74"/>
        <w:numPr>
          <w:ilvl w:val="2"/>
          <w:numId w:val="10"/>
        </w:numPr>
        <w:spacing w:before="0" w:after="0"/>
        <w:rPr>
          <w:color w:val="auto"/>
          <w:highlight w:val="none"/>
        </w:rPr>
      </w:pPr>
      <w:r>
        <w:rPr>
          <w:rFonts w:hint="eastAsia"/>
          <w:color w:val="auto"/>
          <w:highlight w:val="none"/>
        </w:rPr>
        <w:t>项目竣工验收后</w:t>
      </w:r>
      <w:r>
        <w:rPr>
          <w:color w:val="auto"/>
          <w:highlight w:val="none"/>
        </w:rPr>
        <w:t>30</w:t>
      </w:r>
      <w:r>
        <w:rPr>
          <w:rFonts w:hint="eastAsia"/>
          <w:color w:val="auto"/>
          <w:highlight w:val="none"/>
        </w:rPr>
        <w:t>日内各专业设计人员收集整理设计变更，并交项目技术负责人核对后交档案管理人员归档。</w:t>
      </w:r>
    </w:p>
    <w:p w14:paraId="6D935BDD">
      <w:pPr>
        <w:pStyle w:val="74"/>
        <w:numPr>
          <w:ilvl w:val="2"/>
          <w:numId w:val="10"/>
        </w:numPr>
        <w:spacing w:before="0" w:after="0"/>
        <w:rPr>
          <w:color w:val="auto"/>
          <w:highlight w:val="none"/>
        </w:rPr>
      </w:pPr>
      <w:r>
        <w:rPr>
          <w:rFonts w:hint="eastAsia"/>
          <w:color w:val="auto"/>
          <w:highlight w:val="none"/>
        </w:rPr>
        <w:t>若现场出现紧急情况需要立即实施变更的，在变更完成后3日内补充完善流程。</w:t>
      </w:r>
    </w:p>
    <w:p w14:paraId="74A016A7">
      <w:pPr>
        <w:pStyle w:val="72"/>
        <w:numPr>
          <w:ilvl w:val="1"/>
          <w:numId w:val="10"/>
        </w:numPr>
        <w:spacing w:before="156" w:after="156"/>
        <w:rPr>
          <w:color w:val="auto"/>
          <w:highlight w:val="none"/>
        </w:rPr>
      </w:pPr>
      <w:r>
        <w:rPr>
          <w:rFonts w:hint="eastAsia"/>
          <w:color w:val="auto"/>
          <w:highlight w:val="none"/>
        </w:rPr>
        <w:t>设计变更的提出审批程序</w:t>
      </w:r>
    </w:p>
    <w:p w14:paraId="289E4ED3">
      <w:pPr>
        <w:pStyle w:val="74"/>
        <w:numPr>
          <w:ilvl w:val="2"/>
          <w:numId w:val="10"/>
        </w:numPr>
        <w:spacing w:before="0" w:after="0"/>
        <w:rPr>
          <w:color w:val="auto"/>
          <w:highlight w:val="none"/>
        </w:rPr>
      </w:pPr>
      <w:r>
        <w:rPr>
          <w:rFonts w:hint="eastAsia"/>
          <w:color w:val="auto"/>
          <w:highlight w:val="none"/>
        </w:rPr>
        <w:t>设计变更提出前，必须先经施工预算。</w:t>
      </w:r>
    </w:p>
    <w:p w14:paraId="2368EE74">
      <w:pPr>
        <w:pStyle w:val="74"/>
        <w:numPr>
          <w:ilvl w:val="2"/>
          <w:numId w:val="10"/>
        </w:numPr>
        <w:spacing w:before="0" w:after="0"/>
        <w:rPr>
          <w:color w:val="auto"/>
          <w:highlight w:val="none"/>
        </w:rPr>
      </w:pPr>
      <w:r>
        <w:rPr>
          <w:rFonts w:hint="eastAsia"/>
          <w:color w:val="auto"/>
          <w:highlight w:val="none"/>
        </w:rPr>
        <w:t>设计变更须说明变更产生的背景（变更提出单位、主要参与人员、时间等）、变更原因（工艺变更、工艺要求、设备选型不当、设计漏项、设计失误、提高或降低标准等），并进行经济效益分析及造价分析。</w:t>
      </w:r>
    </w:p>
    <w:p w14:paraId="6BCD38D8">
      <w:pPr>
        <w:pStyle w:val="74"/>
        <w:numPr>
          <w:ilvl w:val="2"/>
          <w:numId w:val="10"/>
        </w:numPr>
        <w:spacing w:before="0" w:after="0"/>
        <w:rPr>
          <w:color w:val="auto"/>
          <w:highlight w:val="none"/>
        </w:rPr>
      </w:pPr>
      <w:r>
        <w:rPr>
          <w:rFonts w:hint="eastAsia"/>
          <w:color w:val="auto"/>
          <w:highlight w:val="none"/>
        </w:rPr>
        <w:t>设计变更的审批程序按照造价金额进行分级审批。</w:t>
      </w:r>
    </w:p>
    <w:p w14:paraId="4931CEBC">
      <w:pPr>
        <w:pStyle w:val="74"/>
        <w:numPr>
          <w:ilvl w:val="2"/>
          <w:numId w:val="10"/>
        </w:numPr>
        <w:spacing w:before="0" w:after="0"/>
        <w:rPr>
          <w:color w:val="auto"/>
          <w:highlight w:val="none"/>
        </w:rPr>
      </w:pPr>
      <w:r>
        <w:rPr>
          <w:rFonts w:hint="eastAsia"/>
          <w:color w:val="auto"/>
          <w:highlight w:val="none"/>
        </w:rPr>
        <w:t>建设单位提出的设计变更审批程序：</w:t>
      </w:r>
    </w:p>
    <w:p w14:paraId="6E45BCD5">
      <w:pPr>
        <w:pStyle w:val="75"/>
        <w:numPr>
          <w:ilvl w:val="3"/>
          <w:numId w:val="10"/>
        </w:numPr>
        <w:ind w:left="284"/>
        <w:rPr>
          <w:color w:val="auto"/>
          <w:highlight w:val="none"/>
        </w:rPr>
      </w:pPr>
      <w:r>
        <w:rPr>
          <w:rFonts w:hint="eastAsia"/>
          <w:color w:val="auto"/>
          <w:highlight w:val="none"/>
        </w:rPr>
        <w:t>项目专业设计人员组织有关单位和部门的人员讨论后提出项目设计变更内容；提交项目技术负责人审批后送交设计院审核，然后报给预决算测算设计变更造价；设计变更造价在5万元以下，由项目（执行）经理和数智化工装技术中心总经理并行审核后，项目办负责人审批。</w:t>
      </w:r>
    </w:p>
    <w:p w14:paraId="6E77A8E4">
      <w:pPr>
        <w:pStyle w:val="75"/>
        <w:numPr>
          <w:ilvl w:val="3"/>
          <w:numId w:val="10"/>
        </w:numPr>
        <w:ind w:left="284"/>
        <w:rPr>
          <w:color w:val="auto"/>
          <w:highlight w:val="none"/>
        </w:rPr>
      </w:pPr>
      <w:r>
        <w:rPr>
          <w:rFonts w:hint="eastAsia"/>
          <w:color w:val="auto"/>
          <w:highlight w:val="none"/>
        </w:rPr>
        <w:t>设计变更造价在5万元以上，由项目（执行）经理和数智化工装技术中心总经理并行审核后，项目办负责人审核和公司项目分管领导审批。</w:t>
      </w:r>
    </w:p>
    <w:p w14:paraId="0169E600">
      <w:pPr>
        <w:pStyle w:val="76"/>
        <w:numPr>
          <w:ilvl w:val="2"/>
          <w:numId w:val="10"/>
        </w:numPr>
        <w:spacing w:before="156" w:after="156"/>
        <w:rPr>
          <w:rFonts w:ascii="宋体" w:hAnsi="宋体" w:eastAsia="宋体" w:cs="宋体"/>
          <w:color w:val="auto"/>
          <w:highlight w:val="none"/>
        </w:rPr>
      </w:pPr>
      <w:r>
        <w:rPr>
          <w:rFonts w:hint="eastAsia" w:ascii="宋体" w:hAnsi="宋体" w:eastAsia="宋体" w:cs="宋体"/>
          <w:color w:val="auto"/>
          <w:highlight w:val="none"/>
        </w:rPr>
        <w:t>设计单位提出的设计变更审批程序：</w:t>
      </w:r>
    </w:p>
    <w:p w14:paraId="30795735">
      <w:pPr>
        <w:pStyle w:val="75"/>
        <w:numPr>
          <w:ilvl w:val="3"/>
          <w:numId w:val="10"/>
        </w:numPr>
        <w:ind w:left="284"/>
        <w:rPr>
          <w:color w:val="auto"/>
          <w:highlight w:val="none"/>
        </w:rPr>
      </w:pPr>
      <w:r>
        <w:rPr>
          <w:rFonts w:hint="eastAsia"/>
          <w:color w:val="auto"/>
          <w:highlight w:val="none"/>
        </w:rPr>
        <w:t>设计单位提出项目设计变更内容；送交项目专业设计人员，项目专业设计人员组织有关单位和部门的人员讨论审核，提交项目技术负责人审批后报给预决算测算设计变更造价；设计变更造价在5万元以下，由项目（执行）经理和数智化工装技术中心总经理并行审核后，项目办领导审批。</w:t>
      </w:r>
    </w:p>
    <w:p w14:paraId="423EE220">
      <w:pPr>
        <w:pStyle w:val="75"/>
        <w:numPr>
          <w:ilvl w:val="3"/>
          <w:numId w:val="10"/>
        </w:numPr>
        <w:ind w:left="284"/>
        <w:rPr>
          <w:color w:val="auto"/>
          <w:highlight w:val="none"/>
        </w:rPr>
      </w:pPr>
      <w:r>
        <w:rPr>
          <w:rFonts w:hint="eastAsia"/>
          <w:color w:val="auto"/>
          <w:highlight w:val="none"/>
        </w:rPr>
        <w:t>设计变更造价在5万元以上，由项目（执行）经理和数智化工装技术中心总经理并行审核后，项目办负责人审核和公司项目分管领导审批。</w:t>
      </w:r>
    </w:p>
    <w:p w14:paraId="29ED7BB9">
      <w:pPr>
        <w:pStyle w:val="76"/>
        <w:numPr>
          <w:ilvl w:val="2"/>
          <w:numId w:val="10"/>
        </w:numPr>
        <w:spacing w:before="156" w:after="156"/>
        <w:rPr>
          <w:rFonts w:ascii="宋体" w:hAnsi="宋体" w:eastAsia="宋体" w:cs="宋体"/>
          <w:color w:val="auto"/>
          <w:highlight w:val="none"/>
        </w:rPr>
      </w:pPr>
      <w:r>
        <w:rPr>
          <w:rFonts w:hint="eastAsia" w:ascii="宋体" w:hAnsi="宋体" w:eastAsia="宋体" w:cs="宋体"/>
          <w:color w:val="auto"/>
          <w:highlight w:val="none"/>
        </w:rPr>
        <w:t>施工单位提出的设计变更审批程序：</w:t>
      </w:r>
    </w:p>
    <w:p w14:paraId="30748729">
      <w:pPr>
        <w:pStyle w:val="75"/>
        <w:numPr>
          <w:ilvl w:val="3"/>
          <w:numId w:val="10"/>
        </w:numPr>
        <w:ind w:left="284"/>
        <w:rPr>
          <w:color w:val="auto"/>
          <w:highlight w:val="none"/>
        </w:rPr>
      </w:pPr>
      <w:r>
        <w:rPr>
          <w:rFonts w:hint="eastAsia"/>
          <w:color w:val="auto"/>
          <w:highlight w:val="none"/>
        </w:rPr>
        <w:t>施工单位提出项目设计变更内容；送交项目专业设计人员，项目专业设计人员组织有关单位和部门的人员讨论审核，提交项目技术负责人审批后送交设计院审核；然后报给预决算测算设计变更造价；设计变更造价在5万元以下，由项目（执行）经理和数智化工装技术中心总经理并行审核后，项目办负责人审批。</w:t>
      </w:r>
    </w:p>
    <w:p w14:paraId="1688FB23">
      <w:pPr>
        <w:pStyle w:val="75"/>
        <w:numPr>
          <w:ilvl w:val="3"/>
          <w:numId w:val="10"/>
        </w:numPr>
        <w:ind w:left="284"/>
        <w:rPr>
          <w:color w:val="auto"/>
          <w:highlight w:val="none"/>
        </w:rPr>
      </w:pPr>
      <w:r>
        <w:rPr>
          <w:rFonts w:hint="eastAsia"/>
          <w:color w:val="auto"/>
          <w:highlight w:val="none"/>
        </w:rPr>
        <w:t>设计变更造价在5万元以上，由项目（执行）经理和数智化工装技术中心总经理并行审核后，项目办负责人审核和公司项目分管领导审批。</w:t>
      </w:r>
    </w:p>
    <w:bookmarkEnd w:id="567"/>
    <w:p w14:paraId="4DE6CE46">
      <w:pPr>
        <w:pStyle w:val="70"/>
        <w:numPr>
          <w:ilvl w:val="0"/>
          <w:numId w:val="10"/>
        </w:numPr>
        <w:spacing w:before="312" w:after="312"/>
        <w:rPr>
          <w:color w:val="auto"/>
          <w:szCs w:val="21"/>
          <w:highlight w:val="none"/>
        </w:rPr>
      </w:pPr>
      <w:r>
        <w:rPr>
          <w:rFonts w:hint="eastAsia"/>
          <w:color w:val="auto"/>
          <w:szCs w:val="21"/>
          <w:highlight w:val="none"/>
        </w:rPr>
        <w:t>监督管理要求</w:t>
      </w:r>
    </w:p>
    <w:p w14:paraId="0274C88E">
      <w:pPr>
        <w:pStyle w:val="72"/>
        <w:numPr>
          <w:ilvl w:val="1"/>
          <w:numId w:val="10"/>
        </w:numPr>
        <w:spacing w:before="156" w:after="156"/>
        <w:rPr>
          <w:rFonts w:ascii="宋体" w:hAnsi="宋体" w:eastAsia="宋体" w:cs="宋体"/>
          <w:color w:val="auto"/>
          <w:highlight w:val="none"/>
        </w:rPr>
      </w:pPr>
      <w:bookmarkStart w:id="576" w:name="_Hlk153955397"/>
      <w:r>
        <w:rPr>
          <w:rFonts w:hint="eastAsia" w:ascii="宋体" w:hAnsi="宋体" w:eastAsia="宋体" w:cs="宋体"/>
          <w:color w:val="auto"/>
          <w:highlight w:val="none"/>
        </w:rPr>
        <w:t>一般变更：由项目（执行）经理根据变更原因提出考核建议，由项目办领导审核，并经公司项目分管领导审批后，出具考核单。考核金额为从当月绩效中减发100-500元/次。完善手续后提交人力资源部进行考核。</w:t>
      </w:r>
    </w:p>
    <w:p w14:paraId="41BA6FD9">
      <w:pPr>
        <w:pStyle w:val="72"/>
        <w:numPr>
          <w:ilvl w:val="1"/>
          <w:numId w:val="10"/>
        </w:numPr>
        <w:spacing w:before="156" w:after="156"/>
        <w:rPr>
          <w:rFonts w:ascii="宋体" w:hAnsi="宋体" w:eastAsia="宋体" w:cs="宋体"/>
          <w:color w:val="auto"/>
          <w:highlight w:val="none"/>
        </w:rPr>
      </w:pPr>
      <w:r>
        <w:rPr>
          <w:rFonts w:hint="eastAsia" w:ascii="宋体" w:hAnsi="宋体" w:eastAsia="宋体" w:cs="宋体"/>
          <w:color w:val="auto"/>
          <w:highlight w:val="none"/>
        </w:rPr>
        <w:t>重大变更：由项目（执行）经理根据变更原因判定是否提报考核，并提出考核建议，由项目办领导审核，并经公司项目分管领导审批后，出具考核单。考核责任部门绩效2000-10000元/次，同时考核相关责任人200-1000元/次。完善手续后提交人力资源部进行考核。</w:t>
      </w:r>
    </w:p>
    <w:p w14:paraId="500B0F86">
      <w:pPr>
        <w:pStyle w:val="72"/>
        <w:numPr>
          <w:ilvl w:val="1"/>
          <w:numId w:val="10"/>
        </w:numPr>
        <w:spacing w:before="156" w:after="156"/>
        <w:rPr>
          <w:rFonts w:ascii="宋体" w:hAnsi="宋体" w:eastAsia="宋体" w:cs="宋体"/>
          <w:color w:val="auto"/>
          <w:highlight w:val="none"/>
        </w:rPr>
      </w:pPr>
      <w:r>
        <w:rPr>
          <w:rFonts w:hint="eastAsia" w:ascii="宋体" w:hAnsi="宋体" w:eastAsia="宋体" w:cs="宋体"/>
          <w:color w:val="auto"/>
          <w:highlight w:val="none"/>
        </w:rPr>
        <w:t>时效性考核：如果没有在规定的时间内完成，考核100元/次。</w:t>
      </w:r>
    </w:p>
    <w:p w14:paraId="65D8E10F">
      <w:pPr>
        <w:pStyle w:val="72"/>
        <w:numPr>
          <w:ilvl w:val="1"/>
          <w:numId w:val="10"/>
        </w:numPr>
        <w:spacing w:before="156" w:after="156"/>
        <w:rPr>
          <w:rFonts w:ascii="宋体" w:hAnsi="宋体" w:eastAsia="宋体" w:cs="宋体"/>
          <w:color w:val="auto"/>
          <w:highlight w:val="none"/>
        </w:rPr>
      </w:pPr>
      <w:r>
        <w:rPr>
          <w:rFonts w:hint="eastAsia" w:ascii="宋体" w:hAnsi="宋体" w:eastAsia="宋体" w:cs="宋体"/>
          <w:color w:val="auto"/>
          <w:highlight w:val="none"/>
        </w:rPr>
        <w:t>若同时进行了项目变更和设计变更，项目变更时已进行了考核，则不重复考核。</w:t>
      </w:r>
    </w:p>
    <w:p w14:paraId="6F453F53">
      <w:pPr>
        <w:pStyle w:val="72"/>
        <w:numPr>
          <w:ilvl w:val="1"/>
          <w:numId w:val="10"/>
        </w:numPr>
        <w:spacing w:before="156" w:after="156"/>
        <w:rPr>
          <w:rFonts w:ascii="宋体" w:hAnsi="宋体" w:eastAsia="宋体" w:cs="宋体"/>
          <w:color w:val="auto"/>
          <w:highlight w:val="none"/>
        </w:rPr>
      </w:pPr>
      <w:r>
        <w:rPr>
          <w:rFonts w:hint="eastAsia" w:ascii="宋体" w:hAnsi="宋体" w:eastAsia="宋体" w:cs="宋体"/>
          <w:color w:val="auto"/>
          <w:highlight w:val="none"/>
        </w:rPr>
        <w:t>由设计院发起的设计变更，对公司造成实质性损失的，由数智化工装技术中心相关人员依据合同约定提出考核。</w:t>
      </w:r>
    </w:p>
    <w:p w14:paraId="1261F250">
      <w:pPr>
        <w:pStyle w:val="72"/>
        <w:numPr>
          <w:ilvl w:val="1"/>
          <w:numId w:val="10"/>
        </w:numPr>
        <w:spacing w:before="156" w:after="156"/>
        <w:rPr>
          <w:rFonts w:ascii="宋体" w:hAnsi="宋体" w:eastAsia="宋体" w:cs="宋体"/>
          <w:color w:val="auto"/>
          <w:highlight w:val="none"/>
        </w:rPr>
      </w:pPr>
      <w:r>
        <w:rPr>
          <w:rFonts w:hint="eastAsia" w:ascii="宋体" w:hAnsi="宋体" w:eastAsia="宋体" w:cs="宋体"/>
          <w:color w:val="auto"/>
          <w:highlight w:val="none"/>
        </w:rPr>
        <w:t>由施工单位发起的设计变更，对公司造成实质性损失的，由项目办相关人员依据合同约定提出考核。</w:t>
      </w:r>
    </w:p>
    <w:bookmarkEnd w:id="568"/>
    <w:bookmarkEnd w:id="569"/>
    <w:bookmarkEnd w:id="570"/>
    <w:bookmarkEnd w:id="571"/>
    <w:bookmarkEnd w:id="572"/>
    <w:bookmarkEnd w:id="573"/>
    <w:bookmarkEnd w:id="574"/>
    <w:bookmarkEnd w:id="575"/>
    <w:bookmarkEnd w:id="576"/>
    <w:p w14:paraId="78E94BDD">
      <w:pPr>
        <w:jc w:val="center"/>
        <w:rPr>
          <w:color w:val="auto"/>
          <w:highlight w:val="none"/>
        </w:rPr>
      </w:pPr>
      <w:bookmarkStart w:id="577" w:name="_Toc20393"/>
      <w:bookmarkStart w:id="578" w:name="_Toc21804"/>
      <w:bookmarkStart w:id="579" w:name="_Toc9166"/>
    </w:p>
    <w:p w14:paraId="42C9950C">
      <w:pPr>
        <w:jc w:val="center"/>
        <w:rPr>
          <w:color w:val="auto"/>
          <w:highlight w:val="none"/>
        </w:rPr>
      </w:pPr>
    </w:p>
    <w:p w14:paraId="79810779">
      <w:pPr>
        <w:jc w:val="center"/>
        <w:rPr>
          <w:color w:val="auto"/>
          <w:highlight w:val="none"/>
        </w:rPr>
      </w:pPr>
    </w:p>
    <w:p w14:paraId="1AFBB03C">
      <w:pPr>
        <w:jc w:val="center"/>
        <w:rPr>
          <w:color w:val="auto"/>
          <w:highlight w:val="none"/>
        </w:rPr>
      </w:pPr>
    </w:p>
    <w:p w14:paraId="6F6DB09E">
      <w:pPr>
        <w:jc w:val="center"/>
        <w:rPr>
          <w:color w:val="auto"/>
          <w:highlight w:val="none"/>
        </w:rPr>
      </w:pPr>
    </w:p>
    <w:p w14:paraId="02B4FA01">
      <w:pPr>
        <w:jc w:val="center"/>
        <w:rPr>
          <w:color w:val="auto"/>
          <w:highlight w:val="none"/>
        </w:rPr>
      </w:pPr>
    </w:p>
    <w:p w14:paraId="6F209E15">
      <w:pPr>
        <w:rPr>
          <w:color w:val="auto"/>
          <w:highlight w:val="none"/>
        </w:rPr>
      </w:pPr>
    </w:p>
    <w:p w14:paraId="685A34BE">
      <w:pPr>
        <w:rPr>
          <w:color w:val="auto"/>
          <w:highlight w:val="none"/>
        </w:rPr>
      </w:pPr>
    </w:p>
    <w:p w14:paraId="6D92C868">
      <w:pPr>
        <w:jc w:val="center"/>
        <w:rPr>
          <w:color w:val="auto"/>
          <w:highlight w:val="none"/>
        </w:rPr>
      </w:pPr>
      <w:r>
        <w:rPr>
          <w:color w:val="auto"/>
          <w:highlight w:val="none"/>
        </w:rPr>
        <w:br w:type="page"/>
      </w:r>
    </w:p>
    <w:p w14:paraId="0231435C">
      <w:pPr>
        <w:jc w:val="center"/>
        <w:rPr>
          <w:color w:val="auto"/>
          <w:sz w:val="36"/>
          <w:szCs w:val="36"/>
          <w:highlight w:val="none"/>
        </w:rPr>
      </w:pPr>
      <w:r>
        <w:rPr>
          <w:rFonts w:hint="eastAsia"/>
          <w:color w:val="auto"/>
          <w:highlight w:val="none"/>
        </w:rPr>
        <w:t>附录A</w:t>
      </w:r>
      <w:r>
        <w:rPr>
          <w:color w:val="auto"/>
          <w:highlight w:val="none"/>
        </w:rPr>
        <w:br w:type="textWrapping"/>
      </w:r>
      <w:r>
        <w:rPr>
          <w:rFonts w:hint="eastAsia"/>
          <w:color w:val="auto"/>
          <w:highlight w:val="none"/>
        </w:rPr>
        <w:t>（规范性附录）</w:t>
      </w:r>
      <w:r>
        <w:rPr>
          <w:color w:val="auto"/>
          <w:highlight w:val="none"/>
        </w:rPr>
        <w:br w:type="textWrapping"/>
      </w:r>
      <w:r>
        <w:rPr>
          <w:rFonts w:hint="eastAsia"/>
          <w:color w:val="auto"/>
          <w:szCs w:val="21"/>
          <w:highlight w:val="none"/>
        </w:rPr>
        <w:t>项目设计变更纪要</w:t>
      </w:r>
    </w:p>
    <w:p w14:paraId="672B47B4">
      <w:pPr>
        <w:pStyle w:val="67"/>
        <w:jc w:val="left"/>
        <w:rPr>
          <w:color w:val="auto"/>
          <w:szCs w:val="21"/>
          <w:highlight w:val="none"/>
          <w:u w:val="single"/>
        </w:rPr>
      </w:pPr>
      <w:r>
        <w:rPr>
          <w:rFonts w:hint="eastAsia"/>
          <w:color w:val="auto"/>
          <w:szCs w:val="21"/>
          <w:highlight w:val="none"/>
        </w:rPr>
        <w:t>单位：</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记录编号</w:t>
      </w:r>
      <w:r>
        <w:rPr>
          <w:rFonts w:hint="eastAsia"/>
          <w:color w:val="auto"/>
          <w:szCs w:val="21"/>
          <w:highlight w:val="none"/>
          <w:u w:val="single"/>
        </w:rPr>
        <w:t xml:space="preserve">：J/SZ </w:t>
      </w:r>
      <w:r>
        <w:rPr>
          <w:color w:val="auto"/>
          <w:szCs w:val="21"/>
          <w:highlight w:val="none"/>
          <w:u w:val="single"/>
        </w:rPr>
        <w:t>S05.007.3-1</w:t>
      </w:r>
      <w:r>
        <w:rPr>
          <w:color w:val="auto"/>
          <w:szCs w:val="21"/>
          <w:highlight w:val="none"/>
        </w:rPr>
        <w:t xml:space="preserve">               </w:t>
      </w:r>
      <w:r>
        <w:rPr>
          <w:rFonts w:hint="eastAsia"/>
          <w:color w:val="auto"/>
          <w:szCs w:val="21"/>
          <w:highlight w:val="none"/>
        </w:rPr>
        <w:t xml:space="preserve">保存期 </w:t>
      </w:r>
      <w:r>
        <w:rPr>
          <w:rFonts w:hint="eastAsia"/>
          <w:color w:val="auto"/>
          <w:szCs w:val="21"/>
          <w:highlight w:val="none"/>
          <w:u w:val="single"/>
        </w:rPr>
        <w:t>长期</w:t>
      </w:r>
    </w:p>
    <w:tbl>
      <w:tblPr>
        <w:tblStyle w:val="20"/>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130"/>
        <w:gridCol w:w="2131"/>
        <w:gridCol w:w="2704"/>
      </w:tblGrid>
      <w:tr w14:paraId="0C7ED4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tcPr>
          <w:p w14:paraId="533E6682">
            <w:pPr>
              <w:jc w:val="center"/>
              <w:rPr>
                <w:rFonts w:ascii="宋体"/>
                <w:color w:val="auto"/>
                <w:szCs w:val="21"/>
                <w:highlight w:val="none"/>
              </w:rPr>
            </w:pPr>
            <w:r>
              <w:rPr>
                <w:rFonts w:hint="eastAsia" w:ascii="宋体"/>
                <w:color w:val="auto"/>
                <w:szCs w:val="21"/>
                <w:highlight w:val="none"/>
              </w:rPr>
              <w:t>项目名称</w:t>
            </w:r>
          </w:p>
        </w:tc>
        <w:tc>
          <w:tcPr>
            <w:tcW w:w="6965" w:type="dxa"/>
            <w:gridSpan w:val="3"/>
          </w:tcPr>
          <w:p w14:paraId="5CD642DC">
            <w:pPr>
              <w:jc w:val="center"/>
              <w:rPr>
                <w:rFonts w:ascii="宋体"/>
                <w:color w:val="auto"/>
                <w:szCs w:val="21"/>
                <w:highlight w:val="none"/>
              </w:rPr>
            </w:pPr>
          </w:p>
        </w:tc>
      </w:tr>
      <w:tr w14:paraId="3440DB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tcPr>
          <w:p w14:paraId="617B9052">
            <w:pPr>
              <w:jc w:val="center"/>
              <w:rPr>
                <w:rFonts w:ascii="宋体"/>
                <w:color w:val="auto"/>
                <w:szCs w:val="21"/>
                <w:highlight w:val="none"/>
              </w:rPr>
            </w:pPr>
            <w:r>
              <w:rPr>
                <w:rFonts w:hint="eastAsia" w:ascii="宋体"/>
                <w:color w:val="auto"/>
                <w:szCs w:val="21"/>
                <w:highlight w:val="none"/>
              </w:rPr>
              <w:t>主 持 人</w:t>
            </w:r>
          </w:p>
        </w:tc>
        <w:tc>
          <w:tcPr>
            <w:tcW w:w="2130" w:type="dxa"/>
          </w:tcPr>
          <w:p w14:paraId="76D5AA0D">
            <w:pPr>
              <w:jc w:val="center"/>
              <w:rPr>
                <w:rFonts w:ascii="宋体"/>
                <w:color w:val="auto"/>
                <w:szCs w:val="21"/>
                <w:highlight w:val="none"/>
              </w:rPr>
            </w:pPr>
          </w:p>
        </w:tc>
        <w:tc>
          <w:tcPr>
            <w:tcW w:w="2131" w:type="dxa"/>
          </w:tcPr>
          <w:p w14:paraId="6D96848E">
            <w:pPr>
              <w:jc w:val="center"/>
              <w:rPr>
                <w:rFonts w:ascii="宋体"/>
                <w:color w:val="auto"/>
                <w:szCs w:val="21"/>
                <w:highlight w:val="none"/>
              </w:rPr>
            </w:pPr>
            <w:r>
              <w:rPr>
                <w:rFonts w:hint="eastAsia" w:ascii="宋体"/>
                <w:color w:val="auto"/>
                <w:szCs w:val="21"/>
                <w:highlight w:val="none"/>
              </w:rPr>
              <w:t>组织部门</w:t>
            </w:r>
          </w:p>
        </w:tc>
        <w:tc>
          <w:tcPr>
            <w:tcW w:w="2704" w:type="dxa"/>
          </w:tcPr>
          <w:p w14:paraId="39433369">
            <w:pPr>
              <w:jc w:val="center"/>
              <w:rPr>
                <w:rFonts w:ascii="宋体"/>
                <w:color w:val="auto"/>
                <w:szCs w:val="21"/>
                <w:highlight w:val="none"/>
              </w:rPr>
            </w:pPr>
          </w:p>
        </w:tc>
      </w:tr>
      <w:tr w14:paraId="7A82C8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tcPr>
          <w:p w14:paraId="3D5877EA">
            <w:pPr>
              <w:jc w:val="center"/>
              <w:rPr>
                <w:rFonts w:ascii="宋体"/>
                <w:color w:val="auto"/>
                <w:szCs w:val="21"/>
                <w:highlight w:val="none"/>
              </w:rPr>
            </w:pPr>
            <w:r>
              <w:rPr>
                <w:rFonts w:hint="eastAsia" w:ascii="宋体"/>
                <w:color w:val="auto"/>
                <w:szCs w:val="21"/>
                <w:highlight w:val="none"/>
              </w:rPr>
              <w:t>会议时间</w:t>
            </w:r>
          </w:p>
        </w:tc>
        <w:tc>
          <w:tcPr>
            <w:tcW w:w="2130" w:type="dxa"/>
          </w:tcPr>
          <w:p w14:paraId="3874D8D8">
            <w:pPr>
              <w:jc w:val="center"/>
              <w:rPr>
                <w:rFonts w:ascii="宋体"/>
                <w:color w:val="auto"/>
                <w:szCs w:val="21"/>
                <w:highlight w:val="none"/>
              </w:rPr>
            </w:pPr>
          </w:p>
        </w:tc>
        <w:tc>
          <w:tcPr>
            <w:tcW w:w="2131" w:type="dxa"/>
          </w:tcPr>
          <w:p w14:paraId="2202E253">
            <w:pPr>
              <w:jc w:val="center"/>
              <w:rPr>
                <w:rFonts w:ascii="宋体"/>
                <w:color w:val="auto"/>
                <w:szCs w:val="21"/>
                <w:highlight w:val="none"/>
              </w:rPr>
            </w:pPr>
            <w:r>
              <w:rPr>
                <w:rFonts w:hint="eastAsia" w:ascii="宋体"/>
                <w:color w:val="auto"/>
                <w:szCs w:val="21"/>
                <w:highlight w:val="none"/>
              </w:rPr>
              <w:t>会议地点</w:t>
            </w:r>
          </w:p>
        </w:tc>
        <w:tc>
          <w:tcPr>
            <w:tcW w:w="2704" w:type="dxa"/>
          </w:tcPr>
          <w:p w14:paraId="5DD105A8">
            <w:pPr>
              <w:jc w:val="center"/>
              <w:rPr>
                <w:rFonts w:ascii="宋体"/>
                <w:color w:val="auto"/>
                <w:szCs w:val="21"/>
                <w:highlight w:val="none"/>
              </w:rPr>
            </w:pPr>
          </w:p>
        </w:tc>
      </w:tr>
      <w:tr w14:paraId="50FDAB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tcPr>
          <w:p w14:paraId="5D1A309B">
            <w:pPr>
              <w:jc w:val="center"/>
              <w:rPr>
                <w:rFonts w:ascii="宋体"/>
                <w:color w:val="auto"/>
                <w:szCs w:val="21"/>
                <w:highlight w:val="none"/>
              </w:rPr>
            </w:pPr>
            <w:r>
              <w:rPr>
                <w:rFonts w:hint="eastAsia" w:ascii="宋体"/>
                <w:color w:val="auto"/>
                <w:szCs w:val="21"/>
                <w:highlight w:val="none"/>
              </w:rPr>
              <w:t>设计变更名称</w:t>
            </w:r>
          </w:p>
        </w:tc>
        <w:tc>
          <w:tcPr>
            <w:tcW w:w="6965" w:type="dxa"/>
            <w:gridSpan w:val="3"/>
          </w:tcPr>
          <w:p w14:paraId="3F2C72D5">
            <w:pPr>
              <w:jc w:val="center"/>
              <w:rPr>
                <w:rFonts w:ascii="宋体"/>
                <w:color w:val="auto"/>
                <w:szCs w:val="21"/>
                <w:highlight w:val="none"/>
              </w:rPr>
            </w:pPr>
          </w:p>
        </w:tc>
      </w:tr>
      <w:tr w14:paraId="32FDDA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88" w:hRule="atLeast"/>
          <w:jc w:val="center"/>
        </w:trPr>
        <w:tc>
          <w:tcPr>
            <w:tcW w:w="9095" w:type="dxa"/>
            <w:gridSpan w:val="4"/>
          </w:tcPr>
          <w:p w14:paraId="7D498C09">
            <w:pPr>
              <w:rPr>
                <w:rFonts w:ascii="宋体"/>
                <w:color w:val="auto"/>
                <w:szCs w:val="21"/>
                <w:highlight w:val="none"/>
              </w:rPr>
            </w:pPr>
            <w:r>
              <w:rPr>
                <w:rFonts w:hint="eastAsia" w:ascii="宋体"/>
                <w:color w:val="auto"/>
                <w:szCs w:val="21"/>
                <w:highlight w:val="none"/>
              </w:rPr>
              <w:t>参会人员签字：</w:t>
            </w:r>
          </w:p>
          <w:p w14:paraId="0DC013C3">
            <w:pPr>
              <w:jc w:val="left"/>
              <w:rPr>
                <w:rFonts w:ascii="宋体"/>
                <w:color w:val="auto"/>
                <w:szCs w:val="21"/>
                <w:highlight w:val="none"/>
              </w:rPr>
            </w:pPr>
          </w:p>
          <w:p w14:paraId="6CBBB0EA">
            <w:pPr>
              <w:rPr>
                <w:rFonts w:ascii="宋体"/>
                <w:color w:val="auto"/>
                <w:szCs w:val="21"/>
                <w:highlight w:val="none"/>
              </w:rPr>
            </w:pPr>
          </w:p>
          <w:p w14:paraId="77C2B729">
            <w:pPr>
              <w:rPr>
                <w:rFonts w:ascii="宋体"/>
                <w:color w:val="auto"/>
                <w:szCs w:val="21"/>
                <w:highlight w:val="none"/>
              </w:rPr>
            </w:pPr>
          </w:p>
          <w:p w14:paraId="1AA7B818">
            <w:pPr>
              <w:rPr>
                <w:rFonts w:ascii="宋体"/>
                <w:color w:val="auto"/>
                <w:szCs w:val="21"/>
                <w:highlight w:val="none"/>
              </w:rPr>
            </w:pPr>
          </w:p>
          <w:p w14:paraId="741C5E8F">
            <w:pPr>
              <w:rPr>
                <w:rFonts w:ascii="宋体"/>
                <w:color w:val="auto"/>
                <w:szCs w:val="21"/>
                <w:highlight w:val="none"/>
              </w:rPr>
            </w:pPr>
          </w:p>
          <w:p w14:paraId="07AB6F98">
            <w:pPr>
              <w:rPr>
                <w:rFonts w:ascii="宋体"/>
                <w:color w:val="auto"/>
                <w:szCs w:val="21"/>
                <w:highlight w:val="none"/>
              </w:rPr>
            </w:pPr>
          </w:p>
        </w:tc>
      </w:tr>
      <w:tr w14:paraId="00A815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9095" w:type="dxa"/>
            <w:gridSpan w:val="4"/>
          </w:tcPr>
          <w:p w14:paraId="51A2CFAB">
            <w:pPr>
              <w:rPr>
                <w:rFonts w:ascii="宋体"/>
                <w:color w:val="auto"/>
                <w:szCs w:val="21"/>
                <w:highlight w:val="none"/>
              </w:rPr>
            </w:pPr>
            <w:r>
              <w:rPr>
                <w:rFonts w:hint="eastAsia" w:ascii="宋体"/>
                <w:color w:val="auto"/>
                <w:szCs w:val="21"/>
                <w:highlight w:val="none"/>
              </w:rPr>
              <w:t>设计变更会议内容：</w:t>
            </w:r>
          </w:p>
          <w:p w14:paraId="4D97A554">
            <w:pPr>
              <w:rPr>
                <w:rFonts w:ascii="宋体"/>
                <w:b/>
                <w:color w:val="auto"/>
                <w:szCs w:val="21"/>
                <w:highlight w:val="none"/>
              </w:rPr>
            </w:pPr>
          </w:p>
          <w:p w14:paraId="11D580CA">
            <w:pPr>
              <w:rPr>
                <w:rFonts w:ascii="宋体"/>
                <w:b/>
                <w:color w:val="auto"/>
                <w:szCs w:val="21"/>
                <w:highlight w:val="none"/>
              </w:rPr>
            </w:pPr>
          </w:p>
          <w:p w14:paraId="64047663">
            <w:pPr>
              <w:rPr>
                <w:rFonts w:ascii="宋体"/>
                <w:b/>
                <w:color w:val="auto"/>
                <w:szCs w:val="21"/>
                <w:highlight w:val="none"/>
              </w:rPr>
            </w:pPr>
          </w:p>
          <w:p w14:paraId="0F77B408">
            <w:pPr>
              <w:rPr>
                <w:rFonts w:ascii="宋体"/>
                <w:b/>
                <w:color w:val="auto"/>
                <w:szCs w:val="21"/>
                <w:highlight w:val="none"/>
              </w:rPr>
            </w:pPr>
          </w:p>
          <w:p w14:paraId="3B0A32FC">
            <w:pPr>
              <w:rPr>
                <w:rFonts w:ascii="宋体"/>
                <w:b/>
                <w:color w:val="auto"/>
                <w:szCs w:val="21"/>
                <w:highlight w:val="none"/>
              </w:rPr>
            </w:pPr>
          </w:p>
          <w:p w14:paraId="303FEAEC">
            <w:pPr>
              <w:rPr>
                <w:rFonts w:ascii="宋体"/>
                <w:b/>
                <w:color w:val="auto"/>
                <w:szCs w:val="21"/>
                <w:highlight w:val="none"/>
              </w:rPr>
            </w:pPr>
          </w:p>
          <w:p w14:paraId="45D616C2">
            <w:pPr>
              <w:rPr>
                <w:rFonts w:ascii="宋体"/>
                <w:b/>
                <w:color w:val="auto"/>
                <w:szCs w:val="21"/>
                <w:highlight w:val="none"/>
              </w:rPr>
            </w:pPr>
          </w:p>
          <w:p w14:paraId="7C07F3E6">
            <w:pPr>
              <w:rPr>
                <w:rFonts w:ascii="宋体"/>
                <w:b/>
                <w:color w:val="auto"/>
                <w:szCs w:val="21"/>
                <w:highlight w:val="none"/>
              </w:rPr>
            </w:pPr>
          </w:p>
          <w:p w14:paraId="7ADF678D">
            <w:pPr>
              <w:rPr>
                <w:rFonts w:ascii="宋体"/>
                <w:b/>
                <w:color w:val="auto"/>
                <w:szCs w:val="21"/>
                <w:highlight w:val="none"/>
              </w:rPr>
            </w:pPr>
          </w:p>
          <w:p w14:paraId="427DE078">
            <w:pPr>
              <w:rPr>
                <w:rFonts w:ascii="宋体"/>
                <w:b/>
                <w:color w:val="auto"/>
                <w:szCs w:val="21"/>
                <w:highlight w:val="none"/>
              </w:rPr>
            </w:pPr>
          </w:p>
          <w:p w14:paraId="22296B16">
            <w:pPr>
              <w:rPr>
                <w:rFonts w:ascii="宋体"/>
                <w:b/>
                <w:color w:val="auto"/>
                <w:szCs w:val="21"/>
                <w:highlight w:val="none"/>
              </w:rPr>
            </w:pPr>
          </w:p>
          <w:p w14:paraId="6EB1D178">
            <w:pPr>
              <w:rPr>
                <w:rFonts w:ascii="宋体"/>
                <w:b/>
                <w:color w:val="auto"/>
                <w:szCs w:val="21"/>
                <w:highlight w:val="none"/>
              </w:rPr>
            </w:pPr>
          </w:p>
          <w:p w14:paraId="7E45AA10">
            <w:pPr>
              <w:rPr>
                <w:rFonts w:ascii="宋体"/>
                <w:b/>
                <w:color w:val="auto"/>
                <w:szCs w:val="21"/>
                <w:highlight w:val="none"/>
              </w:rPr>
            </w:pPr>
          </w:p>
          <w:p w14:paraId="10A09A8D">
            <w:pPr>
              <w:rPr>
                <w:rFonts w:ascii="宋体"/>
                <w:b/>
                <w:color w:val="auto"/>
                <w:szCs w:val="21"/>
                <w:highlight w:val="none"/>
              </w:rPr>
            </w:pPr>
          </w:p>
          <w:p w14:paraId="59C5503B">
            <w:pPr>
              <w:rPr>
                <w:rFonts w:ascii="宋体"/>
                <w:b/>
                <w:color w:val="auto"/>
                <w:szCs w:val="21"/>
                <w:highlight w:val="none"/>
              </w:rPr>
            </w:pPr>
          </w:p>
          <w:p w14:paraId="089CFDBF">
            <w:pPr>
              <w:ind w:right="240"/>
              <w:jc w:val="right"/>
              <w:rPr>
                <w:rFonts w:ascii="宋体"/>
                <w:color w:val="auto"/>
                <w:szCs w:val="21"/>
                <w:highlight w:val="none"/>
              </w:rPr>
            </w:pPr>
          </w:p>
        </w:tc>
      </w:tr>
      <w:tr w14:paraId="5A6BBC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2130" w:type="dxa"/>
            <w:vAlign w:val="center"/>
          </w:tcPr>
          <w:p w14:paraId="59347F96">
            <w:pPr>
              <w:jc w:val="center"/>
              <w:rPr>
                <w:rFonts w:ascii="宋体"/>
                <w:color w:val="auto"/>
                <w:szCs w:val="21"/>
                <w:highlight w:val="none"/>
              </w:rPr>
            </w:pPr>
            <w:r>
              <w:rPr>
                <w:rFonts w:hint="eastAsia" w:ascii="宋体"/>
                <w:color w:val="auto"/>
                <w:szCs w:val="21"/>
                <w:highlight w:val="none"/>
              </w:rPr>
              <w:t>记录人</w:t>
            </w:r>
          </w:p>
        </w:tc>
        <w:tc>
          <w:tcPr>
            <w:tcW w:w="2130" w:type="dxa"/>
            <w:vAlign w:val="center"/>
          </w:tcPr>
          <w:p w14:paraId="4F98D9CF">
            <w:pPr>
              <w:rPr>
                <w:rFonts w:ascii="宋体"/>
                <w:color w:val="auto"/>
                <w:szCs w:val="21"/>
                <w:highlight w:val="none"/>
              </w:rPr>
            </w:pPr>
          </w:p>
        </w:tc>
        <w:tc>
          <w:tcPr>
            <w:tcW w:w="2131" w:type="dxa"/>
            <w:vAlign w:val="center"/>
          </w:tcPr>
          <w:p w14:paraId="31793D76">
            <w:pPr>
              <w:jc w:val="center"/>
              <w:rPr>
                <w:rFonts w:ascii="宋体"/>
                <w:color w:val="auto"/>
                <w:szCs w:val="21"/>
                <w:highlight w:val="none"/>
              </w:rPr>
            </w:pPr>
            <w:r>
              <w:rPr>
                <w:rFonts w:hint="eastAsia" w:ascii="宋体"/>
                <w:color w:val="auto"/>
                <w:szCs w:val="21"/>
                <w:highlight w:val="none"/>
              </w:rPr>
              <w:t>审核</w:t>
            </w:r>
          </w:p>
        </w:tc>
        <w:tc>
          <w:tcPr>
            <w:tcW w:w="2704" w:type="dxa"/>
            <w:vAlign w:val="center"/>
          </w:tcPr>
          <w:p w14:paraId="396FBEE3">
            <w:pPr>
              <w:rPr>
                <w:rFonts w:ascii="宋体"/>
                <w:color w:val="auto"/>
                <w:szCs w:val="21"/>
                <w:highlight w:val="none"/>
              </w:rPr>
            </w:pPr>
          </w:p>
        </w:tc>
      </w:tr>
    </w:tbl>
    <w:p w14:paraId="283EB57C">
      <w:pPr>
        <w:jc w:val="center"/>
        <w:rPr>
          <w:color w:val="auto"/>
          <w:highlight w:val="none"/>
        </w:rPr>
      </w:pPr>
    </w:p>
    <w:p w14:paraId="35B98A98">
      <w:pPr>
        <w:jc w:val="center"/>
        <w:rPr>
          <w:color w:val="auto"/>
          <w:highlight w:val="none"/>
        </w:rPr>
      </w:pPr>
    </w:p>
    <w:p w14:paraId="2AF7C4DB">
      <w:pPr>
        <w:jc w:val="center"/>
        <w:rPr>
          <w:color w:val="auto"/>
          <w:highlight w:val="none"/>
        </w:rPr>
      </w:pPr>
    </w:p>
    <w:p w14:paraId="2F03CFDF">
      <w:pPr>
        <w:rPr>
          <w:color w:val="auto"/>
          <w:highlight w:val="none"/>
        </w:rPr>
      </w:pPr>
    </w:p>
    <w:p w14:paraId="7D0DE1FF">
      <w:pPr>
        <w:jc w:val="center"/>
        <w:rPr>
          <w:color w:val="auto"/>
          <w:highlight w:val="none"/>
        </w:rPr>
      </w:pPr>
    </w:p>
    <w:p w14:paraId="10C96E88">
      <w:pPr>
        <w:jc w:val="center"/>
        <w:rPr>
          <w:color w:val="auto"/>
          <w:highlight w:val="none"/>
        </w:rPr>
      </w:pPr>
    </w:p>
    <w:bookmarkEnd w:id="577"/>
    <w:bookmarkEnd w:id="578"/>
    <w:bookmarkEnd w:id="579"/>
    <w:p w14:paraId="0E3443D9">
      <w:pPr>
        <w:jc w:val="center"/>
        <w:rPr>
          <w:color w:val="auto"/>
          <w:highlight w:val="none"/>
        </w:rPr>
      </w:pPr>
      <w:bookmarkStart w:id="580" w:name="_Toc7361"/>
      <w:bookmarkEnd w:id="580"/>
      <w:bookmarkStart w:id="581" w:name="_Toc17657"/>
      <w:bookmarkEnd w:id="581"/>
      <w:bookmarkStart w:id="582" w:name="_Toc6085"/>
      <w:bookmarkEnd w:id="582"/>
      <w:bookmarkStart w:id="583" w:name="_Toc12503"/>
      <w:bookmarkEnd w:id="583"/>
      <w:r>
        <w:rPr>
          <w:rFonts w:hint="eastAsia"/>
          <w:color w:val="auto"/>
          <w:highlight w:val="none"/>
        </w:rPr>
        <w:t>附录B</w:t>
      </w:r>
      <w:r>
        <w:rPr>
          <w:color w:val="auto"/>
          <w:highlight w:val="none"/>
        </w:rPr>
        <w:br w:type="textWrapping"/>
      </w:r>
      <w:r>
        <w:rPr>
          <w:rFonts w:hint="eastAsia"/>
          <w:color w:val="auto"/>
          <w:highlight w:val="none"/>
        </w:rPr>
        <w:t>（规范性附录）</w:t>
      </w:r>
    </w:p>
    <w:p w14:paraId="42CAD59D">
      <w:pPr>
        <w:jc w:val="center"/>
        <w:rPr>
          <w:color w:val="auto"/>
          <w:highlight w:val="none"/>
        </w:rPr>
      </w:pPr>
      <w:r>
        <w:rPr>
          <w:rFonts w:hint="eastAsia"/>
          <w:color w:val="auto"/>
          <w:highlight w:val="none"/>
        </w:rPr>
        <w:t>工程设计变更申请审批表（建设单位）</w:t>
      </w:r>
    </w:p>
    <w:p w14:paraId="2ABE5565">
      <w:pPr>
        <w:pStyle w:val="67"/>
        <w:ind w:firstLine="630" w:firstLineChars="300"/>
        <w:rPr>
          <w:color w:val="auto"/>
          <w:szCs w:val="21"/>
          <w:highlight w:val="none"/>
          <w:u w:val="single"/>
        </w:rPr>
      </w:pPr>
      <w:r>
        <w:rPr>
          <w:rFonts w:hint="eastAsia"/>
          <w:color w:val="auto"/>
          <w:highlight w:val="none"/>
        </w:rPr>
        <w:t>合同编号</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记录编号</w:t>
      </w:r>
      <w:r>
        <w:rPr>
          <w:rFonts w:hint="eastAsia"/>
          <w:color w:val="auto"/>
          <w:szCs w:val="21"/>
          <w:highlight w:val="none"/>
          <w:u w:val="single"/>
        </w:rPr>
        <w:t xml:space="preserve">：J/SZ </w:t>
      </w:r>
      <w:r>
        <w:rPr>
          <w:color w:val="auto"/>
          <w:szCs w:val="21"/>
          <w:highlight w:val="none"/>
          <w:u w:val="single"/>
        </w:rPr>
        <w:t>S05.007.3-</w:t>
      </w:r>
      <w:r>
        <w:rPr>
          <w:rFonts w:hint="eastAsia"/>
          <w:color w:val="auto"/>
          <w:szCs w:val="21"/>
          <w:highlight w:val="none"/>
          <w:u w:val="single"/>
        </w:rPr>
        <w:t>2</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保存期</w:t>
      </w:r>
      <w:r>
        <w:rPr>
          <w:rFonts w:hint="eastAsia"/>
          <w:color w:val="auto"/>
          <w:szCs w:val="21"/>
          <w:highlight w:val="none"/>
          <w:u w:val="single"/>
        </w:rPr>
        <w:t xml:space="preserve"> 长期</w:t>
      </w:r>
    </w:p>
    <w:tbl>
      <w:tblPr>
        <w:tblStyle w:val="2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49"/>
        <w:gridCol w:w="1605"/>
        <w:gridCol w:w="48"/>
        <w:gridCol w:w="1241"/>
        <w:gridCol w:w="1565"/>
        <w:gridCol w:w="2793"/>
      </w:tblGrid>
      <w:tr w14:paraId="3020CB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7" w:hRule="atLeast"/>
          <w:jc w:val="center"/>
        </w:trPr>
        <w:tc>
          <w:tcPr>
            <w:tcW w:w="1949" w:type="dxa"/>
            <w:tcBorders>
              <w:top w:val="single" w:color="auto" w:sz="12" w:space="0"/>
              <w:left w:val="single" w:color="auto" w:sz="12" w:space="0"/>
              <w:bottom w:val="single" w:color="auto" w:sz="6" w:space="0"/>
              <w:right w:val="single" w:color="auto" w:sz="6" w:space="0"/>
            </w:tcBorders>
            <w:vAlign w:val="center"/>
          </w:tcPr>
          <w:p w14:paraId="5999707F">
            <w:pPr>
              <w:snapToGrid w:val="0"/>
              <w:jc w:val="center"/>
              <w:rPr>
                <w:color w:val="auto"/>
                <w:sz w:val="24"/>
                <w:highlight w:val="none"/>
              </w:rPr>
            </w:pPr>
            <w:r>
              <w:rPr>
                <w:rFonts w:hint="eastAsia"/>
                <w:color w:val="auto"/>
                <w:sz w:val="24"/>
                <w:highlight w:val="none"/>
              </w:rPr>
              <w:t>工程名称</w:t>
            </w:r>
          </w:p>
        </w:tc>
        <w:tc>
          <w:tcPr>
            <w:tcW w:w="2894" w:type="dxa"/>
            <w:gridSpan w:val="3"/>
            <w:tcBorders>
              <w:top w:val="single" w:color="auto" w:sz="12" w:space="0"/>
              <w:left w:val="single" w:color="auto" w:sz="6" w:space="0"/>
              <w:bottom w:val="single" w:color="auto" w:sz="6" w:space="0"/>
              <w:right w:val="single" w:color="auto" w:sz="6" w:space="0"/>
            </w:tcBorders>
            <w:vAlign w:val="center"/>
          </w:tcPr>
          <w:p w14:paraId="6E98BF90">
            <w:pPr>
              <w:snapToGrid w:val="0"/>
              <w:jc w:val="center"/>
              <w:rPr>
                <w:color w:val="auto"/>
                <w:sz w:val="24"/>
                <w:highlight w:val="none"/>
              </w:rPr>
            </w:pPr>
          </w:p>
        </w:tc>
        <w:tc>
          <w:tcPr>
            <w:tcW w:w="1565" w:type="dxa"/>
            <w:tcBorders>
              <w:top w:val="single" w:color="auto" w:sz="12" w:space="0"/>
              <w:left w:val="single" w:color="auto" w:sz="6" w:space="0"/>
              <w:bottom w:val="single" w:color="auto" w:sz="6" w:space="0"/>
              <w:right w:val="single" w:color="auto" w:sz="6" w:space="0"/>
            </w:tcBorders>
            <w:vAlign w:val="center"/>
          </w:tcPr>
          <w:p w14:paraId="7F948EE8">
            <w:pPr>
              <w:snapToGrid w:val="0"/>
              <w:jc w:val="center"/>
              <w:rPr>
                <w:color w:val="auto"/>
                <w:sz w:val="24"/>
                <w:highlight w:val="none"/>
              </w:rPr>
            </w:pPr>
            <w:r>
              <w:rPr>
                <w:rFonts w:hint="eastAsia"/>
                <w:color w:val="auto"/>
                <w:sz w:val="24"/>
                <w:highlight w:val="none"/>
              </w:rPr>
              <w:t>变更部位</w:t>
            </w:r>
          </w:p>
        </w:tc>
        <w:tc>
          <w:tcPr>
            <w:tcW w:w="2793" w:type="dxa"/>
            <w:tcBorders>
              <w:top w:val="single" w:color="auto" w:sz="12" w:space="0"/>
              <w:left w:val="single" w:color="auto" w:sz="6" w:space="0"/>
              <w:bottom w:val="single" w:color="auto" w:sz="6" w:space="0"/>
              <w:right w:val="single" w:color="auto" w:sz="12" w:space="0"/>
            </w:tcBorders>
            <w:vAlign w:val="center"/>
          </w:tcPr>
          <w:p w14:paraId="072C2FB8">
            <w:pPr>
              <w:snapToGrid w:val="0"/>
              <w:jc w:val="center"/>
              <w:rPr>
                <w:color w:val="auto"/>
                <w:sz w:val="24"/>
                <w:highlight w:val="none"/>
              </w:rPr>
            </w:pPr>
          </w:p>
        </w:tc>
      </w:tr>
      <w:tr w14:paraId="78A633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3" w:hRule="atLeast"/>
          <w:jc w:val="center"/>
        </w:trPr>
        <w:tc>
          <w:tcPr>
            <w:tcW w:w="1949" w:type="dxa"/>
            <w:tcBorders>
              <w:top w:val="single" w:color="auto" w:sz="6" w:space="0"/>
              <w:left w:val="single" w:color="auto" w:sz="12" w:space="0"/>
              <w:bottom w:val="single" w:color="auto" w:sz="6" w:space="0"/>
              <w:right w:val="single" w:color="auto" w:sz="6" w:space="0"/>
            </w:tcBorders>
            <w:vAlign w:val="center"/>
          </w:tcPr>
          <w:p w14:paraId="0D26F15A">
            <w:pPr>
              <w:snapToGrid w:val="0"/>
              <w:jc w:val="center"/>
              <w:rPr>
                <w:color w:val="auto"/>
                <w:sz w:val="24"/>
                <w:highlight w:val="none"/>
              </w:rPr>
            </w:pPr>
            <w:r>
              <w:rPr>
                <w:rFonts w:hint="eastAsia"/>
                <w:color w:val="auto"/>
                <w:sz w:val="24"/>
                <w:highlight w:val="none"/>
              </w:rPr>
              <w:t>原设计图名称</w:t>
            </w:r>
          </w:p>
        </w:tc>
        <w:tc>
          <w:tcPr>
            <w:tcW w:w="2894" w:type="dxa"/>
            <w:gridSpan w:val="3"/>
            <w:tcBorders>
              <w:top w:val="single" w:color="auto" w:sz="6" w:space="0"/>
              <w:left w:val="single" w:color="auto" w:sz="6" w:space="0"/>
              <w:bottom w:val="single" w:color="auto" w:sz="6" w:space="0"/>
              <w:right w:val="single" w:color="auto" w:sz="6" w:space="0"/>
            </w:tcBorders>
            <w:vAlign w:val="center"/>
          </w:tcPr>
          <w:p w14:paraId="219491DF">
            <w:pPr>
              <w:snapToGrid w:val="0"/>
              <w:jc w:val="center"/>
              <w:rPr>
                <w:color w:val="auto"/>
                <w:sz w:val="24"/>
                <w:highlight w:val="none"/>
              </w:rPr>
            </w:pPr>
          </w:p>
        </w:tc>
        <w:tc>
          <w:tcPr>
            <w:tcW w:w="1565" w:type="dxa"/>
            <w:tcBorders>
              <w:top w:val="single" w:color="auto" w:sz="6" w:space="0"/>
              <w:left w:val="single" w:color="auto" w:sz="6" w:space="0"/>
              <w:bottom w:val="single" w:color="auto" w:sz="6" w:space="0"/>
              <w:right w:val="single" w:color="auto" w:sz="6" w:space="0"/>
            </w:tcBorders>
            <w:vAlign w:val="center"/>
          </w:tcPr>
          <w:p w14:paraId="56CB4C36">
            <w:pPr>
              <w:snapToGrid w:val="0"/>
              <w:ind w:left="-134" w:leftChars="-64"/>
              <w:jc w:val="center"/>
              <w:rPr>
                <w:color w:val="auto"/>
                <w:sz w:val="24"/>
                <w:highlight w:val="none"/>
              </w:rPr>
            </w:pPr>
            <w:r>
              <w:rPr>
                <w:rFonts w:hint="eastAsia"/>
                <w:color w:val="auto"/>
                <w:sz w:val="24"/>
                <w:highlight w:val="none"/>
              </w:rPr>
              <w:t>图    号</w:t>
            </w:r>
          </w:p>
        </w:tc>
        <w:tc>
          <w:tcPr>
            <w:tcW w:w="2793" w:type="dxa"/>
            <w:tcBorders>
              <w:top w:val="single" w:color="auto" w:sz="6" w:space="0"/>
              <w:left w:val="single" w:color="auto" w:sz="6" w:space="0"/>
              <w:bottom w:val="single" w:color="auto" w:sz="6" w:space="0"/>
              <w:right w:val="single" w:color="auto" w:sz="12" w:space="0"/>
            </w:tcBorders>
            <w:vAlign w:val="center"/>
          </w:tcPr>
          <w:p w14:paraId="5B741D95">
            <w:pPr>
              <w:snapToGrid w:val="0"/>
              <w:jc w:val="center"/>
              <w:rPr>
                <w:color w:val="auto"/>
                <w:sz w:val="24"/>
                <w:highlight w:val="none"/>
              </w:rPr>
            </w:pPr>
          </w:p>
        </w:tc>
      </w:tr>
      <w:tr w14:paraId="68CF31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50" w:hRule="atLeast"/>
          <w:jc w:val="center"/>
        </w:trPr>
        <w:tc>
          <w:tcPr>
            <w:tcW w:w="9201" w:type="dxa"/>
            <w:gridSpan w:val="6"/>
            <w:tcBorders>
              <w:top w:val="single" w:color="auto" w:sz="6" w:space="0"/>
              <w:left w:val="single" w:color="auto" w:sz="12" w:space="0"/>
              <w:bottom w:val="single" w:color="auto" w:sz="4" w:space="0"/>
              <w:right w:val="single" w:color="auto" w:sz="12" w:space="0"/>
            </w:tcBorders>
            <w:vAlign w:val="center"/>
          </w:tcPr>
          <w:p w14:paraId="38CDBC1D">
            <w:pPr>
              <w:snapToGrid w:val="0"/>
              <w:rPr>
                <w:color w:val="auto"/>
                <w:sz w:val="24"/>
                <w:highlight w:val="none"/>
              </w:rPr>
            </w:pPr>
            <w:r>
              <w:rPr>
                <w:rFonts w:hint="eastAsia"/>
                <w:color w:val="auto"/>
                <w:sz w:val="24"/>
                <w:highlight w:val="none"/>
              </w:rPr>
              <w:t>变更原因及内容（对应3</w:t>
            </w:r>
            <w:r>
              <w:rPr>
                <w:color w:val="auto"/>
                <w:sz w:val="24"/>
                <w:highlight w:val="none"/>
              </w:rPr>
              <w:t>.1</w:t>
            </w:r>
            <w:r>
              <w:rPr>
                <w:rFonts w:hint="eastAsia"/>
                <w:color w:val="auto"/>
                <w:sz w:val="24"/>
                <w:highlight w:val="none"/>
              </w:rPr>
              <w:t>条填写）：</w:t>
            </w:r>
          </w:p>
          <w:p w14:paraId="573692A4">
            <w:pPr>
              <w:snapToGrid w:val="0"/>
              <w:rPr>
                <w:color w:val="auto"/>
                <w:sz w:val="24"/>
                <w:highlight w:val="none"/>
              </w:rPr>
            </w:pPr>
          </w:p>
          <w:p w14:paraId="2B9907D7">
            <w:pPr>
              <w:snapToGrid w:val="0"/>
              <w:rPr>
                <w:color w:val="auto"/>
                <w:sz w:val="24"/>
                <w:highlight w:val="none"/>
              </w:rPr>
            </w:pPr>
          </w:p>
          <w:p w14:paraId="71BB4B88">
            <w:pPr>
              <w:snapToGrid w:val="0"/>
              <w:rPr>
                <w:color w:val="auto"/>
                <w:sz w:val="24"/>
                <w:highlight w:val="none"/>
              </w:rPr>
            </w:pPr>
          </w:p>
          <w:p w14:paraId="3CB3DAAF">
            <w:pPr>
              <w:snapToGrid w:val="0"/>
              <w:rPr>
                <w:color w:val="auto"/>
                <w:sz w:val="24"/>
                <w:highlight w:val="none"/>
              </w:rPr>
            </w:pPr>
          </w:p>
          <w:p w14:paraId="279DB151">
            <w:pPr>
              <w:snapToGrid w:val="0"/>
              <w:rPr>
                <w:color w:val="auto"/>
                <w:sz w:val="24"/>
                <w:highlight w:val="none"/>
              </w:rPr>
            </w:pPr>
          </w:p>
          <w:p w14:paraId="41F0546F">
            <w:pPr>
              <w:snapToGrid w:val="0"/>
              <w:rPr>
                <w:color w:val="auto"/>
                <w:sz w:val="24"/>
                <w:highlight w:val="none"/>
              </w:rPr>
            </w:pPr>
          </w:p>
          <w:p w14:paraId="0750786C">
            <w:pPr>
              <w:snapToGrid w:val="0"/>
              <w:rPr>
                <w:color w:val="auto"/>
                <w:sz w:val="24"/>
                <w:highlight w:val="none"/>
              </w:rPr>
            </w:pPr>
          </w:p>
          <w:p w14:paraId="4361E2FA">
            <w:pPr>
              <w:snapToGrid w:val="0"/>
              <w:rPr>
                <w:color w:val="auto"/>
                <w:sz w:val="24"/>
                <w:highlight w:val="none"/>
              </w:rPr>
            </w:pPr>
          </w:p>
          <w:p w14:paraId="7EE17FAF">
            <w:pPr>
              <w:snapToGrid w:val="0"/>
              <w:rPr>
                <w:color w:val="auto"/>
                <w:sz w:val="24"/>
                <w:highlight w:val="none"/>
              </w:rPr>
            </w:pPr>
          </w:p>
          <w:p w14:paraId="337D6D39">
            <w:pPr>
              <w:snapToGrid w:val="0"/>
              <w:rPr>
                <w:color w:val="auto"/>
                <w:sz w:val="24"/>
                <w:highlight w:val="none"/>
              </w:rPr>
            </w:pPr>
          </w:p>
          <w:p w14:paraId="0627BA53">
            <w:pPr>
              <w:snapToGrid w:val="0"/>
              <w:rPr>
                <w:color w:val="auto"/>
                <w:sz w:val="24"/>
                <w:highlight w:val="none"/>
              </w:rPr>
            </w:pPr>
          </w:p>
        </w:tc>
      </w:tr>
      <w:tr w14:paraId="687C53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30" w:hRule="atLeast"/>
          <w:jc w:val="center"/>
        </w:trPr>
        <w:tc>
          <w:tcPr>
            <w:tcW w:w="9201" w:type="dxa"/>
            <w:gridSpan w:val="6"/>
            <w:tcBorders>
              <w:top w:val="single" w:color="auto" w:sz="4" w:space="0"/>
              <w:left w:val="single" w:color="auto" w:sz="12" w:space="0"/>
              <w:bottom w:val="single" w:color="auto" w:sz="6" w:space="0"/>
              <w:right w:val="single" w:color="auto" w:sz="12" w:space="0"/>
            </w:tcBorders>
            <w:vAlign w:val="center"/>
          </w:tcPr>
          <w:p w14:paraId="7833E444">
            <w:pPr>
              <w:snapToGrid w:val="0"/>
              <w:rPr>
                <w:color w:val="auto"/>
                <w:sz w:val="24"/>
                <w:highlight w:val="none"/>
              </w:rPr>
            </w:pPr>
            <w:r>
              <w:rPr>
                <w:rFonts w:hint="eastAsia"/>
                <w:color w:val="auto"/>
                <w:sz w:val="24"/>
                <w:highlight w:val="none"/>
              </w:rPr>
              <w:t>专业技术负责人：</w:t>
            </w:r>
          </w:p>
          <w:p w14:paraId="2D432A26">
            <w:pPr>
              <w:snapToGrid w:val="0"/>
              <w:rPr>
                <w:color w:val="auto"/>
                <w:sz w:val="24"/>
                <w:highlight w:val="none"/>
              </w:rPr>
            </w:pPr>
          </w:p>
          <w:p w14:paraId="210053C8">
            <w:pPr>
              <w:snapToGrid w:val="0"/>
              <w:rPr>
                <w:color w:val="auto"/>
                <w:sz w:val="24"/>
                <w:highlight w:val="none"/>
              </w:rPr>
            </w:pPr>
            <w:r>
              <w:rPr>
                <w:rFonts w:hint="eastAsia"/>
                <w:color w:val="auto"/>
                <w:sz w:val="24"/>
                <w:highlight w:val="none"/>
              </w:rPr>
              <w:t>项目技术负责人：</w:t>
            </w:r>
          </w:p>
          <w:p w14:paraId="2CA80AE4">
            <w:pPr>
              <w:snapToGrid w:val="0"/>
              <w:rPr>
                <w:color w:val="auto"/>
                <w:sz w:val="24"/>
                <w:highlight w:val="none"/>
              </w:rPr>
            </w:pPr>
          </w:p>
        </w:tc>
      </w:tr>
      <w:tr w14:paraId="6FA9E6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31" w:hRule="atLeast"/>
          <w:jc w:val="center"/>
        </w:trPr>
        <w:tc>
          <w:tcPr>
            <w:tcW w:w="3602" w:type="dxa"/>
            <w:gridSpan w:val="3"/>
            <w:tcBorders>
              <w:top w:val="single" w:color="auto" w:sz="6" w:space="0"/>
              <w:left w:val="single" w:color="auto" w:sz="12" w:space="0"/>
              <w:bottom w:val="single" w:color="auto" w:sz="6" w:space="0"/>
              <w:right w:val="single" w:color="auto" w:sz="6" w:space="0"/>
            </w:tcBorders>
            <w:vAlign w:val="center"/>
          </w:tcPr>
          <w:p w14:paraId="70E275FA">
            <w:pPr>
              <w:snapToGrid w:val="0"/>
              <w:rPr>
                <w:color w:val="auto"/>
                <w:sz w:val="24"/>
                <w:highlight w:val="none"/>
              </w:rPr>
            </w:pPr>
            <w:r>
              <w:rPr>
                <w:rFonts w:hint="eastAsia"/>
                <w:color w:val="auto"/>
                <w:sz w:val="24"/>
                <w:highlight w:val="none"/>
              </w:rPr>
              <w:t>设计单位审核意见：（盖章）</w:t>
            </w:r>
          </w:p>
          <w:p w14:paraId="033BB78A">
            <w:pPr>
              <w:snapToGrid w:val="0"/>
              <w:rPr>
                <w:color w:val="auto"/>
                <w:sz w:val="24"/>
                <w:highlight w:val="none"/>
              </w:rPr>
            </w:pPr>
          </w:p>
          <w:p w14:paraId="390D97BF">
            <w:pPr>
              <w:rPr>
                <w:color w:val="auto"/>
                <w:highlight w:val="none"/>
              </w:rPr>
            </w:pPr>
          </w:p>
          <w:p w14:paraId="17E863EA">
            <w:pPr>
              <w:rPr>
                <w:color w:val="auto"/>
                <w:highlight w:val="none"/>
              </w:rPr>
            </w:pPr>
          </w:p>
          <w:p w14:paraId="73537B6B">
            <w:pPr>
              <w:snapToGrid w:val="0"/>
              <w:rPr>
                <w:color w:val="auto"/>
                <w:sz w:val="24"/>
                <w:highlight w:val="none"/>
              </w:rPr>
            </w:pPr>
          </w:p>
        </w:tc>
        <w:tc>
          <w:tcPr>
            <w:tcW w:w="5599" w:type="dxa"/>
            <w:gridSpan w:val="3"/>
            <w:tcBorders>
              <w:top w:val="single" w:color="auto" w:sz="6" w:space="0"/>
              <w:left w:val="single" w:color="auto" w:sz="6" w:space="0"/>
              <w:bottom w:val="single" w:color="auto" w:sz="6" w:space="0"/>
              <w:right w:val="single" w:color="auto" w:sz="12" w:space="0"/>
            </w:tcBorders>
            <w:vAlign w:val="center"/>
          </w:tcPr>
          <w:p w14:paraId="12F0E79E">
            <w:pPr>
              <w:rPr>
                <w:color w:val="auto"/>
                <w:highlight w:val="none"/>
              </w:rPr>
            </w:pPr>
            <w:r>
              <w:rPr>
                <w:rFonts w:hint="eastAsia"/>
                <w:color w:val="auto"/>
                <w:sz w:val="24"/>
                <w:highlight w:val="none"/>
              </w:rPr>
              <w:t>预决算审核意见</w:t>
            </w:r>
          </w:p>
          <w:p w14:paraId="1B206601">
            <w:pPr>
              <w:rPr>
                <w:color w:val="auto"/>
                <w:highlight w:val="none"/>
              </w:rPr>
            </w:pPr>
          </w:p>
          <w:p w14:paraId="51A15422">
            <w:pPr>
              <w:rPr>
                <w:color w:val="auto"/>
                <w:highlight w:val="none"/>
              </w:rPr>
            </w:pPr>
          </w:p>
          <w:p w14:paraId="0C0A8731">
            <w:pPr>
              <w:rPr>
                <w:color w:val="auto"/>
                <w:highlight w:val="none"/>
              </w:rPr>
            </w:pPr>
          </w:p>
          <w:p w14:paraId="7479CCBA">
            <w:pPr>
              <w:snapToGrid w:val="0"/>
              <w:rPr>
                <w:color w:val="auto"/>
                <w:sz w:val="24"/>
                <w:highlight w:val="none"/>
              </w:rPr>
            </w:pPr>
            <w:r>
              <w:rPr>
                <w:rFonts w:hint="eastAsia"/>
                <w:color w:val="auto"/>
                <w:sz w:val="24"/>
                <w:highlight w:val="none"/>
              </w:rPr>
              <w:t xml:space="preserve"> </w:t>
            </w:r>
          </w:p>
          <w:p w14:paraId="5052FFDE">
            <w:pPr>
              <w:snapToGrid w:val="0"/>
              <w:rPr>
                <w:color w:val="auto"/>
                <w:sz w:val="24"/>
                <w:highlight w:val="none"/>
              </w:rPr>
            </w:pPr>
          </w:p>
        </w:tc>
      </w:tr>
      <w:tr w14:paraId="1D2BB3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23" w:hRule="atLeast"/>
          <w:jc w:val="center"/>
        </w:trPr>
        <w:tc>
          <w:tcPr>
            <w:tcW w:w="3554" w:type="dxa"/>
            <w:gridSpan w:val="2"/>
            <w:tcBorders>
              <w:top w:val="single" w:color="auto" w:sz="6" w:space="0"/>
              <w:left w:val="single" w:color="auto" w:sz="12" w:space="0"/>
              <w:right w:val="single" w:color="auto" w:sz="4" w:space="0"/>
            </w:tcBorders>
            <w:vAlign w:val="center"/>
          </w:tcPr>
          <w:p w14:paraId="62A2AC8F">
            <w:pPr>
              <w:snapToGrid w:val="0"/>
              <w:rPr>
                <w:color w:val="auto"/>
                <w:sz w:val="24"/>
                <w:highlight w:val="none"/>
              </w:rPr>
            </w:pPr>
            <w:r>
              <w:rPr>
                <w:rFonts w:hint="eastAsia"/>
                <w:color w:val="auto"/>
                <w:sz w:val="24"/>
                <w:highlight w:val="none"/>
              </w:rPr>
              <w:t>建设单位项目（执行）经理：</w:t>
            </w:r>
          </w:p>
          <w:p w14:paraId="49793A9B">
            <w:pPr>
              <w:snapToGrid w:val="0"/>
              <w:rPr>
                <w:color w:val="auto"/>
                <w:sz w:val="24"/>
                <w:highlight w:val="none"/>
              </w:rPr>
            </w:pPr>
            <w:r>
              <w:rPr>
                <w:color w:val="auto"/>
                <w:sz w:val="24"/>
                <w:highlight w:val="none"/>
              </w:rPr>
              <w:t>数智化工装技术中心领导：</w:t>
            </w:r>
          </w:p>
        </w:tc>
        <w:tc>
          <w:tcPr>
            <w:tcW w:w="5647" w:type="dxa"/>
            <w:gridSpan w:val="4"/>
            <w:tcBorders>
              <w:top w:val="single" w:color="auto" w:sz="6" w:space="0"/>
              <w:left w:val="single" w:color="auto" w:sz="4" w:space="0"/>
              <w:bottom w:val="single" w:color="auto" w:sz="4" w:space="0"/>
              <w:right w:val="single" w:color="auto" w:sz="12" w:space="0"/>
            </w:tcBorders>
            <w:vAlign w:val="center"/>
          </w:tcPr>
          <w:p w14:paraId="67672F2E">
            <w:pPr>
              <w:snapToGrid w:val="0"/>
              <w:rPr>
                <w:color w:val="auto"/>
                <w:sz w:val="24"/>
                <w:highlight w:val="none"/>
              </w:rPr>
            </w:pPr>
            <w:r>
              <w:rPr>
                <w:rFonts w:hint="eastAsia"/>
                <w:color w:val="auto"/>
                <w:sz w:val="24"/>
                <w:highlight w:val="none"/>
              </w:rPr>
              <w:t>建设单位项目（执行）经理考核建议：</w:t>
            </w:r>
          </w:p>
          <w:p w14:paraId="69079237">
            <w:pPr>
              <w:snapToGrid w:val="0"/>
              <w:rPr>
                <w:color w:val="auto"/>
                <w:sz w:val="24"/>
                <w:highlight w:val="none"/>
              </w:rPr>
            </w:pPr>
          </w:p>
          <w:p w14:paraId="1096AFDC">
            <w:pPr>
              <w:snapToGrid w:val="0"/>
              <w:rPr>
                <w:color w:val="auto"/>
                <w:sz w:val="24"/>
                <w:highlight w:val="none"/>
              </w:rPr>
            </w:pPr>
          </w:p>
        </w:tc>
      </w:tr>
      <w:tr w14:paraId="076DA6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64" w:hRule="atLeast"/>
          <w:jc w:val="center"/>
        </w:trPr>
        <w:tc>
          <w:tcPr>
            <w:tcW w:w="3554" w:type="dxa"/>
            <w:gridSpan w:val="2"/>
            <w:tcBorders>
              <w:top w:val="single" w:color="auto" w:sz="4" w:space="0"/>
              <w:left w:val="single" w:color="auto" w:sz="12" w:space="0"/>
              <w:bottom w:val="single" w:color="auto" w:sz="6" w:space="0"/>
              <w:right w:val="single" w:color="auto" w:sz="4" w:space="0"/>
            </w:tcBorders>
            <w:vAlign w:val="center"/>
          </w:tcPr>
          <w:p w14:paraId="6708A8D1">
            <w:pPr>
              <w:snapToGrid w:val="0"/>
              <w:rPr>
                <w:color w:val="auto"/>
                <w:sz w:val="24"/>
                <w:highlight w:val="none"/>
              </w:rPr>
            </w:pPr>
            <w:r>
              <w:rPr>
                <w:rFonts w:hint="eastAsia"/>
                <w:color w:val="auto"/>
                <w:sz w:val="24"/>
                <w:highlight w:val="none"/>
              </w:rPr>
              <w:t>项目办领导审核意见（签字盖章）</w:t>
            </w:r>
          </w:p>
        </w:tc>
        <w:tc>
          <w:tcPr>
            <w:tcW w:w="5647" w:type="dxa"/>
            <w:gridSpan w:val="4"/>
            <w:tcBorders>
              <w:top w:val="single" w:color="auto" w:sz="4" w:space="0"/>
              <w:left w:val="single" w:color="auto" w:sz="4" w:space="0"/>
              <w:bottom w:val="single" w:color="auto" w:sz="6" w:space="0"/>
              <w:right w:val="single" w:color="auto" w:sz="12" w:space="0"/>
            </w:tcBorders>
            <w:vAlign w:val="center"/>
          </w:tcPr>
          <w:p w14:paraId="5B92206C">
            <w:pPr>
              <w:widowControl/>
              <w:jc w:val="left"/>
              <w:rPr>
                <w:color w:val="auto"/>
                <w:sz w:val="24"/>
                <w:highlight w:val="none"/>
              </w:rPr>
            </w:pPr>
          </w:p>
          <w:p w14:paraId="3FCAC397">
            <w:pPr>
              <w:snapToGrid w:val="0"/>
              <w:rPr>
                <w:color w:val="auto"/>
                <w:sz w:val="24"/>
                <w:highlight w:val="none"/>
              </w:rPr>
            </w:pPr>
          </w:p>
        </w:tc>
      </w:tr>
      <w:tr w14:paraId="28A1C0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38" w:hRule="atLeast"/>
          <w:jc w:val="center"/>
        </w:trPr>
        <w:tc>
          <w:tcPr>
            <w:tcW w:w="9201" w:type="dxa"/>
            <w:gridSpan w:val="6"/>
            <w:tcBorders>
              <w:top w:val="single" w:color="auto" w:sz="6" w:space="0"/>
              <w:left w:val="single" w:color="auto" w:sz="12" w:space="0"/>
              <w:bottom w:val="single" w:color="auto" w:sz="12" w:space="0"/>
              <w:right w:val="single" w:color="auto" w:sz="12" w:space="0"/>
            </w:tcBorders>
            <w:vAlign w:val="center"/>
          </w:tcPr>
          <w:p w14:paraId="7AE390C3">
            <w:pPr>
              <w:snapToGrid w:val="0"/>
              <w:rPr>
                <w:color w:val="auto"/>
                <w:sz w:val="24"/>
                <w:highlight w:val="none"/>
              </w:rPr>
            </w:pPr>
            <w:r>
              <w:rPr>
                <w:rFonts w:hint="eastAsia"/>
                <w:color w:val="auto"/>
                <w:sz w:val="24"/>
                <w:highlight w:val="none"/>
              </w:rPr>
              <w:t>公司分管领导审核意见：</w:t>
            </w:r>
          </w:p>
          <w:p w14:paraId="1FCF6D60">
            <w:pPr>
              <w:snapToGrid w:val="0"/>
              <w:rPr>
                <w:color w:val="auto"/>
                <w:sz w:val="24"/>
                <w:highlight w:val="none"/>
              </w:rPr>
            </w:pPr>
          </w:p>
          <w:p w14:paraId="703B066D">
            <w:pPr>
              <w:snapToGrid w:val="0"/>
              <w:rPr>
                <w:color w:val="auto"/>
                <w:sz w:val="24"/>
                <w:highlight w:val="none"/>
              </w:rPr>
            </w:pPr>
          </w:p>
          <w:p w14:paraId="29F1124E">
            <w:pPr>
              <w:snapToGrid w:val="0"/>
              <w:rPr>
                <w:color w:val="auto"/>
                <w:sz w:val="24"/>
                <w:highlight w:val="none"/>
              </w:rPr>
            </w:pPr>
          </w:p>
        </w:tc>
      </w:tr>
    </w:tbl>
    <w:p w14:paraId="015889F5">
      <w:pPr>
        <w:pStyle w:val="77"/>
        <w:ind w:firstLine="0"/>
        <w:jc w:val="both"/>
        <w:outlineLvl w:val="9"/>
        <w:rPr>
          <w:color w:val="auto"/>
          <w:highlight w:val="none"/>
        </w:rPr>
      </w:pPr>
    </w:p>
    <w:p w14:paraId="2E8FBE4A">
      <w:pPr>
        <w:rPr>
          <w:color w:val="auto"/>
          <w:highlight w:val="none"/>
        </w:rPr>
      </w:pPr>
    </w:p>
    <w:p w14:paraId="4D07A34C">
      <w:pPr>
        <w:jc w:val="center"/>
        <w:rPr>
          <w:color w:val="auto"/>
          <w:highlight w:val="none"/>
        </w:rPr>
      </w:pPr>
      <w:r>
        <w:rPr>
          <w:rFonts w:hint="eastAsia"/>
          <w:color w:val="auto"/>
          <w:highlight w:val="none"/>
        </w:rPr>
        <w:tab/>
      </w:r>
      <w:r>
        <w:rPr>
          <w:rFonts w:hint="eastAsia"/>
          <w:color w:val="auto"/>
          <w:highlight w:val="none"/>
        </w:rPr>
        <w:t>附录</w:t>
      </w:r>
      <w:r>
        <w:rPr>
          <w:color w:val="auto"/>
          <w:highlight w:val="none"/>
        </w:rPr>
        <w:t>C</w:t>
      </w:r>
      <w:r>
        <w:rPr>
          <w:color w:val="auto"/>
          <w:highlight w:val="none"/>
        </w:rPr>
        <w:br w:type="textWrapping"/>
      </w:r>
      <w:r>
        <w:rPr>
          <w:rFonts w:hint="eastAsia"/>
          <w:color w:val="auto"/>
          <w:highlight w:val="none"/>
        </w:rPr>
        <w:t>（规范性附录）</w:t>
      </w:r>
    </w:p>
    <w:p w14:paraId="1E5BE252">
      <w:pPr>
        <w:jc w:val="center"/>
        <w:rPr>
          <w:color w:val="auto"/>
          <w:highlight w:val="none"/>
        </w:rPr>
      </w:pPr>
      <w:r>
        <w:rPr>
          <w:rFonts w:hint="eastAsia"/>
          <w:color w:val="auto"/>
          <w:highlight w:val="none"/>
        </w:rPr>
        <w:t>工程设计变更申请审批表（设计单位）</w:t>
      </w:r>
    </w:p>
    <w:p w14:paraId="5E98126A">
      <w:pPr>
        <w:pStyle w:val="67"/>
        <w:ind w:firstLine="630" w:firstLineChars="300"/>
        <w:rPr>
          <w:color w:val="auto"/>
          <w:szCs w:val="21"/>
          <w:highlight w:val="none"/>
          <w:u w:val="single"/>
        </w:rPr>
      </w:pPr>
      <w:r>
        <w:rPr>
          <w:rFonts w:hint="eastAsia"/>
          <w:color w:val="auto"/>
          <w:highlight w:val="none"/>
        </w:rPr>
        <w:t>合同编号</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记录编号</w:t>
      </w:r>
      <w:r>
        <w:rPr>
          <w:rFonts w:hint="eastAsia"/>
          <w:color w:val="auto"/>
          <w:szCs w:val="21"/>
          <w:highlight w:val="none"/>
          <w:u w:val="single"/>
        </w:rPr>
        <w:t xml:space="preserve">：J/SZ </w:t>
      </w:r>
      <w:r>
        <w:rPr>
          <w:color w:val="auto"/>
          <w:szCs w:val="21"/>
          <w:highlight w:val="none"/>
          <w:u w:val="single"/>
        </w:rPr>
        <w:t>S05.007.3-</w:t>
      </w:r>
      <w:r>
        <w:rPr>
          <w:rFonts w:hint="eastAsia"/>
          <w:color w:val="auto"/>
          <w:szCs w:val="21"/>
          <w:highlight w:val="none"/>
          <w:u w:val="single"/>
        </w:rPr>
        <w:t>3</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保存期</w:t>
      </w:r>
      <w:r>
        <w:rPr>
          <w:rFonts w:hint="eastAsia"/>
          <w:color w:val="auto"/>
          <w:szCs w:val="21"/>
          <w:highlight w:val="none"/>
          <w:u w:val="single"/>
        </w:rPr>
        <w:t xml:space="preserve"> 长期</w:t>
      </w:r>
    </w:p>
    <w:tbl>
      <w:tblPr>
        <w:tblStyle w:val="2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29"/>
        <w:gridCol w:w="2011"/>
        <w:gridCol w:w="7"/>
        <w:gridCol w:w="845"/>
        <w:gridCol w:w="1548"/>
        <w:gridCol w:w="2756"/>
      </w:tblGrid>
      <w:tr w14:paraId="75DCEB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1929" w:type="dxa"/>
            <w:tcBorders>
              <w:top w:val="single" w:color="auto" w:sz="12" w:space="0"/>
              <w:left w:val="single" w:color="auto" w:sz="12" w:space="0"/>
              <w:bottom w:val="single" w:color="auto" w:sz="6" w:space="0"/>
              <w:right w:val="single" w:color="auto" w:sz="6" w:space="0"/>
            </w:tcBorders>
            <w:vAlign w:val="center"/>
          </w:tcPr>
          <w:p w14:paraId="236F1F0E">
            <w:pPr>
              <w:snapToGrid w:val="0"/>
              <w:jc w:val="center"/>
              <w:rPr>
                <w:color w:val="auto"/>
                <w:sz w:val="24"/>
                <w:highlight w:val="none"/>
              </w:rPr>
            </w:pPr>
            <w:r>
              <w:rPr>
                <w:rFonts w:hint="eastAsia"/>
                <w:color w:val="auto"/>
                <w:sz w:val="24"/>
                <w:highlight w:val="none"/>
              </w:rPr>
              <w:t>工程名称</w:t>
            </w:r>
          </w:p>
        </w:tc>
        <w:tc>
          <w:tcPr>
            <w:tcW w:w="2863" w:type="dxa"/>
            <w:gridSpan w:val="3"/>
            <w:tcBorders>
              <w:top w:val="single" w:color="auto" w:sz="12" w:space="0"/>
              <w:left w:val="single" w:color="auto" w:sz="6" w:space="0"/>
              <w:bottom w:val="single" w:color="auto" w:sz="6" w:space="0"/>
              <w:right w:val="single" w:color="auto" w:sz="6" w:space="0"/>
            </w:tcBorders>
            <w:vAlign w:val="center"/>
          </w:tcPr>
          <w:p w14:paraId="7B83474F">
            <w:pPr>
              <w:snapToGrid w:val="0"/>
              <w:jc w:val="center"/>
              <w:rPr>
                <w:color w:val="auto"/>
                <w:sz w:val="24"/>
                <w:highlight w:val="none"/>
              </w:rPr>
            </w:pPr>
          </w:p>
        </w:tc>
        <w:tc>
          <w:tcPr>
            <w:tcW w:w="1548" w:type="dxa"/>
            <w:tcBorders>
              <w:top w:val="single" w:color="auto" w:sz="12" w:space="0"/>
              <w:left w:val="single" w:color="auto" w:sz="6" w:space="0"/>
              <w:bottom w:val="single" w:color="auto" w:sz="6" w:space="0"/>
              <w:right w:val="single" w:color="auto" w:sz="6" w:space="0"/>
            </w:tcBorders>
            <w:vAlign w:val="center"/>
          </w:tcPr>
          <w:p w14:paraId="3DA087A7">
            <w:pPr>
              <w:snapToGrid w:val="0"/>
              <w:jc w:val="center"/>
              <w:rPr>
                <w:color w:val="auto"/>
                <w:sz w:val="24"/>
                <w:highlight w:val="none"/>
              </w:rPr>
            </w:pPr>
            <w:r>
              <w:rPr>
                <w:rFonts w:hint="eastAsia"/>
                <w:color w:val="auto"/>
                <w:sz w:val="24"/>
                <w:highlight w:val="none"/>
              </w:rPr>
              <w:t>变更部位</w:t>
            </w:r>
          </w:p>
        </w:tc>
        <w:tc>
          <w:tcPr>
            <w:tcW w:w="2756" w:type="dxa"/>
            <w:tcBorders>
              <w:top w:val="single" w:color="auto" w:sz="12" w:space="0"/>
              <w:left w:val="single" w:color="auto" w:sz="6" w:space="0"/>
              <w:bottom w:val="single" w:color="auto" w:sz="6" w:space="0"/>
              <w:right w:val="single" w:color="auto" w:sz="12" w:space="0"/>
            </w:tcBorders>
            <w:vAlign w:val="center"/>
          </w:tcPr>
          <w:p w14:paraId="23C7F9AA">
            <w:pPr>
              <w:snapToGrid w:val="0"/>
              <w:jc w:val="center"/>
              <w:rPr>
                <w:color w:val="auto"/>
                <w:sz w:val="24"/>
                <w:highlight w:val="none"/>
              </w:rPr>
            </w:pPr>
          </w:p>
        </w:tc>
      </w:tr>
      <w:tr w14:paraId="6A0F09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5" w:hRule="atLeast"/>
          <w:jc w:val="center"/>
        </w:trPr>
        <w:tc>
          <w:tcPr>
            <w:tcW w:w="1929" w:type="dxa"/>
            <w:tcBorders>
              <w:top w:val="single" w:color="auto" w:sz="6" w:space="0"/>
              <w:left w:val="single" w:color="auto" w:sz="12" w:space="0"/>
              <w:bottom w:val="single" w:color="auto" w:sz="6" w:space="0"/>
              <w:right w:val="single" w:color="auto" w:sz="6" w:space="0"/>
            </w:tcBorders>
            <w:vAlign w:val="center"/>
          </w:tcPr>
          <w:p w14:paraId="5866735B">
            <w:pPr>
              <w:snapToGrid w:val="0"/>
              <w:jc w:val="center"/>
              <w:rPr>
                <w:color w:val="auto"/>
                <w:sz w:val="24"/>
                <w:highlight w:val="none"/>
              </w:rPr>
            </w:pPr>
            <w:r>
              <w:rPr>
                <w:rFonts w:hint="eastAsia"/>
                <w:color w:val="auto"/>
                <w:sz w:val="24"/>
                <w:highlight w:val="none"/>
              </w:rPr>
              <w:t>原设计图名称</w:t>
            </w:r>
          </w:p>
        </w:tc>
        <w:tc>
          <w:tcPr>
            <w:tcW w:w="2863" w:type="dxa"/>
            <w:gridSpan w:val="3"/>
            <w:tcBorders>
              <w:top w:val="single" w:color="auto" w:sz="6" w:space="0"/>
              <w:left w:val="single" w:color="auto" w:sz="6" w:space="0"/>
              <w:bottom w:val="single" w:color="auto" w:sz="6" w:space="0"/>
              <w:right w:val="single" w:color="auto" w:sz="6" w:space="0"/>
            </w:tcBorders>
            <w:vAlign w:val="center"/>
          </w:tcPr>
          <w:p w14:paraId="058F8294">
            <w:pPr>
              <w:snapToGrid w:val="0"/>
              <w:jc w:val="center"/>
              <w:rPr>
                <w:color w:val="auto"/>
                <w:sz w:val="24"/>
                <w:highlight w:val="none"/>
              </w:rPr>
            </w:pPr>
          </w:p>
        </w:tc>
        <w:tc>
          <w:tcPr>
            <w:tcW w:w="1548" w:type="dxa"/>
            <w:tcBorders>
              <w:top w:val="single" w:color="auto" w:sz="6" w:space="0"/>
              <w:left w:val="single" w:color="auto" w:sz="6" w:space="0"/>
              <w:bottom w:val="single" w:color="auto" w:sz="6" w:space="0"/>
              <w:right w:val="single" w:color="auto" w:sz="6" w:space="0"/>
            </w:tcBorders>
            <w:vAlign w:val="center"/>
          </w:tcPr>
          <w:p w14:paraId="4C14D6A0">
            <w:pPr>
              <w:snapToGrid w:val="0"/>
              <w:ind w:left="-134" w:leftChars="-64"/>
              <w:jc w:val="center"/>
              <w:rPr>
                <w:color w:val="auto"/>
                <w:sz w:val="24"/>
                <w:highlight w:val="none"/>
              </w:rPr>
            </w:pPr>
            <w:r>
              <w:rPr>
                <w:rFonts w:hint="eastAsia"/>
                <w:color w:val="auto"/>
                <w:sz w:val="24"/>
                <w:highlight w:val="none"/>
              </w:rPr>
              <w:t>图    号</w:t>
            </w:r>
          </w:p>
        </w:tc>
        <w:tc>
          <w:tcPr>
            <w:tcW w:w="2756" w:type="dxa"/>
            <w:tcBorders>
              <w:top w:val="single" w:color="auto" w:sz="6" w:space="0"/>
              <w:left w:val="single" w:color="auto" w:sz="6" w:space="0"/>
              <w:bottom w:val="single" w:color="auto" w:sz="6" w:space="0"/>
              <w:right w:val="single" w:color="auto" w:sz="12" w:space="0"/>
            </w:tcBorders>
            <w:vAlign w:val="center"/>
          </w:tcPr>
          <w:p w14:paraId="0DE39762">
            <w:pPr>
              <w:snapToGrid w:val="0"/>
              <w:jc w:val="center"/>
              <w:rPr>
                <w:color w:val="auto"/>
                <w:sz w:val="24"/>
                <w:highlight w:val="none"/>
              </w:rPr>
            </w:pPr>
          </w:p>
        </w:tc>
      </w:tr>
      <w:tr w14:paraId="4CAE34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11" w:hRule="atLeast"/>
          <w:jc w:val="center"/>
        </w:trPr>
        <w:tc>
          <w:tcPr>
            <w:tcW w:w="9096" w:type="dxa"/>
            <w:gridSpan w:val="6"/>
            <w:tcBorders>
              <w:top w:val="single" w:color="auto" w:sz="6" w:space="0"/>
              <w:left w:val="single" w:color="auto" w:sz="12" w:space="0"/>
              <w:bottom w:val="single" w:color="auto" w:sz="4" w:space="0"/>
              <w:right w:val="single" w:color="auto" w:sz="12" w:space="0"/>
            </w:tcBorders>
            <w:vAlign w:val="center"/>
          </w:tcPr>
          <w:p w14:paraId="349E2774">
            <w:pPr>
              <w:snapToGrid w:val="0"/>
              <w:rPr>
                <w:color w:val="auto"/>
                <w:sz w:val="24"/>
                <w:highlight w:val="none"/>
              </w:rPr>
            </w:pPr>
            <w:r>
              <w:rPr>
                <w:rFonts w:hint="eastAsia"/>
                <w:color w:val="auto"/>
                <w:sz w:val="24"/>
                <w:highlight w:val="none"/>
              </w:rPr>
              <w:t>变更原因及内容（对应3</w:t>
            </w:r>
            <w:r>
              <w:rPr>
                <w:color w:val="auto"/>
                <w:sz w:val="24"/>
                <w:highlight w:val="none"/>
              </w:rPr>
              <w:t>.1</w:t>
            </w:r>
            <w:r>
              <w:rPr>
                <w:rFonts w:hint="eastAsia"/>
                <w:color w:val="auto"/>
                <w:sz w:val="24"/>
                <w:highlight w:val="none"/>
              </w:rPr>
              <w:t>条填写）：</w:t>
            </w:r>
          </w:p>
          <w:p w14:paraId="4EFECA53">
            <w:pPr>
              <w:snapToGrid w:val="0"/>
              <w:rPr>
                <w:color w:val="auto"/>
                <w:sz w:val="24"/>
                <w:highlight w:val="none"/>
              </w:rPr>
            </w:pPr>
          </w:p>
          <w:p w14:paraId="3C329315">
            <w:pPr>
              <w:snapToGrid w:val="0"/>
              <w:rPr>
                <w:color w:val="auto"/>
                <w:sz w:val="24"/>
                <w:highlight w:val="none"/>
              </w:rPr>
            </w:pPr>
          </w:p>
          <w:p w14:paraId="6A0B2B55">
            <w:pPr>
              <w:snapToGrid w:val="0"/>
              <w:rPr>
                <w:color w:val="auto"/>
                <w:sz w:val="24"/>
                <w:highlight w:val="none"/>
              </w:rPr>
            </w:pPr>
          </w:p>
          <w:p w14:paraId="2FBEAB61">
            <w:pPr>
              <w:snapToGrid w:val="0"/>
              <w:rPr>
                <w:color w:val="auto"/>
                <w:sz w:val="24"/>
                <w:highlight w:val="none"/>
              </w:rPr>
            </w:pPr>
          </w:p>
          <w:p w14:paraId="3F814EFB">
            <w:pPr>
              <w:snapToGrid w:val="0"/>
              <w:rPr>
                <w:color w:val="auto"/>
                <w:sz w:val="24"/>
                <w:highlight w:val="none"/>
              </w:rPr>
            </w:pPr>
          </w:p>
          <w:p w14:paraId="4E9A1E8A">
            <w:pPr>
              <w:snapToGrid w:val="0"/>
              <w:rPr>
                <w:color w:val="auto"/>
                <w:sz w:val="24"/>
                <w:highlight w:val="none"/>
              </w:rPr>
            </w:pPr>
          </w:p>
          <w:p w14:paraId="02DB8AFA">
            <w:pPr>
              <w:snapToGrid w:val="0"/>
              <w:rPr>
                <w:color w:val="auto"/>
                <w:sz w:val="24"/>
                <w:highlight w:val="none"/>
              </w:rPr>
            </w:pPr>
          </w:p>
          <w:p w14:paraId="72A8C20C">
            <w:pPr>
              <w:snapToGrid w:val="0"/>
              <w:rPr>
                <w:color w:val="auto"/>
                <w:sz w:val="24"/>
                <w:highlight w:val="none"/>
              </w:rPr>
            </w:pPr>
          </w:p>
          <w:p w14:paraId="391A727D">
            <w:pPr>
              <w:snapToGrid w:val="0"/>
              <w:rPr>
                <w:color w:val="auto"/>
                <w:sz w:val="24"/>
                <w:highlight w:val="none"/>
              </w:rPr>
            </w:pPr>
          </w:p>
          <w:p w14:paraId="474C76D8">
            <w:pPr>
              <w:snapToGrid w:val="0"/>
              <w:rPr>
                <w:color w:val="auto"/>
                <w:sz w:val="24"/>
                <w:highlight w:val="none"/>
              </w:rPr>
            </w:pPr>
          </w:p>
          <w:p w14:paraId="147FBF98">
            <w:pPr>
              <w:snapToGrid w:val="0"/>
              <w:rPr>
                <w:color w:val="auto"/>
                <w:sz w:val="24"/>
                <w:highlight w:val="none"/>
              </w:rPr>
            </w:pPr>
          </w:p>
        </w:tc>
      </w:tr>
      <w:tr w14:paraId="2980EA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52" w:hRule="atLeast"/>
          <w:jc w:val="center"/>
        </w:trPr>
        <w:tc>
          <w:tcPr>
            <w:tcW w:w="9096" w:type="dxa"/>
            <w:gridSpan w:val="6"/>
            <w:tcBorders>
              <w:top w:val="single" w:color="auto" w:sz="4" w:space="0"/>
              <w:left w:val="single" w:color="auto" w:sz="12" w:space="0"/>
              <w:bottom w:val="single" w:color="auto" w:sz="6" w:space="0"/>
              <w:right w:val="single" w:color="auto" w:sz="12" w:space="0"/>
            </w:tcBorders>
            <w:vAlign w:val="center"/>
          </w:tcPr>
          <w:p w14:paraId="767AC094">
            <w:pPr>
              <w:snapToGrid w:val="0"/>
              <w:rPr>
                <w:color w:val="auto"/>
                <w:sz w:val="24"/>
                <w:highlight w:val="none"/>
              </w:rPr>
            </w:pPr>
            <w:r>
              <w:rPr>
                <w:rFonts w:hint="eastAsia"/>
                <w:color w:val="auto"/>
                <w:sz w:val="24"/>
                <w:highlight w:val="none"/>
              </w:rPr>
              <w:t>设计单位专业设计人员：</w:t>
            </w:r>
          </w:p>
          <w:p w14:paraId="3911B57F">
            <w:pPr>
              <w:snapToGrid w:val="0"/>
              <w:rPr>
                <w:color w:val="auto"/>
                <w:sz w:val="24"/>
                <w:highlight w:val="none"/>
              </w:rPr>
            </w:pPr>
          </w:p>
          <w:p w14:paraId="3294F28E">
            <w:pPr>
              <w:rPr>
                <w:color w:val="auto"/>
                <w:highlight w:val="none"/>
              </w:rPr>
            </w:pPr>
          </w:p>
          <w:p w14:paraId="6E0B4D2F">
            <w:pPr>
              <w:snapToGrid w:val="0"/>
              <w:rPr>
                <w:color w:val="auto"/>
                <w:sz w:val="24"/>
                <w:highlight w:val="none"/>
              </w:rPr>
            </w:pPr>
          </w:p>
        </w:tc>
      </w:tr>
      <w:tr w14:paraId="0E516B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14" w:hRule="atLeast"/>
          <w:jc w:val="center"/>
        </w:trPr>
        <w:tc>
          <w:tcPr>
            <w:tcW w:w="3947" w:type="dxa"/>
            <w:gridSpan w:val="3"/>
            <w:tcBorders>
              <w:top w:val="single" w:color="auto" w:sz="6" w:space="0"/>
              <w:left w:val="single" w:color="auto" w:sz="12" w:space="0"/>
              <w:bottom w:val="single" w:color="auto" w:sz="6" w:space="0"/>
              <w:right w:val="single" w:color="auto" w:sz="6" w:space="0"/>
            </w:tcBorders>
            <w:vAlign w:val="center"/>
          </w:tcPr>
          <w:p w14:paraId="0070DFE1">
            <w:pPr>
              <w:rPr>
                <w:color w:val="auto"/>
                <w:highlight w:val="none"/>
              </w:rPr>
            </w:pPr>
          </w:p>
          <w:p w14:paraId="22D6FCBF">
            <w:pPr>
              <w:snapToGrid w:val="0"/>
              <w:rPr>
                <w:color w:val="auto"/>
                <w:sz w:val="24"/>
                <w:highlight w:val="none"/>
              </w:rPr>
            </w:pPr>
          </w:p>
          <w:p w14:paraId="6592AE06">
            <w:pPr>
              <w:snapToGrid w:val="0"/>
              <w:rPr>
                <w:color w:val="auto"/>
                <w:sz w:val="24"/>
                <w:highlight w:val="none"/>
              </w:rPr>
            </w:pPr>
          </w:p>
          <w:p w14:paraId="1199022C">
            <w:pPr>
              <w:snapToGrid w:val="0"/>
              <w:rPr>
                <w:color w:val="auto"/>
                <w:sz w:val="24"/>
                <w:highlight w:val="none"/>
              </w:rPr>
            </w:pPr>
            <w:r>
              <w:rPr>
                <w:rFonts w:hint="eastAsia"/>
                <w:color w:val="auto"/>
                <w:sz w:val="24"/>
                <w:highlight w:val="none"/>
              </w:rPr>
              <w:t>建设单位项目技术负责人：</w:t>
            </w:r>
          </w:p>
          <w:p w14:paraId="001905D9">
            <w:pPr>
              <w:snapToGrid w:val="0"/>
              <w:rPr>
                <w:color w:val="auto"/>
                <w:sz w:val="24"/>
                <w:highlight w:val="none"/>
              </w:rPr>
            </w:pPr>
          </w:p>
          <w:p w14:paraId="4418B06F">
            <w:pPr>
              <w:snapToGrid w:val="0"/>
              <w:rPr>
                <w:color w:val="auto"/>
                <w:sz w:val="24"/>
                <w:highlight w:val="none"/>
              </w:rPr>
            </w:pPr>
          </w:p>
        </w:tc>
        <w:tc>
          <w:tcPr>
            <w:tcW w:w="5149" w:type="dxa"/>
            <w:gridSpan w:val="3"/>
            <w:tcBorders>
              <w:top w:val="single" w:color="auto" w:sz="6" w:space="0"/>
              <w:left w:val="single" w:color="auto" w:sz="6" w:space="0"/>
              <w:bottom w:val="single" w:color="auto" w:sz="6" w:space="0"/>
              <w:right w:val="single" w:color="auto" w:sz="12" w:space="0"/>
            </w:tcBorders>
            <w:vAlign w:val="center"/>
          </w:tcPr>
          <w:p w14:paraId="78D2C937">
            <w:pPr>
              <w:snapToGrid w:val="0"/>
              <w:rPr>
                <w:color w:val="auto"/>
                <w:sz w:val="24"/>
                <w:highlight w:val="none"/>
              </w:rPr>
            </w:pPr>
            <w:r>
              <w:rPr>
                <w:rFonts w:hint="eastAsia"/>
                <w:color w:val="auto"/>
                <w:sz w:val="24"/>
                <w:highlight w:val="none"/>
              </w:rPr>
              <w:t>预决算审核意见：</w:t>
            </w:r>
          </w:p>
          <w:p w14:paraId="6F8C59E9">
            <w:pPr>
              <w:snapToGrid w:val="0"/>
              <w:rPr>
                <w:color w:val="auto"/>
                <w:sz w:val="24"/>
                <w:highlight w:val="none"/>
              </w:rPr>
            </w:pPr>
          </w:p>
          <w:p w14:paraId="734779DB">
            <w:pPr>
              <w:snapToGrid w:val="0"/>
              <w:rPr>
                <w:color w:val="auto"/>
                <w:sz w:val="24"/>
                <w:highlight w:val="none"/>
              </w:rPr>
            </w:pPr>
          </w:p>
          <w:p w14:paraId="646D147D">
            <w:pPr>
              <w:snapToGrid w:val="0"/>
              <w:rPr>
                <w:color w:val="auto"/>
                <w:sz w:val="24"/>
                <w:highlight w:val="none"/>
              </w:rPr>
            </w:pPr>
          </w:p>
          <w:p w14:paraId="4CA82843">
            <w:pPr>
              <w:snapToGrid w:val="0"/>
              <w:rPr>
                <w:color w:val="auto"/>
                <w:sz w:val="24"/>
                <w:highlight w:val="none"/>
              </w:rPr>
            </w:pPr>
          </w:p>
        </w:tc>
      </w:tr>
      <w:tr w14:paraId="4F9FA4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3" w:hRule="atLeast"/>
          <w:jc w:val="center"/>
        </w:trPr>
        <w:tc>
          <w:tcPr>
            <w:tcW w:w="3940" w:type="dxa"/>
            <w:gridSpan w:val="2"/>
            <w:tcBorders>
              <w:top w:val="single" w:color="auto" w:sz="6" w:space="0"/>
              <w:left w:val="single" w:color="auto" w:sz="12" w:space="0"/>
              <w:right w:val="single" w:color="auto" w:sz="4" w:space="0"/>
            </w:tcBorders>
            <w:vAlign w:val="center"/>
          </w:tcPr>
          <w:p w14:paraId="1AD31EB7">
            <w:pPr>
              <w:snapToGrid w:val="0"/>
              <w:rPr>
                <w:color w:val="auto"/>
                <w:sz w:val="24"/>
                <w:highlight w:val="none"/>
              </w:rPr>
            </w:pPr>
            <w:r>
              <w:rPr>
                <w:rFonts w:hint="eastAsia"/>
                <w:color w:val="auto"/>
                <w:sz w:val="24"/>
                <w:highlight w:val="none"/>
              </w:rPr>
              <w:t>建设单位项目（执行）经理：</w:t>
            </w:r>
          </w:p>
          <w:p w14:paraId="69B6BD20">
            <w:pPr>
              <w:snapToGrid w:val="0"/>
              <w:rPr>
                <w:color w:val="auto"/>
                <w:sz w:val="24"/>
                <w:highlight w:val="none"/>
              </w:rPr>
            </w:pPr>
            <w:r>
              <w:rPr>
                <w:color w:val="auto"/>
                <w:sz w:val="24"/>
                <w:highlight w:val="none"/>
              </w:rPr>
              <w:t>数智化工装技术中心领导：</w:t>
            </w:r>
          </w:p>
        </w:tc>
        <w:tc>
          <w:tcPr>
            <w:tcW w:w="5156" w:type="dxa"/>
            <w:gridSpan w:val="4"/>
            <w:tcBorders>
              <w:top w:val="single" w:color="auto" w:sz="6" w:space="0"/>
              <w:left w:val="single" w:color="auto" w:sz="4" w:space="0"/>
              <w:bottom w:val="single" w:color="auto" w:sz="4" w:space="0"/>
              <w:right w:val="single" w:color="auto" w:sz="12" w:space="0"/>
            </w:tcBorders>
            <w:vAlign w:val="center"/>
          </w:tcPr>
          <w:p w14:paraId="423F96EC">
            <w:pPr>
              <w:snapToGrid w:val="0"/>
              <w:rPr>
                <w:color w:val="auto"/>
                <w:sz w:val="24"/>
                <w:highlight w:val="none"/>
              </w:rPr>
            </w:pPr>
            <w:r>
              <w:rPr>
                <w:rFonts w:hint="eastAsia"/>
                <w:color w:val="auto"/>
                <w:sz w:val="24"/>
                <w:highlight w:val="none"/>
              </w:rPr>
              <w:t>建设单位项目执行经理考核建议：</w:t>
            </w:r>
          </w:p>
          <w:p w14:paraId="5F5AD956">
            <w:pPr>
              <w:snapToGrid w:val="0"/>
              <w:rPr>
                <w:color w:val="auto"/>
                <w:sz w:val="24"/>
                <w:highlight w:val="none"/>
              </w:rPr>
            </w:pPr>
          </w:p>
          <w:p w14:paraId="24122937">
            <w:pPr>
              <w:snapToGrid w:val="0"/>
              <w:rPr>
                <w:color w:val="auto"/>
                <w:sz w:val="24"/>
                <w:highlight w:val="none"/>
              </w:rPr>
            </w:pPr>
          </w:p>
        </w:tc>
      </w:tr>
      <w:tr w14:paraId="43ADAF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80" w:hRule="atLeast"/>
          <w:jc w:val="center"/>
        </w:trPr>
        <w:tc>
          <w:tcPr>
            <w:tcW w:w="3940" w:type="dxa"/>
            <w:gridSpan w:val="2"/>
            <w:tcBorders>
              <w:top w:val="single" w:color="auto" w:sz="4" w:space="0"/>
              <w:left w:val="single" w:color="auto" w:sz="12" w:space="0"/>
              <w:bottom w:val="single" w:color="auto" w:sz="6" w:space="0"/>
              <w:right w:val="single" w:color="auto" w:sz="4" w:space="0"/>
            </w:tcBorders>
            <w:vAlign w:val="center"/>
          </w:tcPr>
          <w:p w14:paraId="7F6C8675">
            <w:pPr>
              <w:snapToGrid w:val="0"/>
              <w:rPr>
                <w:color w:val="auto"/>
                <w:sz w:val="24"/>
                <w:highlight w:val="none"/>
              </w:rPr>
            </w:pPr>
            <w:r>
              <w:rPr>
                <w:rFonts w:hint="eastAsia"/>
                <w:color w:val="auto"/>
                <w:sz w:val="24"/>
                <w:highlight w:val="none"/>
              </w:rPr>
              <w:t>项目办领导审核意见（签字盖章）</w:t>
            </w:r>
          </w:p>
        </w:tc>
        <w:tc>
          <w:tcPr>
            <w:tcW w:w="5156" w:type="dxa"/>
            <w:gridSpan w:val="4"/>
            <w:tcBorders>
              <w:top w:val="single" w:color="auto" w:sz="4" w:space="0"/>
              <w:left w:val="single" w:color="auto" w:sz="4" w:space="0"/>
              <w:bottom w:val="single" w:color="auto" w:sz="6" w:space="0"/>
              <w:right w:val="single" w:color="auto" w:sz="12" w:space="0"/>
            </w:tcBorders>
            <w:vAlign w:val="center"/>
          </w:tcPr>
          <w:p w14:paraId="7367BCF7">
            <w:pPr>
              <w:widowControl/>
              <w:jc w:val="left"/>
              <w:rPr>
                <w:color w:val="auto"/>
                <w:sz w:val="24"/>
                <w:highlight w:val="none"/>
              </w:rPr>
            </w:pPr>
          </w:p>
          <w:p w14:paraId="17F28EE0">
            <w:pPr>
              <w:snapToGrid w:val="0"/>
              <w:rPr>
                <w:color w:val="auto"/>
                <w:sz w:val="24"/>
                <w:highlight w:val="none"/>
              </w:rPr>
            </w:pPr>
          </w:p>
        </w:tc>
      </w:tr>
      <w:tr w14:paraId="3B931D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60" w:hRule="atLeast"/>
          <w:jc w:val="center"/>
        </w:trPr>
        <w:tc>
          <w:tcPr>
            <w:tcW w:w="9096" w:type="dxa"/>
            <w:gridSpan w:val="6"/>
            <w:tcBorders>
              <w:top w:val="single" w:color="auto" w:sz="6" w:space="0"/>
              <w:left w:val="single" w:color="auto" w:sz="12" w:space="0"/>
              <w:bottom w:val="single" w:color="auto" w:sz="12" w:space="0"/>
              <w:right w:val="single" w:color="auto" w:sz="12" w:space="0"/>
            </w:tcBorders>
            <w:vAlign w:val="center"/>
          </w:tcPr>
          <w:p w14:paraId="06E466AD">
            <w:pPr>
              <w:snapToGrid w:val="0"/>
              <w:rPr>
                <w:color w:val="auto"/>
                <w:sz w:val="24"/>
                <w:highlight w:val="none"/>
              </w:rPr>
            </w:pPr>
            <w:r>
              <w:rPr>
                <w:rFonts w:hint="eastAsia"/>
                <w:color w:val="auto"/>
                <w:sz w:val="24"/>
                <w:highlight w:val="none"/>
              </w:rPr>
              <w:t>公司领导审核意见：</w:t>
            </w:r>
          </w:p>
          <w:p w14:paraId="7EE91D8F">
            <w:pPr>
              <w:snapToGrid w:val="0"/>
              <w:rPr>
                <w:color w:val="auto"/>
                <w:sz w:val="24"/>
                <w:highlight w:val="none"/>
              </w:rPr>
            </w:pPr>
          </w:p>
          <w:p w14:paraId="1382D009">
            <w:pPr>
              <w:snapToGrid w:val="0"/>
              <w:rPr>
                <w:color w:val="auto"/>
                <w:sz w:val="24"/>
                <w:highlight w:val="none"/>
              </w:rPr>
            </w:pPr>
          </w:p>
          <w:p w14:paraId="72D09209">
            <w:pPr>
              <w:snapToGrid w:val="0"/>
              <w:rPr>
                <w:color w:val="auto"/>
                <w:sz w:val="24"/>
                <w:highlight w:val="none"/>
              </w:rPr>
            </w:pPr>
          </w:p>
        </w:tc>
      </w:tr>
    </w:tbl>
    <w:p w14:paraId="2EC05BB0">
      <w:pPr>
        <w:pStyle w:val="67"/>
        <w:ind w:firstLine="0" w:firstLineChars="0"/>
        <w:rPr>
          <w:color w:val="auto"/>
          <w:highlight w:val="none"/>
        </w:rPr>
      </w:pPr>
    </w:p>
    <w:p w14:paraId="646E4CF5">
      <w:pPr>
        <w:pStyle w:val="67"/>
        <w:ind w:firstLine="0" w:firstLineChars="0"/>
        <w:rPr>
          <w:color w:val="auto"/>
          <w:highlight w:val="none"/>
        </w:rPr>
      </w:pPr>
    </w:p>
    <w:p w14:paraId="489A72F4">
      <w:pPr>
        <w:jc w:val="center"/>
        <w:rPr>
          <w:color w:val="auto"/>
          <w:highlight w:val="none"/>
        </w:rPr>
      </w:pPr>
    </w:p>
    <w:p w14:paraId="6C974EB0">
      <w:pPr>
        <w:jc w:val="center"/>
        <w:rPr>
          <w:color w:val="auto"/>
          <w:highlight w:val="none"/>
        </w:rPr>
      </w:pPr>
      <w:r>
        <w:rPr>
          <w:rFonts w:hint="eastAsia"/>
          <w:color w:val="auto"/>
          <w:highlight w:val="none"/>
        </w:rPr>
        <w:t>附录</w:t>
      </w:r>
      <w:r>
        <w:rPr>
          <w:color w:val="auto"/>
          <w:highlight w:val="none"/>
        </w:rPr>
        <w:t>D</w:t>
      </w:r>
      <w:r>
        <w:rPr>
          <w:color w:val="auto"/>
          <w:highlight w:val="none"/>
        </w:rPr>
        <w:br w:type="textWrapping"/>
      </w:r>
      <w:r>
        <w:rPr>
          <w:rFonts w:hint="eastAsia"/>
          <w:color w:val="auto"/>
          <w:highlight w:val="none"/>
        </w:rPr>
        <w:t>（规范性附录）</w:t>
      </w:r>
    </w:p>
    <w:p w14:paraId="5168CEBE">
      <w:pPr>
        <w:jc w:val="center"/>
        <w:rPr>
          <w:color w:val="auto"/>
          <w:highlight w:val="none"/>
        </w:rPr>
      </w:pPr>
      <w:r>
        <w:rPr>
          <w:rFonts w:hint="eastAsia"/>
          <w:color w:val="auto"/>
          <w:highlight w:val="none"/>
        </w:rPr>
        <w:t>工程设计变更申请审批表（施工单位）</w:t>
      </w:r>
    </w:p>
    <w:p w14:paraId="4F30EB25">
      <w:pPr>
        <w:pStyle w:val="67"/>
        <w:ind w:firstLine="630" w:firstLineChars="300"/>
        <w:rPr>
          <w:color w:val="auto"/>
          <w:szCs w:val="21"/>
          <w:highlight w:val="none"/>
          <w:u w:val="single"/>
        </w:rPr>
      </w:pPr>
      <w:r>
        <w:rPr>
          <w:rFonts w:hint="eastAsia"/>
          <w:color w:val="auto"/>
          <w:highlight w:val="none"/>
        </w:rPr>
        <w:t>合同编号</w:t>
      </w:r>
      <w:r>
        <w:rPr>
          <w:rFonts w:hint="eastAsia"/>
          <w:color w:val="auto"/>
          <w:szCs w:val="21"/>
          <w:highlight w:val="none"/>
          <w:u w:val="single"/>
        </w:rPr>
        <w:t xml:space="preserve">                 </w:t>
      </w:r>
      <w:r>
        <w:rPr>
          <w:color w:val="auto"/>
          <w:szCs w:val="21"/>
          <w:highlight w:val="none"/>
        </w:rPr>
        <w:t xml:space="preserve">  </w:t>
      </w:r>
      <w:r>
        <w:rPr>
          <w:rFonts w:hint="eastAsia"/>
          <w:color w:val="auto"/>
          <w:szCs w:val="21"/>
          <w:highlight w:val="none"/>
        </w:rPr>
        <w:t>记录编号</w:t>
      </w:r>
      <w:r>
        <w:rPr>
          <w:rFonts w:hint="eastAsia"/>
          <w:color w:val="auto"/>
          <w:szCs w:val="21"/>
          <w:highlight w:val="none"/>
          <w:u w:val="single"/>
        </w:rPr>
        <w:t xml:space="preserve">：J/SZ </w:t>
      </w:r>
      <w:r>
        <w:rPr>
          <w:color w:val="auto"/>
          <w:szCs w:val="21"/>
          <w:highlight w:val="none"/>
          <w:u w:val="single"/>
        </w:rPr>
        <w:t>S05.007.3-</w:t>
      </w:r>
      <w:r>
        <w:rPr>
          <w:rFonts w:hint="eastAsia"/>
          <w:color w:val="auto"/>
          <w:szCs w:val="21"/>
          <w:highlight w:val="none"/>
          <w:u w:val="single"/>
        </w:rPr>
        <w:t>4</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保存期</w:t>
      </w:r>
      <w:r>
        <w:rPr>
          <w:rFonts w:hint="eastAsia"/>
          <w:color w:val="auto"/>
          <w:szCs w:val="21"/>
          <w:highlight w:val="none"/>
          <w:u w:val="single"/>
        </w:rPr>
        <w:t xml:space="preserve"> 长期</w:t>
      </w:r>
    </w:p>
    <w:tbl>
      <w:tblPr>
        <w:tblStyle w:val="2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20"/>
        <w:gridCol w:w="792"/>
        <w:gridCol w:w="1159"/>
        <w:gridCol w:w="901"/>
        <w:gridCol w:w="1541"/>
        <w:gridCol w:w="3045"/>
      </w:tblGrid>
      <w:tr w14:paraId="6E7F2F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6" w:hRule="atLeast"/>
          <w:jc w:val="center"/>
        </w:trPr>
        <w:tc>
          <w:tcPr>
            <w:tcW w:w="1920" w:type="dxa"/>
            <w:tcBorders>
              <w:top w:val="single" w:color="auto" w:sz="12" w:space="0"/>
              <w:left w:val="single" w:color="auto" w:sz="12" w:space="0"/>
              <w:bottom w:val="single" w:color="auto" w:sz="6" w:space="0"/>
              <w:right w:val="single" w:color="auto" w:sz="6" w:space="0"/>
            </w:tcBorders>
            <w:vAlign w:val="center"/>
          </w:tcPr>
          <w:p w14:paraId="6A5910E0">
            <w:pPr>
              <w:snapToGrid w:val="0"/>
              <w:jc w:val="center"/>
              <w:rPr>
                <w:color w:val="auto"/>
                <w:sz w:val="24"/>
                <w:highlight w:val="none"/>
              </w:rPr>
            </w:pPr>
            <w:r>
              <w:rPr>
                <w:rFonts w:hint="eastAsia"/>
                <w:color w:val="auto"/>
                <w:sz w:val="24"/>
                <w:highlight w:val="none"/>
              </w:rPr>
              <w:t>工程名称</w:t>
            </w:r>
          </w:p>
        </w:tc>
        <w:tc>
          <w:tcPr>
            <w:tcW w:w="2852" w:type="dxa"/>
            <w:gridSpan w:val="3"/>
            <w:tcBorders>
              <w:top w:val="single" w:color="auto" w:sz="12" w:space="0"/>
              <w:left w:val="single" w:color="auto" w:sz="6" w:space="0"/>
              <w:bottom w:val="single" w:color="auto" w:sz="6" w:space="0"/>
              <w:right w:val="single" w:color="auto" w:sz="6" w:space="0"/>
            </w:tcBorders>
            <w:vAlign w:val="center"/>
          </w:tcPr>
          <w:p w14:paraId="4DC6DDF4">
            <w:pPr>
              <w:snapToGrid w:val="0"/>
              <w:jc w:val="center"/>
              <w:rPr>
                <w:color w:val="auto"/>
                <w:sz w:val="24"/>
                <w:highlight w:val="none"/>
              </w:rPr>
            </w:pPr>
          </w:p>
        </w:tc>
        <w:tc>
          <w:tcPr>
            <w:tcW w:w="1541" w:type="dxa"/>
            <w:tcBorders>
              <w:top w:val="single" w:color="auto" w:sz="12" w:space="0"/>
              <w:left w:val="single" w:color="auto" w:sz="6" w:space="0"/>
              <w:bottom w:val="single" w:color="auto" w:sz="6" w:space="0"/>
              <w:right w:val="single" w:color="auto" w:sz="6" w:space="0"/>
            </w:tcBorders>
            <w:vAlign w:val="center"/>
          </w:tcPr>
          <w:p w14:paraId="591D2C4E">
            <w:pPr>
              <w:snapToGrid w:val="0"/>
              <w:jc w:val="center"/>
              <w:rPr>
                <w:color w:val="auto"/>
                <w:sz w:val="24"/>
                <w:highlight w:val="none"/>
              </w:rPr>
            </w:pPr>
            <w:r>
              <w:rPr>
                <w:rFonts w:hint="eastAsia"/>
                <w:color w:val="auto"/>
                <w:sz w:val="24"/>
                <w:highlight w:val="none"/>
              </w:rPr>
              <w:t>变更部位</w:t>
            </w:r>
          </w:p>
        </w:tc>
        <w:tc>
          <w:tcPr>
            <w:tcW w:w="3045" w:type="dxa"/>
            <w:tcBorders>
              <w:top w:val="single" w:color="auto" w:sz="12" w:space="0"/>
              <w:left w:val="single" w:color="auto" w:sz="6" w:space="0"/>
              <w:bottom w:val="single" w:color="auto" w:sz="6" w:space="0"/>
              <w:right w:val="single" w:color="auto" w:sz="12" w:space="0"/>
            </w:tcBorders>
            <w:vAlign w:val="center"/>
          </w:tcPr>
          <w:p w14:paraId="501A6483">
            <w:pPr>
              <w:snapToGrid w:val="0"/>
              <w:jc w:val="center"/>
              <w:rPr>
                <w:color w:val="auto"/>
                <w:sz w:val="24"/>
                <w:highlight w:val="none"/>
              </w:rPr>
            </w:pPr>
          </w:p>
        </w:tc>
      </w:tr>
      <w:tr w14:paraId="344173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8" w:hRule="atLeast"/>
          <w:jc w:val="center"/>
        </w:trPr>
        <w:tc>
          <w:tcPr>
            <w:tcW w:w="1920" w:type="dxa"/>
            <w:tcBorders>
              <w:top w:val="single" w:color="auto" w:sz="6" w:space="0"/>
              <w:left w:val="single" w:color="auto" w:sz="12" w:space="0"/>
              <w:bottom w:val="single" w:color="auto" w:sz="6" w:space="0"/>
              <w:right w:val="single" w:color="auto" w:sz="6" w:space="0"/>
            </w:tcBorders>
            <w:vAlign w:val="center"/>
          </w:tcPr>
          <w:p w14:paraId="6CE6F013">
            <w:pPr>
              <w:snapToGrid w:val="0"/>
              <w:jc w:val="center"/>
              <w:rPr>
                <w:color w:val="auto"/>
                <w:sz w:val="24"/>
                <w:highlight w:val="none"/>
              </w:rPr>
            </w:pPr>
            <w:r>
              <w:rPr>
                <w:rFonts w:hint="eastAsia"/>
                <w:color w:val="auto"/>
                <w:sz w:val="24"/>
                <w:highlight w:val="none"/>
              </w:rPr>
              <w:t>原设计图名称</w:t>
            </w:r>
          </w:p>
        </w:tc>
        <w:tc>
          <w:tcPr>
            <w:tcW w:w="2852" w:type="dxa"/>
            <w:gridSpan w:val="3"/>
            <w:tcBorders>
              <w:top w:val="single" w:color="auto" w:sz="6" w:space="0"/>
              <w:left w:val="single" w:color="auto" w:sz="6" w:space="0"/>
              <w:bottom w:val="single" w:color="auto" w:sz="6" w:space="0"/>
              <w:right w:val="single" w:color="auto" w:sz="6" w:space="0"/>
            </w:tcBorders>
            <w:vAlign w:val="center"/>
          </w:tcPr>
          <w:p w14:paraId="245A9E77">
            <w:pPr>
              <w:snapToGrid w:val="0"/>
              <w:jc w:val="center"/>
              <w:rPr>
                <w:color w:val="auto"/>
                <w:sz w:val="24"/>
                <w:highlight w:val="none"/>
              </w:rPr>
            </w:pPr>
          </w:p>
        </w:tc>
        <w:tc>
          <w:tcPr>
            <w:tcW w:w="1541" w:type="dxa"/>
            <w:tcBorders>
              <w:top w:val="single" w:color="auto" w:sz="6" w:space="0"/>
              <w:left w:val="single" w:color="auto" w:sz="6" w:space="0"/>
              <w:bottom w:val="single" w:color="auto" w:sz="6" w:space="0"/>
              <w:right w:val="single" w:color="auto" w:sz="6" w:space="0"/>
            </w:tcBorders>
            <w:vAlign w:val="center"/>
          </w:tcPr>
          <w:p w14:paraId="516B0ED6">
            <w:pPr>
              <w:snapToGrid w:val="0"/>
              <w:ind w:left="-134" w:leftChars="-64"/>
              <w:jc w:val="center"/>
              <w:rPr>
                <w:color w:val="auto"/>
                <w:sz w:val="24"/>
                <w:highlight w:val="none"/>
              </w:rPr>
            </w:pPr>
            <w:r>
              <w:rPr>
                <w:rFonts w:hint="eastAsia"/>
                <w:color w:val="auto"/>
                <w:sz w:val="24"/>
                <w:highlight w:val="none"/>
              </w:rPr>
              <w:t>图    号</w:t>
            </w:r>
          </w:p>
        </w:tc>
        <w:tc>
          <w:tcPr>
            <w:tcW w:w="3045" w:type="dxa"/>
            <w:tcBorders>
              <w:top w:val="single" w:color="auto" w:sz="6" w:space="0"/>
              <w:left w:val="single" w:color="auto" w:sz="6" w:space="0"/>
              <w:bottom w:val="single" w:color="auto" w:sz="6" w:space="0"/>
              <w:right w:val="single" w:color="auto" w:sz="12" w:space="0"/>
            </w:tcBorders>
            <w:vAlign w:val="center"/>
          </w:tcPr>
          <w:p w14:paraId="3A3B7C51">
            <w:pPr>
              <w:snapToGrid w:val="0"/>
              <w:jc w:val="center"/>
              <w:rPr>
                <w:color w:val="auto"/>
                <w:sz w:val="24"/>
                <w:highlight w:val="none"/>
              </w:rPr>
            </w:pPr>
          </w:p>
        </w:tc>
      </w:tr>
      <w:tr w14:paraId="222710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244" w:hRule="atLeast"/>
          <w:jc w:val="center"/>
        </w:trPr>
        <w:tc>
          <w:tcPr>
            <w:tcW w:w="9358" w:type="dxa"/>
            <w:gridSpan w:val="6"/>
            <w:tcBorders>
              <w:top w:val="single" w:color="auto" w:sz="6" w:space="0"/>
              <w:left w:val="single" w:color="auto" w:sz="12" w:space="0"/>
              <w:bottom w:val="single" w:color="auto" w:sz="4" w:space="0"/>
              <w:right w:val="single" w:color="auto" w:sz="12" w:space="0"/>
            </w:tcBorders>
            <w:vAlign w:val="center"/>
          </w:tcPr>
          <w:p w14:paraId="2F3E8DE6">
            <w:pPr>
              <w:snapToGrid w:val="0"/>
              <w:rPr>
                <w:color w:val="auto"/>
                <w:sz w:val="24"/>
                <w:highlight w:val="none"/>
              </w:rPr>
            </w:pPr>
            <w:r>
              <w:rPr>
                <w:rFonts w:hint="eastAsia"/>
                <w:color w:val="auto"/>
                <w:sz w:val="24"/>
                <w:highlight w:val="none"/>
              </w:rPr>
              <w:t>变更原因及内容（对应3</w:t>
            </w:r>
            <w:r>
              <w:rPr>
                <w:color w:val="auto"/>
                <w:sz w:val="24"/>
                <w:highlight w:val="none"/>
              </w:rPr>
              <w:t>.1</w:t>
            </w:r>
            <w:r>
              <w:rPr>
                <w:rFonts w:hint="eastAsia"/>
                <w:color w:val="auto"/>
                <w:sz w:val="24"/>
                <w:highlight w:val="none"/>
              </w:rPr>
              <w:t>条填写）：</w:t>
            </w:r>
          </w:p>
          <w:p w14:paraId="12480309">
            <w:pPr>
              <w:snapToGrid w:val="0"/>
              <w:rPr>
                <w:color w:val="auto"/>
                <w:sz w:val="24"/>
                <w:highlight w:val="none"/>
              </w:rPr>
            </w:pPr>
          </w:p>
          <w:p w14:paraId="147A9EC7">
            <w:pPr>
              <w:snapToGrid w:val="0"/>
              <w:rPr>
                <w:color w:val="auto"/>
                <w:sz w:val="24"/>
                <w:highlight w:val="none"/>
              </w:rPr>
            </w:pPr>
          </w:p>
          <w:p w14:paraId="6B61F7AD">
            <w:pPr>
              <w:snapToGrid w:val="0"/>
              <w:rPr>
                <w:color w:val="auto"/>
                <w:sz w:val="24"/>
                <w:highlight w:val="none"/>
              </w:rPr>
            </w:pPr>
          </w:p>
          <w:p w14:paraId="0D81A370">
            <w:pPr>
              <w:snapToGrid w:val="0"/>
              <w:rPr>
                <w:color w:val="auto"/>
                <w:sz w:val="24"/>
                <w:highlight w:val="none"/>
              </w:rPr>
            </w:pPr>
          </w:p>
          <w:p w14:paraId="340A0723">
            <w:pPr>
              <w:snapToGrid w:val="0"/>
              <w:rPr>
                <w:color w:val="auto"/>
                <w:sz w:val="24"/>
                <w:highlight w:val="none"/>
              </w:rPr>
            </w:pPr>
          </w:p>
          <w:p w14:paraId="7D881905">
            <w:pPr>
              <w:snapToGrid w:val="0"/>
              <w:rPr>
                <w:color w:val="auto"/>
                <w:sz w:val="24"/>
                <w:highlight w:val="none"/>
              </w:rPr>
            </w:pPr>
          </w:p>
          <w:p w14:paraId="63C2E9A8">
            <w:pPr>
              <w:snapToGrid w:val="0"/>
              <w:rPr>
                <w:color w:val="auto"/>
                <w:sz w:val="24"/>
                <w:highlight w:val="none"/>
              </w:rPr>
            </w:pPr>
          </w:p>
          <w:p w14:paraId="209F7FFF">
            <w:pPr>
              <w:snapToGrid w:val="0"/>
              <w:rPr>
                <w:color w:val="auto"/>
                <w:sz w:val="24"/>
                <w:highlight w:val="none"/>
              </w:rPr>
            </w:pPr>
          </w:p>
          <w:p w14:paraId="045997C2">
            <w:pPr>
              <w:snapToGrid w:val="0"/>
              <w:rPr>
                <w:color w:val="auto"/>
                <w:sz w:val="24"/>
                <w:highlight w:val="none"/>
              </w:rPr>
            </w:pPr>
          </w:p>
          <w:p w14:paraId="3DF36A27">
            <w:pPr>
              <w:snapToGrid w:val="0"/>
              <w:rPr>
                <w:color w:val="auto"/>
                <w:sz w:val="24"/>
                <w:highlight w:val="none"/>
              </w:rPr>
            </w:pPr>
          </w:p>
          <w:p w14:paraId="12F0F3C0">
            <w:pPr>
              <w:snapToGrid w:val="0"/>
              <w:rPr>
                <w:color w:val="auto"/>
                <w:sz w:val="24"/>
                <w:highlight w:val="none"/>
              </w:rPr>
            </w:pPr>
          </w:p>
        </w:tc>
      </w:tr>
      <w:tr w14:paraId="0C42CF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43" w:hRule="atLeast"/>
          <w:jc w:val="center"/>
        </w:trPr>
        <w:tc>
          <w:tcPr>
            <w:tcW w:w="9358" w:type="dxa"/>
            <w:gridSpan w:val="6"/>
            <w:tcBorders>
              <w:top w:val="single" w:color="auto" w:sz="4" w:space="0"/>
              <w:left w:val="single" w:color="auto" w:sz="12" w:space="0"/>
              <w:bottom w:val="single" w:color="auto" w:sz="6" w:space="0"/>
              <w:right w:val="single" w:color="auto" w:sz="12" w:space="0"/>
            </w:tcBorders>
            <w:vAlign w:val="center"/>
          </w:tcPr>
          <w:p w14:paraId="2F815447">
            <w:pPr>
              <w:snapToGrid w:val="0"/>
              <w:rPr>
                <w:color w:val="auto"/>
                <w:sz w:val="24"/>
                <w:highlight w:val="none"/>
              </w:rPr>
            </w:pPr>
            <w:r>
              <w:rPr>
                <w:rFonts w:hint="eastAsia"/>
                <w:color w:val="auto"/>
                <w:sz w:val="24"/>
                <w:highlight w:val="none"/>
              </w:rPr>
              <w:t>施工单位专业技术负责人：</w:t>
            </w:r>
          </w:p>
          <w:p w14:paraId="34FDC6A7">
            <w:pPr>
              <w:snapToGrid w:val="0"/>
              <w:rPr>
                <w:color w:val="auto"/>
                <w:sz w:val="24"/>
                <w:highlight w:val="none"/>
              </w:rPr>
            </w:pPr>
          </w:p>
          <w:p w14:paraId="26BD6314">
            <w:pPr>
              <w:snapToGrid w:val="0"/>
              <w:rPr>
                <w:color w:val="auto"/>
                <w:sz w:val="24"/>
                <w:highlight w:val="none"/>
              </w:rPr>
            </w:pPr>
            <w:r>
              <w:rPr>
                <w:rFonts w:hint="eastAsia"/>
                <w:color w:val="auto"/>
                <w:sz w:val="24"/>
                <w:highlight w:val="none"/>
              </w:rPr>
              <w:t>施工单位项目经理（盖章）：</w:t>
            </w:r>
          </w:p>
          <w:p w14:paraId="2662D0CF">
            <w:pPr>
              <w:snapToGrid w:val="0"/>
              <w:rPr>
                <w:color w:val="auto"/>
                <w:sz w:val="24"/>
                <w:highlight w:val="none"/>
              </w:rPr>
            </w:pPr>
          </w:p>
        </w:tc>
      </w:tr>
      <w:tr w14:paraId="4C166A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48" w:hRule="atLeast"/>
          <w:jc w:val="center"/>
        </w:trPr>
        <w:tc>
          <w:tcPr>
            <w:tcW w:w="9358" w:type="dxa"/>
            <w:gridSpan w:val="6"/>
            <w:tcBorders>
              <w:top w:val="single" w:color="auto" w:sz="4" w:space="0"/>
              <w:left w:val="single" w:color="auto" w:sz="12" w:space="0"/>
              <w:bottom w:val="single" w:color="auto" w:sz="6" w:space="0"/>
              <w:right w:val="single" w:color="auto" w:sz="12" w:space="0"/>
            </w:tcBorders>
            <w:vAlign w:val="center"/>
          </w:tcPr>
          <w:p w14:paraId="2C0EB835">
            <w:pPr>
              <w:snapToGrid w:val="0"/>
              <w:rPr>
                <w:color w:val="auto"/>
                <w:sz w:val="24"/>
                <w:highlight w:val="none"/>
              </w:rPr>
            </w:pPr>
            <w:r>
              <w:rPr>
                <w:rFonts w:hint="eastAsia"/>
                <w:color w:val="auto"/>
                <w:sz w:val="24"/>
                <w:highlight w:val="none"/>
              </w:rPr>
              <w:t>建设单位专业设计人员：</w:t>
            </w:r>
          </w:p>
          <w:p w14:paraId="0EA10F5A">
            <w:pPr>
              <w:snapToGrid w:val="0"/>
              <w:rPr>
                <w:color w:val="auto"/>
                <w:sz w:val="24"/>
                <w:highlight w:val="none"/>
              </w:rPr>
            </w:pPr>
          </w:p>
          <w:p w14:paraId="61545998">
            <w:pPr>
              <w:snapToGrid w:val="0"/>
              <w:rPr>
                <w:color w:val="auto"/>
                <w:sz w:val="24"/>
                <w:highlight w:val="none"/>
              </w:rPr>
            </w:pPr>
            <w:r>
              <w:rPr>
                <w:rFonts w:hint="eastAsia"/>
                <w:color w:val="auto"/>
                <w:sz w:val="24"/>
                <w:highlight w:val="none"/>
              </w:rPr>
              <w:t>建设单位项目技术负责人：</w:t>
            </w:r>
          </w:p>
          <w:p w14:paraId="3FAD983D">
            <w:pPr>
              <w:snapToGrid w:val="0"/>
              <w:rPr>
                <w:color w:val="auto"/>
                <w:sz w:val="24"/>
                <w:highlight w:val="none"/>
              </w:rPr>
            </w:pPr>
          </w:p>
        </w:tc>
      </w:tr>
      <w:tr w14:paraId="15D9CF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49" w:hRule="atLeast"/>
          <w:jc w:val="center"/>
        </w:trPr>
        <w:tc>
          <w:tcPr>
            <w:tcW w:w="3871" w:type="dxa"/>
            <w:gridSpan w:val="3"/>
            <w:tcBorders>
              <w:top w:val="single" w:color="auto" w:sz="6" w:space="0"/>
              <w:left w:val="single" w:color="auto" w:sz="12" w:space="0"/>
              <w:bottom w:val="single" w:color="auto" w:sz="6" w:space="0"/>
              <w:right w:val="single" w:color="auto" w:sz="6" w:space="0"/>
            </w:tcBorders>
            <w:vAlign w:val="center"/>
          </w:tcPr>
          <w:p w14:paraId="38321FC2">
            <w:pPr>
              <w:snapToGrid w:val="0"/>
              <w:rPr>
                <w:color w:val="auto"/>
                <w:sz w:val="24"/>
                <w:highlight w:val="none"/>
              </w:rPr>
            </w:pPr>
            <w:r>
              <w:rPr>
                <w:rFonts w:hint="eastAsia"/>
                <w:color w:val="auto"/>
                <w:sz w:val="24"/>
                <w:highlight w:val="none"/>
              </w:rPr>
              <w:t>设计单位审核意见：（盖章）</w:t>
            </w:r>
          </w:p>
          <w:p w14:paraId="3565A330">
            <w:pPr>
              <w:snapToGrid w:val="0"/>
              <w:rPr>
                <w:color w:val="auto"/>
                <w:sz w:val="24"/>
                <w:highlight w:val="none"/>
              </w:rPr>
            </w:pPr>
          </w:p>
          <w:p w14:paraId="795D7D1B">
            <w:pPr>
              <w:snapToGrid w:val="0"/>
              <w:rPr>
                <w:color w:val="auto"/>
                <w:sz w:val="24"/>
                <w:highlight w:val="none"/>
              </w:rPr>
            </w:pPr>
          </w:p>
        </w:tc>
        <w:tc>
          <w:tcPr>
            <w:tcW w:w="5487" w:type="dxa"/>
            <w:gridSpan w:val="3"/>
            <w:tcBorders>
              <w:top w:val="single" w:color="auto" w:sz="6" w:space="0"/>
              <w:left w:val="single" w:color="auto" w:sz="6" w:space="0"/>
              <w:bottom w:val="single" w:color="auto" w:sz="6" w:space="0"/>
              <w:right w:val="single" w:color="auto" w:sz="12" w:space="0"/>
            </w:tcBorders>
            <w:vAlign w:val="center"/>
          </w:tcPr>
          <w:p w14:paraId="7A09C0FF">
            <w:pPr>
              <w:snapToGrid w:val="0"/>
              <w:rPr>
                <w:color w:val="auto"/>
                <w:sz w:val="24"/>
                <w:highlight w:val="none"/>
              </w:rPr>
            </w:pPr>
            <w:r>
              <w:rPr>
                <w:rFonts w:hint="eastAsia"/>
                <w:color w:val="auto"/>
                <w:sz w:val="24"/>
                <w:highlight w:val="none"/>
              </w:rPr>
              <w:t>预决算审核意见：</w:t>
            </w:r>
          </w:p>
          <w:p w14:paraId="2C90D6CF">
            <w:pPr>
              <w:snapToGrid w:val="0"/>
              <w:rPr>
                <w:color w:val="auto"/>
                <w:sz w:val="24"/>
                <w:highlight w:val="none"/>
              </w:rPr>
            </w:pPr>
          </w:p>
          <w:p w14:paraId="39F0ABF0">
            <w:pPr>
              <w:rPr>
                <w:color w:val="auto"/>
                <w:highlight w:val="none"/>
              </w:rPr>
            </w:pPr>
          </w:p>
          <w:p w14:paraId="4C01C27A">
            <w:pPr>
              <w:snapToGrid w:val="0"/>
              <w:rPr>
                <w:color w:val="auto"/>
                <w:sz w:val="24"/>
                <w:highlight w:val="none"/>
              </w:rPr>
            </w:pPr>
          </w:p>
        </w:tc>
      </w:tr>
      <w:tr w14:paraId="7AB182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17" w:hRule="atLeast"/>
          <w:jc w:val="center"/>
        </w:trPr>
        <w:tc>
          <w:tcPr>
            <w:tcW w:w="2712" w:type="dxa"/>
            <w:gridSpan w:val="2"/>
            <w:tcBorders>
              <w:top w:val="single" w:color="auto" w:sz="6" w:space="0"/>
              <w:left w:val="single" w:color="auto" w:sz="12" w:space="0"/>
              <w:right w:val="single" w:color="auto" w:sz="4" w:space="0"/>
            </w:tcBorders>
            <w:vAlign w:val="center"/>
          </w:tcPr>
          <w:p w14:paraId="5427D90F">
            <w:pPr>
              <w:snapToGrid w:val="0"/>
              <w:rPr>
                <w:color w:val="auto"/>
                <w:sz w:val="24"/>
                <w:highlight w:val="none"/>
              </w:rPr>
            </w:pPr>
            <w:r>
              <w:rPr>
                <w:rFonts w:hint="eastAsia"/>
                <w:color w:val="auto"/>
                <w:sz w:val="24"/>
                <w:highlight w:val="none"/>
              </w:rPr>
              <w:t>建设单位项目（执行）经理：</w:t>
            </w:r>
          </w:p>
          <w:p w14:paraId="1567C628">
            <w:pPr>
              <w:snapToGrid w:val="0"/>
              <w:rPr>
                <w:color w:val="auto"/>
                <w:sz w:val="24"/>
                <w:highlight w:val="none"/>
              </w:rPr>
            </w:pPr>
            <w:r>
              <w:rPr>
                <w:color w:val="auto"/>
                <w:sz w:val="24"/>
                <w:highlight w:val="none"/>
              </w:rPr>
              <w:t>数智化工装技术中心领导：</w:t>
            </w:r>
          </w:p>
        </w:tc>
        <w:tc>
          <w:tcPr>
            <w:tcW w:w="6646" w:type="dxa"/>
            <w:gridSpan w:val="4"/>
            <w:tcBorders>
              <w:top w:val="single" w:color="auto" w:sz="6" w:space="0"/>
              <w:left w:val="single" w:color="auto" w:sz="4" w:space="0"/>
              <w:bottom w:val="single" w:color="auto" w:sz="4" w:space="0"/>
              <w:right w:val="single" w:color="auto" w:sz="12" w:space="0"/>
            </w:tcBorders>
            <w:vAlign w:val="center"/>
          </w:tcPr>
          <w:p w14:paraId="7D28795C">
            <w:pPr>
              <w:snapToGrid w:val="0"/>
              <w:rPr>
                <w:color w:val="auto"/>
                <w:sz w:val="24"/>
                <w:highlight w:val="none"/>
              </w:rPr>
            </w:pPr>
            <w:r>
              <w:rPr>
                <w:rFonts w:hint="eastAsia"/>
                <w:color w:val="auto"/>
                <w:sz w:val="24"/>
                <w:highlight w:val="none"/>
              </w:rPr>
              <w:t>建设单位项目执行经理考核建议：</w:t>
            </w:r>
          </w:p>
          <w:p w14:paraId="6B91F2C1">
            <w:pPr>
              <w:snapToGrid w:val="0"/>
              <w:rPr>
                <w:color w:val="auto"/>
                <w:sz w:val="24"/>
                <w:highlight w:val="none"/>
              </w:rPr>
            </w:pPr>
          </w:p>
          <w:p w14:paraId="681E5957">
            <w:pPr>
              <w:snapToGrid w:val="0"/>
              <w:rPr>
                <w:color w:val="auto"/>
                <w:sz w:val="24"/>
                <w:highlight w:val="none"/>
              </w:rPr>
            </w:pPr>
          </w:p>
          <w:p w14:paraId="09C6A113">
            <w:pPr>
              <w:snapToGrid w:val="0"/>
              <w:rPr>
                <w:color w:val="auto"/>
                <w:sz w:val="24"/>
                <w:highlight w:val="none"/>
              </w:rPr>
            </w:pPr>
          </w:p>
        </w:tc>
      </w:tr>
      <w:tr w14:paraId="0EF348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9" w:hRule="atLeast"/>
          <w:jc w:val="center"/>
        </w:trPr>
        <w:tc>
          <w:tcPr>
            <w:tcW w:w="2712" w:type="dxa"/>
            <w:gridSpan w:val="2"/>
            <w:tcBorders>
              <w:top w:val="single" w:color="auto" w:sz="4" w:space="0"/>
              <w:left w:val="single" w:color="auto" w:sz="12" w:space="0"/>
              <w:bottom w:val="single" w:color="auto" w:sz="6" w:space="0"/>
              <w:right w:val="single" w:color="auto" w:sz="4" w:space="0"/>
            </w:tcBorders>
            <w:vAlign w:val="center"/>
          </w:tcPr>
          <w:p w14:paraId="261CA7AD">
            <w:pPr>
              <w:snapToGrid w:val="0"/>
              <w:rPr>
                <w:color w:val="auto"/>
                <w:sz w:val="24"/>
                <w:highlight w:val="none"/>
              </w:rPr>
            </w:pPr>
            <w:r>
              <w:rPr>
                <w:rFonts w:hint="eastAsia"/>
                <w:color w:val="auto"/>
                <w:sz w:val="24"/>
                <w:highlight w:val="none"/>
              </w:rPr>
              <w:t>项目办领导审核意见（签字盖章）</w:t>
            </w:r>
          </w:p>
        </w:tc>
        <w:tc>
          <w:tcPr>
            <w:tcW w:w="6646" w:type="dxa"/>
            <w:gridSpan w:val="4"/>
            <w:tcBorders>
              <w:top w:val="single" w:color="auto" w:sz="4" w:space="0"/>
              <w:left w:val="single" w:color="auto" w:sz="4" w:space="0"/>
              <w:bottom w:val="single" w:color="auto" w:sz="6" w:space="0"/>
              <w:right w:val="single" w:color="auto" w:sz="12" w:space="0"/>
            </w:tcBorders>
            <w:vAlign w:val="center"/>
          </w:tcPr>
          <w:p w14:paraId="10FB967A">
            <w:pPr>
              <w:widowControl/>
              <w:jc w:val="left"/>
              <w:rPr>
                <w:color w:val="auto"/>
                <w:sz w:val="24"/>
                <w:highlight w:val="none"/>
              </w:rPr>
            </w:pPr>
          </w:p>
          <w:p w14:paraId="444B25A4">
            <w:pPr>
              <w:snapToGrid w:val="0"/>
              <w:rPr>
                <w:color w:val="auto"/>
                <w:sz w:val="24"/>
                <w:highlight w:val="none"/>
              </w:rPr>
            </w:pPr>
          </w:p>
        </w:tc>
      </w:tr>
      <w:tr w14:paraId="1FFBA4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46" w:hRule="atLeast"/>
          <w:jc w:val="center"/>
        </w:trPr>
        <w:tc>
          <w:tcPr>
            <w:tcW w:w="9358" w:type="dxa"/>
            <w:gridSpan w:val="6"/>
            <w:tcBorders>
              <w:top w:val="single" w:color="auto" w:sz="6" w:space="0"/>
              <w:left w:val="single" w:color="auto" w:sz="12" w:space="0"/>
              <w:bottom w:val="single" w:color="auto" w:sz="12" w:space="0"/>
              <w:right w:val="single" w:color="auto" w:sz="12" w:space="0"/>
            </w:tcBorders>
            <w:vAlign w:val="center"/>
          </w:tcPr>
          <w:p w14:paraId="37054B86">
            <w:pPr>
              <w:snapToGrid w:val="0"/>
              <w:rPr>
                <w:color w:val="auto"/>
                <w:sz w:val="24"/>
                <w:highlight w:val="none"/>
              </w:rPr>
            </w:pPr>
            <w:r>
              <w:rPr>
                <w:rFonts w:hint="eastAsia"/>
                <w:color w:val="auto"/>
                <w:sz w:val="24"/>
                <w:highlight w:val="none"/>
              </w:rPr>
              <w:t>公司领导审核意见：</w:t>
            </w:r>
          </w:p>
          <w:p w14:paraId="3FBF0206">
            <w:pPr>
              <w:snapToGrid w:val="0"/>
              <w:rPr>
                <w:color w:val="auto"/>
                <w:sz w:val="24"/>
                <w:highlight w:val="none"/>
              </w:rPr>
            </w:pPr>
          </w:p>
          <w:p w14:paraId="35607DDB">
            <w:pPr>
              <w:snapToGrid w:val="0"/>
              <w:rPr>
                <w:color w:val="auto"/>
                <w:sz w:val="24"/>
                <w:highlight w:val="none"/>
              </w:rPr>
            </w:pPr>
          </w:p>
          <w:p w14:paraId="3B54428C">
            <w:pPr>
              <w:snapToGrid w:val="0"/>
              <w:rPr>
                <w:color w:val="auto"/>
                <w:sz w:val="24"/>
                <w:highlight w:val="none"/>
              </w:rPr>
            </w:pPr>
          </w:p>
        </w:tc>
      </w:tr>
    </w:tbl>
    <w:p w14:paraId="7FD0F8C1">
      <w:pPr>
        <w:jc w:val="center"/>
        <w:rPr>
          <w:color w:val="auto"/>
          <w:highlight w:val="none"/>
        </w:rPr>
      </w:pPr>
    </w:p>
    <w:p w14:paraId="4AC4C1A9">
      <w:pPr>
        <w:pStyle w:val="67"/>
        <w:rPr>
          <w:color w:val="auto"/>
          <w:highlight w:val="none"/>
        </w:rPr>
      </w:pPr>
      <w:r>
        <w:rPr>
          <w:color w:val="auto"/>
          <w:highlight w:val="none"/>
        </w:rPr>
        <w:br w:type="page"/>
      </w:r>
    </w:p>
    <w:p w14:paraId="3C897A33">
      <w:pPr>
        <w:jc w:val="center"/>
        <w:rPr>
          <w:color w:val="auto"/>
          <w:highlight w:val="none"/>
        </w:rPr>
      </w:pPr>
      <w:r>
        <w:rPr>
          <w:rFonts w:hint="eastAsia"/>
          <w:color w:val="auto"/>
          <w:highlight w:val="none"/>
        </w:rPr>
        <w:t>附录E</w:t>
      </w:r>
      <w:r>
        <w:rPr>
          <w:color w:val="auto"/>
          <w:highlight w:val="none"/>
        </w:rPr>
        <w:br w:type="textWrapping"/>
      </w:r>
      <w:r>
        <w:rPr>
          <w:rFonts w:hint="eastAsia"/>
          <w:color w:val="auto"/>
          <w:highlight w:val="none"/>
        </w:rPr>
        <w:t>（规范性附录）</w:t>
      </w:r>
    </w:p>
    <w:p w14:paraId="46766BFC">
      <w:pPr>
        <w:jc w:val="center"/>
        <w:rPr>
          <w:color w:val="auto"/>
          <w:highlight w:val="none"/>
        </w:rPr>
      </w:pPr>
      <w:r>
        <w:rPr>
          <w:rFonts w:hint="eastAsia"/>
          <w:color w:val="auto"/>
          <w:highlight w:val="none"/>
        </w:rPr>
        <w:t>建设单位提出的设计变更流程</w:t>
      </w:r>
    </w:p>
    <w:p w14:paraId="04DF377D">
      <w:pPr>
        <w:jc w:val="center"/>
        <w:rPr>
          <w:color w:val="auto"/>
          <w:highlight w:val="none"/>
        </w:rPr>
      </w:pPr>
      <w:r>
        <w:rPr>
          <w:color w:val="auto"/>
          <w:highlight w:val="none"/>
        </w:rPr>
        <w:object>
          <v:shape id="_x0000_i1025" o:spt="75" type="#_x0000_t75" style="height:561pt;width:456.6pt;" o:ole="t" filled="f" o:preferrelative="t" stroked="f" coordsize="21600,21600">
            <v:path/>
            <v:fill on="f" focussize="0,0"/>
            <v:stroke on="f" joinstyle="miter"/>
            <v:imagedata r:id="rId17" o:title=""/>
            <o:lock v:ext="edit" aspectratio="t"/>
            <w10:wrap type="none"/>
            <w10:anchorlock/>
          </v:shape>
          <o:OLEObject Type="Embed" ProgID="Visio.Drawing.15" ShapeID="_x0000_i1025" DrawAspect="Content" ObjectID="_1468075725" r:id="rId16">
            <o:LockedField>false</o:LockedField>
          </o:OLEObject>
        </w:object>
      </w:r>
    </w:p>
    <w:p w14:paraId="4A6C94D3">
      <w:pPr>
        <w:jc w:val="center"/>
        <w:rPr>
          <w:color w:val="auto"/>
          <w:highlight w:val="none"/>
        </w:rPr>
      </w:pPr>
    </w:p>
    <w:p w14:paraId="59A672DD">
      <w:pPr>
        <w:rPr>
          <w:color w:val="auto"/>
          <w:highlight w:val="none"/>
        </w:rPr>
      </w:pPr>
    </w:p>
    <w:p w14:paraId="1682E7C9">
      <w:pPr>
        <w:jc w:val="center"/>
        <w:rPr>
          <w:color w:val="auto"/>
          <w:highlight w:val="none"/>
        </w:rPr>
      </w:pPr>
    </w:p>
    <w:p w14:paraId="163E96F3">
      <w:pPr>
        <w:jc w:val="center"/>
        <w:rPr>
          <w:color w:val="auto"/>
          <w:highlight w:val="none"/>
        </w:rPr>
      </w:pPr>
      <w:r>
        <w:rPr>
          <w:rFonts w:hint="eastAsia"/>
          <w:color w:val="auto"/>
          <w:highlight w:val="none"/>
        </w:rPr>
        <w:t>附录F</w:t>
      </w:r>
      <w:r>
        <w:rPr>
          <w:color w:val="auto"/>
          <w:highlight w:val="none"/>
        </w:rPr>
        <w:br w:type="textWrapping"/>
      </w:r>
      <w:r>
        <w:rPr>
          <w:rFonts w:hint="eastAsia"/>
          <w:color w:val="auto"/>
          <w:highlight w:val="none"/>
        </w:rPr>
        <w:t>（规范性附录）</w:t>
      </w:r>
    </w:p>
    <w:p w14:paraId="02E3C910">
      <w:pPr>
        <w:pStyle w:val="67"/>
        <w:ind w:firstLine="0" w:firstLineChars="0"/>
        <w:jc w:val="center"/>
        <w:rPr>
          <w:color w:val="auto"/>
          <w:highlight w:val="none"/>
        </w:rPr>
      </w:pPr>
      <w:r>
        <w:rPr>
          <w:rFonts w:hint="eastAsia"/>
          <w:color w:val="auto"/>
          <w:highlight w:val="none"/>
        </w:rPr>
        <w:t>设计院提出的设计变更流程</w:t>
      </w:r>
    </w:p>
    <w:p w14:paraId="3ACA3F10">
      <w:pPr>
        <w:pStyle w:val="67"/>
        <w:ind w:firstLine="0" w:firstLineChars="0"/>
        <w:jc w:val="center"/>
        <w:rPr>
          <w:color w:val="auto"/>
          <w:highlight w:val="none"/>
        </w:rPr>
      </w:pPr>
      <w:r>
        <w:rPr>
          <w:color w:val="auto"/>
          <w:highlight w:val="none"/>
        </w:rPr>
        <w:object>
          <v:shape id="_x0000_i1026" o:spt="75" type="#_x0000_t75" style="height:491.4pt;width:456.6pt;" o:ole="t" filled="f" o:preferrelative="t" stroked="f" coordsize="21600,21600">
            <v:path/>
            <v:fill on="f" focussize="0,0"/>
            <v:stroke on="f" joinstyle="miter"/>
            <v:imagedata r:id="rId19" o:title=""/>
            <o:lock v:ext="edit" aspectratio="t"/>
            <w10:wrap type="none"/>
            <w10:anchorlock/>
          </v:shape>
          <o:OLEObject Type="Embed" ProgID="Visio.Drawing.15" ShapeID="_x0000_i1026" DrawAspect="Content" ObjectID="_1468075726" r:id="rId18">
            <o:LockedField>false</o:LockedField>
          </o:OLEObject>
        </w:object>
      </w:r>
    </w:p>
    <w:p w14:paraId="19CBD958">
      <w:pPr>
        <w:pStyle w:val="67"/>
        <w:ind w:firstLine="0" w:firstLineChars="0"/>
        <w:rPr>
          <w:color w:val="auto"/>
          <w:highlight w:val="none"/>
        </w:rPr>
      </w:pPr>
    </w:p>
    <w:p w14:paraId="31167F57">
      <w:pPr>
        <w:pStyle w:val="67"/>
        <w:ind w:firstLine="0" w:firstLineChars="0"/>
        <w:rPr>
          <w:color w:val="auto"/>
          <w:highlight w:val="none"/>
        </w:rPr>
      </w:pPr>
    </w:p>
    <w:p w14:paraId="554A82A8">
      <w:pPr>
        <w:pStyle w:val="67"/>
        <w:ind w:firstLine="0" w:firstLineChars="0"/>
        <w:rPr>
          <w:color w:val="auto"/>
          <w:highlight w:val="none"/>
        </w:rPr>
      </w:pPr>
    </w:p>
    <w:p w14:paraId="56526CED">
      <w:pPr>
        <w:pStyle w:val="67"/>
        <w:ind w:firstLine="0" w:firstLineChars="0"/>
        <w:rPr>
          <w:color w:val="auto"/>
          <w:highlight w:val="none"/>
        </w:rPr>
      </w:pPr>
    </w:p>
    <w:p w14:paraId="4B12C818">
      <w:pPr>
        <w:pStyle w:val="67"/>
        <w:ind w:firstLine="0" w:firstLineChars="0"/>
        <w:jc w:val="center"/>
        <w:rPr>
          <w:color w:val="auto"/>
          <w:highlight w:val="none"/>
        </w:rPr>
      </w:pPr>
    </w:p>
    <w:p w14:paraId="6D76899A">
      <w:pPr>
        <w:pStyle w:val="67"/>
        <w:ind w:firstLine="0" w:firstLineChars="0"/>
        <w:rPr>
          <w:color w:val="auto"/>
          <w:highlight w:val="none"/>
        </w:rPr>
      </w:pPr>
    </w:p>
    <w:p w14:paraId="38BE4429">
      <w:pPr>
        <w:pStyle w:val="67"/>
        <w:ind w:firstLine="0" w:firstLineChars="0"/>
        <w:jc w:val="center"/>
        <w:rPr>
          <w:color w:val="auto"/>
          <w:highlight w:val="none"/>
        </w:rPr>
      </w:pPr>
      <w:r>
        <w:rPr>
          <w:color w:val="auto"/>
          <w:highlight w:val="none"/>
        </w:rPr>
        <w:br w:type="page"/>
      </w:r>
    </w:p>
    <w:p w14:paraId="456C0803">
      <w:pPr>
        <w:jc w:val="center"/>
        <w:rPr>
          <w:color w:val="auto"/>
          <w:highlight w:val="none"/>
        </w:rPr>
      </w:pPr>
      <w:r>
        <w:rPr>
          <w:rFonts w:hint="eastAsia"/>
          <w:color w:val="auto"/>
          <w:highlight w:val="none"/>
        </w:rPr>
        <w:t>附录G</w:t>
      </w:r>
    </w:p>
    <w:p w14:paraId="5EEBBE51">
      <w:pPr>
        <w:jc w:val="center"/>
        <w:rPr>
          <w:color w:val="auto"/>
          <w:highlight w:val="none"/>
        </w:rPr>
      </w:pPr>
      <w:r>
        <w:rPr>
          <w:rFonts w:hint="eastAsia"/>
          <w:color w:val="auto"/>
          <w:highlight w:val="none"/>
        </w:rPr>
        <w:t>（规范性附录）</w:t>
      </w:r>
    </w:p>
    <w:p w14:paraId="322DFDDC">
      <w:pPr>
        <w:pStyle w:val="67"/>
        <w:ind w:firstLine="0" w:firstLineChars="0"/>
        <w:jc w:val="center"/>
        <w:rPr>
          <w:color w:val="auto"/>
          <w:highlight w:val="none"/>
        </w:rPr>
      </w:pPr>
      <w:r>
        <w:rPr>
          <w:rFonts w:hint="eastAsia"/>
          <w:color w:val="auto"/>
          <w:highlight w:val="none"/>
        </w:rPr>
        <w:t>施工单位提出的设计变更流程</w:t>
      </w:r>
    </w:p>
    <w:p w14:paraId="2214E866">
      <w:pPr>
        <w:tabs>
          <w:tab w:val="left" w:pos="931"/>
        </w:tabs>
        <w:jc w:val="left"/>
        <w:rPr>
          <w:color w:val="auto"/>
          <w:highlight w:val="none"/>
        </w:rPr>
      </w:pPr>
      <w:r>
        <w:rPr>
          <w:color w:val="auto"/>
          <w:highlight w:val="none"/>
        </w:rPr>
        <w:object>
          <v:shape id="_x0000_i1027" o:spt="75" type="#_x0000_t75" style="height:561pt;width:456.6pt;" o:ole="t" filled="f" o:preferrelative="t" stroked="f" coordsize="21600,21600">
            <v:path/>
            <v:fill on="f" focussize="0,0"/>
            <v:stroke on="f" joinstyle="miter"/>
            <v:imagedata r:id="rId21" o:title=""/>
            <o:lock v:ext="edit" aspectratio="t"/>
            <w10:wrap type="none"/>
            <w10:anchorlock/>
          </v:shape>
          <o:OLEObject Type="Embed" ProgID="Visio.Drawing.15" ShapeID="_x0000_i1027" DrawAspect="Content" ObjectID="_1468075727" r:id="rId20">
            <o:LockedField>false</o:LockedField>
          </o:OLEObject>
        </w:object>
      </w:r>
    </w:p>
    <w:p w14:paraId="6DE72FF8">
      <w:pPr>
        <w:pStyle w:val="8"/>
        <w:ind w:left="63" w:right="63"/>
        <w:jc w:val="left"/>
        <w:rPr>
          <w:rFonts w:ascii="仿宋_GB2312" w:eastAsia="仿宋_GB2312"/>
          <w:color w:val="auto"/>
          <w:sz w:val="30"/>
          <w:szCs w:val="30"/>
          <w:highlight w:val="none"/>
        </w:rPr>
      </w:pPr>
      <w:r>
        <w:rPr>
          <w:color w:val="auto"/>
          <w:highlight w:val="none"/>
        </w:rPr>
        <w:br w:type="page"/>
      </w:r>
      <w:r>
        <w:rPr>
          <w:rFonts w:hint="eastAsia" w:ascii="仿宋_GB2312" w:eastAsia="仿宋_GB2312"/>
          <w:color w:val="auto"/>
          <w:sz w:val="30"/>
          <w:szCs w:val="30"/>
          <w:highlight w:val="none"/>
        </w:rPr>
        <w:t>附件7：</w:t>
      </w:r>
    </w:p>
    <w:p w14:paraId="4FFADA44">
      <w:pPr>
        <w:pStyle w:val="8"/>
        <w:ind w:left="63" w:right="63"/>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履约保函示范文本</w:t>
      </w:r>
    </w:p>
    <w:p w14:paraId="61755857">
      <w:pPr>
        <w:pStyle w:val="8"/>
        <w:ind w:left="63" w:right="63"/>
        <w:rPr>
          <w:rFonts w:ascii="仿宋" w:hAnsi="仿宋" w:eastAsia="仿宋" w:cs="仿宋"/>
          <w:color w:val="auto"/>
          <w:spacing w:val="4"/>
          <w:sz w:val="30"/>
          <w:szCs w:val="30"/>
          <w:highlight w:val="none"/>
        </w:rPr>
      </w:pPr>
    </w:p>
    <w:p w14:paraId="6D0F40EA">
      <w:pPr>
        <w:pStyle w:val="8"/>
        <w:ind w:left="63" w:right="63" w:firstLine="616" w:firstLineChars="200"/>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申请人：</w:t>
      </w:r>
    </w:p>
    <w:p w14:paraId="6B154862">
      <w:pPr>
        <w:pStyle w:val="8"/>
        <w:ind w:left="63" w:right="63" w:firstLine="616" w:firstLineChars="200"/>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地</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址</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w:t>
      </w:r>
    </w:p>
    <w:p w14:paraId="309FF6BD">
      <w:pPr>
        <w:pStyle w:val="8"/>
        <w:ind w:left="63" w:right="63" w:firstLine="616" w:firstLineChars="200"/>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受益人：</w:t>
      </w:r>
    </w:p>
    <w:p w14:paraId="75407695">
      <w:pPr>
        <w:pStyle w:val="8"/>
        <w:ind w:left="63" w:right="63" w:firstLine="616" w:firstLineChars="200"/>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地</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址</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w:t>
      </w:r>
    </w:p>
    <w:p w14:paraId="232F6A81">
      <w:pPr>
        <w:pStyle w:val="8"/>
        <w:ind w:left="63" w:right="63" w:firstLine="616" w:firstLineChars="200"/>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开立人：</w:t>
      </w:r>
    </w:p>
    <w:p w14:paraId="32C6FDCC">
      <w:pPr>
        <w:pStyle w:val="8"/>
        <w:ind w:left="63" w:right="63" w:firstLine="616" w:firstLineChars="200"/>
        <w:jc w:val="left"/>
        <w:rPr>
          <w:rFonts w:ascii="仿宋" w:hAnsi="仿宋" w:cs="仿宋"/>
          <w:color w:val="auto"/>
          <w:spacing w:val="4"/>
          <w:sz w:val="30"/>
          <w:szCs w:val="30"/>
          <w:highlight w:val="none"/>
        </w:rPr>
      </w:pPr>
      <w:r>
        <w:rPr>
          <w:rFonts w:hint="eastAsia" w:ascii="宋体" w:hAnsi="宋体" w:cs="宋体"/>
          <w:color w:val="auto"/>
          <w:spacing w:val="4"/>
          <w:sz w:val="30"/>
          <w:szCs w:val="30"/>
          <w:highlight w:val="none"/>
        </w:rPr>
        <w:t>地</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址：</w:t>
      </w:r>
    </w:p>
    <w:p w14:paraId="44A8C99C">
      <w:pPr>
        <w:pStyle w:val="8"/>
        <w:ind w:left="71" w:leftChars="34" w:right="63"/>
        <w:jc w:val="left"/>
        <w:rPr>
          <w:rFonts w:ascii="仿宋" w:hAnsi="仿宋" w:cs="仿宋"/>
          <w:color w:val="auto"/>
          <w:spacing w:val="4"/>
          <w:sz w:val="30"/>
          <w:szCs w:val="30"/>
          <w:highlight w:val="none"/>
        </w:rPr>
      </w:pP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受益人名称</w:t>
      </w:r>
      <w:r>
        <w:rPr>
          <w:rFonts w:hint="eastAsia" w:ascii="仿宋" w:hAnsi="仿宋" w:eastAsia="仿宋" w:cs="仿宋"/>
          <w:color w:val="auto"/>
          <w:spacing w:val="4"/>
          <w:sz w:val="30"/>
          <w:szCs w:val="30"/>
          <w:highlight w:val="none"/>
        </w:rPr>
        <w:t>):</w:t>
      </w:r>
    </w:p>
    <w:p w14:paraId="77437CA1">
      <w:pPr>
        <w:pStyle w:val="8"/>
        <w:ind w:left="71" w:leftChars="34" w:right="63" w:firstLine="616" w:firstLineChars="200"/>
        <w:jc w:val="left"/>
        <w:rPr>
          <w:rFonts w:ascii="仿宋" w:hAnsi="仿宋" w:cs="仿宋"/>
          <w:color w:val="auto"/>
          <w:spacing w:val="4"/>
          <w:sz w:val="30"/>
          <w:szCs w:val="30"/>
          <w:highlight w:val="none"/>
        </w:rPr>
      </w:pPr>
      <w:r>
        <w:rPr>
          <w:rFonts w:hint="eastAsia" w:ascii="宋体" w:hAnsi="宋体" w:cs="宋体"/>
          <w:color w:val="auto"/>
          <w:spacing w:val="4"/>
          <w:sz w:val="30"/>
          <w:szCs w:val="30"/>
          <w:highlight w:val="none"/>
        </w:rPr>
        <w:t>鉴于</w:t>
      </w: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以下简称</w:t>
      </w:r>
      <w:r>
        <w:rPr>
          <w:rFonts w:eastAsia="仿宋"/>
          <w:color w:val="auto"/>
          <w:spacing w:val="4"/>
          <w:sz w:val="30"/>
          <w:szCs w:val="30"/>
          <w:highlight w:val="none"/>
        </w:rPr>
        <w:t>“</w:t>
      </w:r>
      <w:r>
        <w:rPr>
          <w:rFonts w:hint="eastAsia" w:ascii="宋体" w:hAnsi="宋体" w:cs="宋体"/>
          <w:color w:val="auto"/>
          <w:spacing w:val="4"/>
          <w:sz w:val="30"/>
          <w:szCs w:val="30"/>
          <w:highlight w:val="none"/>
        </w:rPr>
        <w:t>受益人</w:t>
      </w:r>
      <w:r>
        <w:rPr>
          <w:rFonts w:eastAsia="仿宋"/>
          <w:color w:val="auto"/>
          <w:spacing w:val="4"/>
          <w:sz w:val="30"/>
          <w:szCs w:val="30"/>
          <w:highlight w:val="none"/>
        </w:rPr>
        <w:t>”</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与</w:t>
      </w: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以</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下简称</w:t>
      </w:r>
      <w:r>
        <w:rPr>
          <w:rFonts w:eastAsia="仿宋"/>
          <w:color w:val="auto"/>
          <w:spacing w:val="4"/>
          <w:sz w:val="30"/>
          <w:szCs w:val="30"/>
          <w:highlight w:val="none"/>
        </w:rPr>
        <w:t>“</w:t>
      </w:r>
      <w:r>
        <w:rPr>
          <w:rFonts w:hint="eastAsia" w:ascii="宋体" w:hAnsi="宋体" w:cs="宋体"/>
          <w:color w:val="auto"/>
          <w:spacing w:val="4"/>
          <w:sz w:val="30"/>
          <w:szCs w:val="30"/>
          <w:highlight w:val="none"/>
        </w:rPr>
        <w:t>申请人</w:t>
      </w:r>
      <w:r>
        <w:rPr>
          <w:rFonts w:eastAsia="仿宋"/>
          <w:color w:val="auto"/>
          <w:spacing w:val="4"/>
          <w:sz w:val="30"/>
          <w:szCs w:val="30"/>
          <w:highlight w:val="none"/>
        </w:rPr>
        <w:t>”</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就工程</w:t>
      </w: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以下简称</w:t>
      </w:r>
      <w:r>
        <w:rPr>
          <w:rFonts w:eastAsia="仿宋"/>
          <w:color w:val="auto"/>
          <w:spacing w:val="4"/>
          <w:sz w:val="30"/>
          <w:szCs w:val="30"/>
          <w:highlight w:val="none"/>
        </w:rPr>
        <w:t>“</w:t>
      </w:r>
      <w:r>
        <w:rPr>
          <w:rFonts w:hint="eastAsia" w:ascii="宋体" w:hAnsi="宋体" w:cs="宋体"/>
          <w:color w:val="auto"/>
          <w:spacing w:val="4"/>
          <w:sz w:val="30"/>
          <w:szCs w:val="30"/>
          <w:highlight w:val="none"/>
        </w:rPr>
        <w:t>本工程</w:t>
      </w:r>
      <w:r>
        <w:rPr>
          <w:rFonts w:eastAsia="仿宋"/>
          <w:color w:val="auto"/>
          <w:spacing w:val="4"/>
          <w:sz w:val="30"/>
          <w:szCs w:val="30"/>
          <w:highlight w:val="none"/>
        </w:rPr>
        <w:t>”</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施工和有关事项协商一致，根据本工程中标通知书、招标文件和投标文件，了解到申请人为本工程项下之承包人、受益人为本工程</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项下之发包人，基于申请人的请求，我方</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即</w:t>
      </w:r>
      <w:r>
        <w:rPr>
          <w:rFonts w:eastAsia="仿宋"/>
          <w:color w:val="auto"/>
          <w:spacing w:val="4"/>
          <w:sz w:val="30"/>
          <w:szCs w:val="30"/>
          <w:highlight w:val="none"/>
        </w:rPr>
        <w:t>“</w:t>
      </w:r>
      <w:r>
        <w:rPr>
          <w:rFonts w:hint="eastAsia" w:ascii="宋体" w:hAnsi="宋体" w:cs="宋体"/>
          <w:color w:val="auto"/>
          <w:spacing w:val="4"/>
          <w:sz w:val="30"/>
          <w:szCs w:val="30"/>
          <w:highlight w:val="none"/>
        </w:rPr>
        <w:t>开立人</w:t>
      </w:r>
      <w:r>
        <w:rPr>
          <w:rFonts w:eastAsia="仿宋"/>
          <w:color w:val="auto"/>
          <w:spacing w:val="4"/>
          <w:sz w:val="30"/>
          <w:szCs w:val="30"/>
          <w:highlight w:val="none"/>
        </w:rPr>
        <w:t>”</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同意就</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申请人履行本工程依据中标通知书、招标文件和投标文件签订的《</w:t>
      </w:r>
      <w:r>
        <w:rPr>
          <w:rFonts w:hint="eastAsia"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以下简称</w:t>
      </w:r>
      <w:r>
        <w:rPr>
          <w:rFonts w:eastAsia="仿宋"/>
          <w:color w:val="auto"/>
          <w:spacing w:val="4"/>
          <w:sz w:val="30"/>
          <w:szCs w:val="30"/>
          <w:highlight w:val="none"/>
        </w:rPr>
        <w:t>“</w:t>
      </w:r>
      <w:r>
        <w:rPr>
          <w:rFonts w:hint="eastAsia" w:ascii="宋体" w:hAnsi="宋体" w:cs="宋体"/>
          <w:color w:val="auto"/>
          <w:spacing w:val="4"/>
          <w:sz w:val="30"/>
          <w:szCs w:val="30"/>
          <w:highlight w:val="none"/>
        </w:rPr>
        <w:t>基础合同</w:t>
      </w:r>
      <w:r>
        <w:rPr>
          <w:rFonts w:eastAsia="仿宋"/>
          <w:color w:val="auto"/>
          <w:spacing w:val="4"/>
          <w:sz w:val="30"/>
          <w:szCs w:val="30"/>
          <w:highlight w:val="none"/>
        </w:rPr>
        <w:t>”</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约定的义务，向贵方提供不可撤销、不可转让的见索即付保函</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以下简称</w:t>
      </w:r>
      <w:r>
        <w:rPr>
          <w:rFonts w:eastAsia="仿宋"/>
          <w:color w:val="auto"/>
          <w:spacing w:val="4"/>
          <w:sz w:val="30"/>
          <w:szCs w:val="30"/>
          <w:highlight w:val="none"/>
        </w:rPr>
        <w:t>“</w:t>
      </w:r>
      <w:r>
        <w:rPr>
          <w:rFonts w:hint="eastAsia" w:ascii="宋体" w:hAnsi="宋体" w:cs="宋体"/>
          <w:color w:val="auto"/>
          <w:spacing w:val="4"/>
          <w:sz w:val="30"/>
          <w:szCs w:val="30"/>
          <w:highlight w:val="none"/>
        </w:rPr>
        <w:t>本保函</w:t>
      </w:r>
      <w:r>
        <w:rPr>
          <w:rFonts w:eastAsia="仿宋"/>
          <w:color w:val="auto"/>
          <w:spacing w:val="4"/>
          <w:sz w:val="30"/>
          <w:szCs w:val="30"/>
          <w:highlight w:val="none"/>
        </w:rPr>
        <w:t>”</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w:t>
      </w:r>
    </w:p>
    <w:p w14:paraId="6B9C4BBB">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一、本保函担保范围：承包人未按照基础合同的约定履行义务，应当向贵方承担的违约责任和赔偿因此造成的损失、利息、律师费、诉讼费用等实现债权的费用。</w:t>
      </w:r>
    </w:p>
    <w:p w14:paraId="7D18054F">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二、本保函担保金额最高不超过人民币</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大写</w:t>
      </w:r>
      <w:r>
        <w:rPr>
          <w:rFonts w:hint="eastAsia" w:ascii="仿宋" w:hAnsi="仿宋" w:eastAsia="仿宋" w:cs="仿宋"/>
          <w:color w:val="auto"/>
          <w:spacing w:val="4"/>
          <w:sz w:val="30"/>
          <w:szCs w:val="30"/>
          <w:highlight w:val="none"/>
        </w:rPr>
        <w:t>)</w:t>
      </w:r>
      <w:r>
        <w:rPr>
          <w:rFonts w:hint="eastAsia"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元</w:t>
      </w:r>
    </w:p>
    <w:p w14:paraId="6BF735D4">
      <w:pPr>
        <w:pStyle w:val="8"/>
        <w:ind w:left="63" w:right="63"/>
        <w:jc w:val="left"/>
        <w:rPr>
          <w:rFonts w:ascii="仿宋" w:hAnsi="仿宋" w:eastAsia="仿宋" w:cs="仿宋"/>
          <w:color w:val="auto"/>
          <w:spacing w:val="4"/>
          <w:sz w:val="30"/>
          <w:szCs w:val="30"/>
          <w:highlight w:val="none"/>
        </w:rPr>
      </w:pPr>
      <w:r>
        <w:rPr>
          <w:rFonts w:hint="eastAsia" w:ascii="仿宋" w:hAnsi="仿宋" w:eastAsia="仿宋" w:cs="仿宋"/>
          <w:color w:val="auto"/>
          <w:spacing w:val="4"/>
          <w:sz w:val="30"/>
          <w:szCs w:val="30"/>
          <w:highlight w:val="none"/>
        </w:rPr>
        <w:t>(¥</w:t>
      </w: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w:t>
      </w:r>
    </w:p>
    <w:p w14:paraId="78842F8A">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三、本保函有效期自受益人与申请人签订的合同生效之日起至合同约定的工期截止日后</w:t>
      </w:r>
      <w:r>
        <w:rPr>
          <w:rFonts w:hint="eastAsia"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天，最迟不超过</w:t>
      </w:r>
      <w:r>
        <w:rPr>
          <w:rFonts w:hint="eastAsia" w:ascii="仿宋" w:hAnsi="仿宋" w:eastAsia="仿宋" w:cs="仿宋"/>
          <w:color w:val="auto"/>
          <w:spacing w:val="4"/>
          <w:sz w:val="30"/>
          <w:szCs w:val="30"/>
          <w:highlight w:val="none"/>
          <w:u w:val="single"/>
        </w:rPr>
        <w:t xml:space="preserve"> </w:t>
      </w:r>
      <w:r>
        <w:rPr>
          <w:rFonts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年</w:t>
      </w:r>
      <w:r>
        <w:rPr>
          <w:rFonts w:hint="eastAsia" w:ascii="仿宋" w:hAnsi="仿宋" w:eastAsia="仿宋" w:cs="仿宋"/>
          <w:color w:val="auto"/>
          <w:spacing w:val="4"/>
          <w:sz w:val="30"/>
          <w:szCs w:val="30"/>
          <w:highlight w:val="none"/>
          <w:u w:val="single"/>
        </w:rPr>
        <w:t xml:space="preserve">  </w:t>
      </w:r>
      <w:r>
        <w:rPr>
          <w:rFonts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月</w:t>
      </w:r>
      <w:r>
        <w:rPr>
          <w:rFonts w:hint="eastAsia"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日。</w:t>
      </w:r>
    </w:p>
    <w:p w14:paraId="4BE80162">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四、我方承诺，在收到受益人发来的书面索赔通知和本保函原件后的</w:t>
      </w:r>
      <w:r>
        <w:rPr>
          <w:rFonts w:hint="eastAsia"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个工作日内无条件支付至受益人指定账户，前述书面索赔通知即为付款要求之单据，且应满足以下要求：</w:t>
      </w:r>
    </w:p>
    <w:p w14:paraId="45EB7E2E">
      <w:pPr>
        <w:pStyle w:val="8"/>
        <w:ind w:left="63" w:right="63" w:firstLine="616" w:firstLineChars="200"/>
        <w:jc w:val="left"/>
        <w:rPr>
          <w:rFonts w:ascii="仿宋" w:hAnsi="仿宋" w:eastAsia="仿宋" w:cs="仿宋"/>
          <w:color w:val="auto"/>
          <w:spacing w:val="4"/>
          <w:sz w:val="30"/>
          <w:szCs w:val="30"/>
          <w:highlight w:val="none"/>
        </w:rPr>
      </w:pPr>
      <w:r>
        <w:rPr>
          <w:rFonts w:hint="eastAsia" w:ascii="仿宋" w:hAnsi="仿宋" w:eastAsia="仿宋" w:cs="仿宋"/>
          <w:color w:val="auto"/>
          <w:spacing w:val="4"/>
          <w:sz w:val="30"/>
          <w:szCs w:val="30"/>
          <w:highlight w:val="none"/>
        </w:rPr>
        <w:t>(1)</w:t>
      </w:r>
      <w:r>
        <w:rPr>
          <w:rFonts w:hint="eastAsia" w:ascii="宋体" w:hAnsi="宋体" w:cs="宋体"/>
          <w:color w:val="auto"/>
          <w:spacing w:val="4"/>
          <w:sz w:val="30"/>
          <w:szCs w:val="30"/>
          <w:highlight w:val="none"/>
        </w:rPr>
        <w:t>索赔通知到达的日期在本保函的有效期内；</w:t>
      </w:r>
    </w:p>
    <w:p w14:paraId="37E94E6F">
      <w:pPr>
        <w:pStyle w:val="8"/>
        <w:ind w:left="63" w:right="63" w:firstLine="616" w:firstLineChars="200"/>
        <w:jc w:val="left"/>
        <w:rPr>
          <w:rFonts w:ascii="仿宋" w:hAnsi="仿宋" w:eastAsia="仿宋" w:cs="仿宋"/>
          <w:color w:val="auto"/>
          <w:spacing w:val="4"/>
          <w:sz w:val="30"/>
          <w:szCs w:val="30"/>
          <w:highlight w:val="none"/>
        </w:rPr>
      </w:pPr>
      <w:r>
        <w:rPr>
          <w:rFonts w:hint="eastAsia" w:ascii="仿宋" w:hAnsi="仿宋" w:eastAsia="仿宋" w:cs="仿宋"/>
          <w:color w:val="auto"/>
          <w:spacing w:val="4"/>
          <w:sz w:val="30"/>
          <w:szCs w:val="30"/>
          <w:highlight w:val="none"/>
        </w:rPr>
        <w:t>(2)</w:t>
      </w:r>
      <w:r>
        <w:rPr>
          <w:rFonts w:hint="eastAsia" w:ascii="宋体" w:hAnsi="宋体" w:cs="宋体"/>
          <w:color w:val="auto"/>
          <w:spacing w:val="4"/>
          <w:sz w:val="30"/>
          <w:szCs w:val="30"/>
          <w:highlight w:val="none"/>
        </w:rPr>
        <w:t>载明要求支付的金额；</w:t>
      </w:r>
    </w:p>
    <w:p w14:paraId="7C6B7EA8">
      <w:pPr>
        <w:pStyle w:val="8"/>
        <w:ind w:left="63" w:right="63" w:firstLine="616" w:firstLineChars="200"/>
        <w:jc w:val="left"/>
        <w:rPr>
          <w:rFonts w:ascii="仿宋" w:hAnsi="仿宋" w:eastAsia="仿宋" w:cs="仿宋"/>
          <w:color w:val="auto"/>
          <w:spacing w:val="4"/>
          <w:sz w:val="30"/>
          <w:szCs w:val="30"/>
          <w:highlight w:val="none"/>
        </w:rPr>
      </w:pPr>
      <w:r>
        <w:rPr>
          <w:rFonts w:hint="eastAsia" w:ascii="仿宋" w:hAnsi="仿宋" w:eastAsia="仿宋" w:cs="仿宋"/>
          <w:color w:val="auto"/>
          <w:spacing w:val="4"/>
          <w:sz w:val="30"/>
          <w:szCs w:val="30"/>
          <w:highlight w:val="none"/>
        </w:rPr>
        <w:t>(3)</w:t>
      </w:r>
      <w:r>
        <w:rPr>
          <w:rFonts w:hint="eastAsia" w:ascii="宋体" w:hAnsi="宋体" w:cs="宋体"/>
          <w:color w:val="auto"/>
          <w:spacing w:val="4"/>
          <w:sz w:val="30"/>
          <w:szCs w:val="30"/>
          <w:highlight w:val="none"/>
        </w:rPr>
        <w:t>载明申请人违反合同义务的条款和内容；</w:t>
      </w:r>
    </w:p>
    <w:p w14:paraId="76A3ED5C">
      <w:pPr>
        <w:pStyle w:val="8"/>
        <w:ind w:left="63" w:right="63" w:firstLine="616" w:firstLineChars="200"/>
        <w:jc w:val="left"/>
        <w:rPr>
          <w:rFonts w:ascii="仿宋" w:hAnsi="仿宋" w:eastAsia="仿宋" w:cs="仿宋"/>
          <w:color w:val="auto"/>
          <w:spacing w:val="4"/>
          <w:sz w:val="30"/>
          <w:szCs w:val="30"/>
          <w:highlight w:val="none"/>
        </w:rPr>
      </w:pPr>
      <w:r>
        <w:rPr>
          <w:rFonts w:hint="eastAsia" w:ascii="仿宋" w:hAnsi="仿宋" w:eastAsia="仿宋" w:cs="仿宋"/>
          <w:color w:val="auto"/>
          <w:spacing w:val="4"/>
          <w:sz w:val="30"/>
          <w:szCs w:val="30"/>
          <w:highlight w:val="none"/>
        </w:rPr>
        <w:t>(4)</w:t>
      </w:r>
      <w:r>
        <w:rPr>
          <w:rFonts w:hint="eastAsia" w:ascii="宋体" w:hAnsi="宋体" w:cs="宋体"/>
          <w:color w:val="auto"/>
          <w:spacing w:val="4"/>
          <w:sz w:val="30"/>
          <w:szCs w:val="30"/>
          <w:highlight w:val="none"/>
        </w:rPr>
        <w:t>声明不存在合同文件约定或我国法律规定免除申请人或开立人支付责任的情形；</w:t>
      </w:r>
    </w:p>
    <w:p w14:paraId="2EDF14F2">
      <w:pPr>
        <w:pStyle w:val="8"/>
        <w:ind w:left="63" w:right="63" w:firstLine="616" w:firstLineChars="200"/>
        <w:jc w:val="left"/>
        <w:rPr>
          <w:rFonts w:ascii="仿宋" w:hAnsi="仿宋" w:eastAsia="仿宋" w:cs="仿宋"/>
          <w:color w:val="auto"/>
          <w:spacing w:val="4"/>
          <w:sz w:val="30"/>
          <w:szCs w:val="30"/>
          <w:highlight w:val="none"/>
        </w:rPr>
      </w:pPr>
      <w:r>
        <w:rPr>
          <w:rFonts w:hint="eastAsia" w:ascii="仿宋" w:hAnsi="仿宋" w:eastAsia="仿宋" w:cs="仿宋"/>
          <w:color w:val="auto"/>
          <w:spacing w:val="4"/>
          <w:sz w:val="30"/>
          <w:szCs w:val="30"/>
          <w:highlight w:val="none"/>
        </w:rPr>
        <w:t>(5)</w:t>
      </w:r>
      <w:r>
        <w:rPr>
          <w:rFonts w:hint="eastAsia" w:ascii="宋体" w:hAnsi="宋体" w:cs="宋体"/>
          <w:color w:val="auto"/>
          <w:spacing w:val="4"/>
          <w:sz w:val="30"/>
          <w:szCs w:val="30"/>
          <w:highlight w:val="none"/>
        </w:rPr>
        <w:t>索赔通知应在本保函有效期内到达的地址是：</w:t>
      </w:r>
      <w:r>
        <w:rPr>
          <w:rFonts w:hint="eastAsia"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w:t>
      </w:r>
    </w:p>
    <w:p w14:paraId="4498506E">
      <w:pPr>
        <w:pStyle w:val="8"/>
        <w:ind w:left="63" w:right="63" w:firstLine="616" w:firstLineChars="200"/>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受益人发出的书面索赔通知应由其为鉴明受益人法定代表人</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负责人</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或授权代理人签字或盖个人名章并加盖公章。</w:t>
      </w:r>
    </w:p>
    <w:p w14:paraId="14D70F8B">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五、本保函项下的权利不得转让，不得设定担保。贵方未经我方书面同意转让本保函或其项下任何权利，对我方不发生法律效力。</w:t>
      </w:r>
    </w:p>
    <w:p w14:paraId="3E216B22">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六、与本保函有关的基础合同不成立、不生效、无效、被撤销、被解除，不影响本保函的独立有效。</w:t>
      </w:r>
    </w:p>
    <w:p w14:paraId="228D6005">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七、贵方应在本保函到期后的七个工作日内将本保函正本退回我方注销，但是不论贵方是否按此要求将本保函正本退回我方，我方在本保函项下的义务和责任均在保函有效期到期后自动消灭。</w:t>
      </w:r>
    </w:p>
    <w:p w14:paraId="3B9BB717">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八、本保函适用的法律为中华人民共和国法律，争议裁判管辖地为中华人民共和国</w:t>
      </w: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w:t>
      </w:r>
    </w:p>
    <w:p w14:paraId="0E194C5E">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九、本保函自我方法定代表人或授权代表签字或盖个人名章并加盖公章或合同专用章之日起生效。</w:t>
      </w:r>
    </w:p>
    <w:p w14:paraId="4AAC294B">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十、本保函在重庆市辖区范围内的核验地点：</w:t>
      </w: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核验方式：</w:t>
      </w: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w:t>
      </w:r>
    </w:p>
    <w:p w14:paraId="5AFFB975">
      <w:pPr>
        <w:pStyle w:val="8"/>
        <w:ind w:left="63" w:right="63"/>
        <w:rPr>
          <w:rFonts w:ascii="仿宋" w:hAnsi="仿宋" w:eastAsia="仿宋" w:cs="仿宋"/>
          <w:color w:val="auto"/>
          <w:spacing w:val="4"/>
          <w:sz w:val="30"/>
          <w:szCs w:val="30"/>
          <w:highlight w:val="none"/>
        </w:rPr>
      </w:pPr>
    </w:p>
    <w:p w14:paraId="4D2C85E9">
      <w:pPr>
        <w:pStyle w:val="8"/>
        <w:ind w:left="63" w:right="63"/>
        <w:rPr>
          <w:rFonts w:ascii="仿宋" w:hAnsi="仿宋" w:eastAsia="仿宋" w:cs="仿宋"/>
          <w:color w:val="auto"/>
          <w:spacing w:val="4"/>
          <w:sz w:val="30"/>
          <w:szCs w:val="30"/>
          <w:highlight w:val="none"/>
        </w:rPr>
      </w:pPr>
    </w:p>
    <w:p w14:paraId="1B246D4B">
      <w:pPr>
        <w:pStyle w:val="8"/>
        <w:ind w:left="63" w:right="63" w:firstLine="616" w:firstLineChars="200"/>
        <w:jc w:val="both"/>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开立人</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w:t>
      </w:r>
      <w:r>
        <w:rPr>
          <w:rFonts w:hint="eastAsia" w:ascii="仿宋" w:hAnsi="仿宋" w:eastAsia="仿宋" w:cs="仿宋"/>
          <w:color w:val="auto"/>
          <w:spacing w:val="4"/>
          <w:sz w:val="30"/>
          <w:szCs w:val="30"/>
          <w:highlight w:val="none"/>
        </w:rPr>
        <w:t xml:space="preserve">         ( </w:t>
      </w:r>
      <w:r>
        <w:rPr>
          <w:rFonts w:hint="eastAsia" w:ascii="宋体" w:hAnsi="宋体" w:cs="宋体"/>
          <w:color w:val="auto"/>
          <w:spacing w:val="4"/>
          <w:sz w:val="30"/>
          <w:szCs w:val="30"/>
          <w:highlight w:val="none"/>
        </w:rPr>
        <w:t>公</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章</w:t>
      </w:r>
      <w:r>
        <w:rPr>
          <w:rFonts w:hint="eastAsia" w:ascii="仿宋" w:hAnsi="仿宋" w:eastAsia="仿宋" w:cs="仿宋"/>
          <w:color w:val="auto"/>
          <w:spacing w:val="4"/>
          <w:sz w:val="30"/>
          <w:szCs w:val="30"/>
          <w:highlight w:val="none"/>
        </w:rPr>
        <w:t xml:space="preserve"> )</w:t>
      </w:r>
    </w:p>
    <w:p w14:paraId="2A88D751">
      <w:pPr>
        <w:rPr>
          <w:color w:val="auto"/>
          <w:highlight w:val="none"/>
        </w:rPr>
      </w:pPr>
    </w:p>
    <w:p w14:paraId="5C455859">
      <w:pPr>
        <w:pStyle w:val="8"/>
        <w:ind w:left="63" w:right="63" w:firstLine="616" w:firstLineChars="200"/>
        <w:jc w:val="both"/>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法定代表人</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或授权代表</w:t>
      </w:r>
      <w:r>
        <w:rPr>
          <w:rFonts w:hint="eastAsia" w:ascii="仿宋" w:hAnsi="仿宋" w:eastAsia="仿宋" w:cs="仿宋"/>
          <w:color w:val="auto"/>
          <w:spacing w:val="4"/>
          <w:sz w:val="30"/>
          <w:szCs w:val="30"/>
          <w:highlight w:val="none"/>
        </w:rPr>
        <w:t xml:space="preserve">):     </w:t>
      </w:r>
      <w:r>
        <w:rPr>
          <w:rFonts w:ascii="仿宋" w:hAnsi="仿宋" w:eastAsia="仿宋" w:cs="仿宋"/>
          <w:color w:val="auto"/>
          <w:spacing w:val="4"/>
          <w:sz w:val="30"/>
          <w:szCs w:val="30"/>
          <w:highlight w:val="none"/>
        </w:rPr>
        <w:t xml:space="preserve"> </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签字或盖个人名章</w:t>
      </w:r>
      <w:r>
        <w:rPr>
          <w:rFonts w:hint="eastAsia" w:ascii="仿宋" w:hAnsi="仿宋" w:eastAsia="仿宋" w:cs="仿宋"/>
          <w:color w:val="auto"/>
          <w:spacing w:val="4"/>
          <w:sz w:val="30"/>
          <w:szCs w:val="30"/>
          <w:highlight w:val="none"/>
        </w:rPr>
        <w:t>)</w:t>
      </w:r>
    </w:p>
    <w:p w14:paraId="0525327A">
      <w:pPr>
        <w:pStyle w:val="8"/>
        <w:ind w:left="63" w:right="63" w:firstLine="616" w:firstLineChars="200"/>
        <w:jc w:val="both"/>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地</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址</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w:t>
      </w:r>
      <w:r>
        <w:rPr>
          <w:rFonts w:hint="eastAsia" w:ascii="仿宋" w:hAnsi="仿宋" w:eastAsia="仿宋" w:cs="仿宋"/>
          <w:color w:val="auto"/>
          <w:spacing w:val="4"/>
          <w:sz w:val="30"/>
          <w:szCs w:val="30"/>
          <w:highlight w:val="none"/>
        </w:rPr>
        <w:t xml:space="preserve">                                             </w:t>
      </w:r>
    </w:p>
    <w:p w14:paraId="6B07B1E9">
      <w:pPr>
        <w:pStyle w:val="8"/>
        <w:ind w:left="63" w:right="63" w:firstLine="616" w:firstLineChars="200"/>
        <w:jc w:val="both"/>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邮政编码：</w:t>
      </w:r>
      <w:r>
        <w:rPr>
          <w:rFonts w:hint="eastAsia" w:ascii="仿宋" w:hAnsi="仿宋" w:eastAsia="仿宋" w:cs="仿宋"/>
          <w:color w:val="auto"/>
          <w:spacing w:val="4"/>
          <w:sz w:val="30"/>
          <w:szCs w:val="30"/>
          <w:highlight w:val="none"/>
        </w:rPr>
        <w:t xml:space="preserve">                                              </w:t>
      </w:r>
    </w:p>
    <w:p w14:paraId="78ABE8C3">
      <w:pPr>
        <w:pStyle w:val="8"/>
        <w:ind w:left="63" w:right="63" w:firstLine="616" w:firstLineChars="200"/>
        <w:jc w:val="both"/>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电</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话：</w:t>
      </w:r>
      <w:r>
        <w:rPr>
          <w:rFonts w:hint="eastAsia" w:ascii="仿宋" w:hAnsi="仿宋" w:eastAsia="仿宋" w:cs="仿宋"/>
          <w:color w:val="auto"/>
          <w:spacing w:val="4"/>
          <w:sz w:val="30"/>
          <w:szCs w:val="30"/>
          <w:highlight w:val="none"/>
        </w:rPr>
        <w:t xml:space="preserve">                                              </w:t>
      </w:r>
    </w:p>
    <w:p w14:paraId="019D0B06">
      <w:pPr>
        <w:pStyle w:val="8"/>
        <w:ind w:left="63" w:right="63" w:firstLine="616" w:firstLineChars="200"/>
        <w:jc w:val="both"/>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传</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真</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w:t>
      </w:r>
      <w:r>
        <w:rPr>
          <w:rFonts w:hint="eastAsia" w:ascii="仿宋" w:hAnsi="仿宋" w:eastAsia="仿宋" w:cs="仿宋"/>
          <w:color w:val="auto"/>
          <w:spacing w:val="4"/>
          <w:sz w:val="30"/>
          <w:szCs w:val="30"/>
          <w:highlight w:val="none"/>
        </w:rPr>
        <w:t xml:space="preserve">                                             </w:t>
      </w:r>
    </w:p>
    <w:p w14:paraId="163B3C8B">
      <w:pPr>
        <w:pStyle w:val="8"/>
        <w:ind w:left="63" w:right="63" w:firstLine="616" w:firstLineChars="200"/>
        <w:jc w:val="both"/>
        <w:rPr>
          <w:color w:val="auto"/>
          <w:highlight w:val="none"/>
        </w:rPr>
      </w:pPr>
      <w:r>
        <w:rPr>
          <w:rFonts w:hint="eastAsia" w:ascii="宋体" w:hAnsi="宋体" w:cs="宋体"/>
          <w:color w:val="auto"/>
          <w:spacing w:val="4"/>
          <w:sz w:val="30"/>
          <w:szCs w:val="30"/>
          <w:highlight w:val="none"/>
        </w:rPr>
        <w:t>开立时间：</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年</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月</w:t>
      </w:r>
      <w:r>
        <w:rPr>
          <w:rFonts w:hint="eastAsia" w:ascii="仿宋" w:hAnsi="仿宋" w:eastAsia="仿宋" w:cs="仿宋"/>
          <w:color w:val="auto"/>
          <w:spacing w:val="4"/>
          <w:sz w:val="30"/>
          <w:szCs w:val="30"/>
          <w:highlight w:val="none"/>
        </w:rPr>
        <w:t xml:space="preserve">    </w:t>
      </w:r>
    </w:p>
    <w:p w14:paraId="6525819C">
      <w:pPr>
        <w:rPr>
          <w:color w:val="auto"/>
          <w:highlight w:val="none"/>
        </w:rPr>
      </w:pPr>
    </w:p>
    <w:p w14:paraId="0ED15961">
      <w:pPr>
        <w:widowControl/>
        <w:jc w:val="center"/>
        <w:rPr>
          <w:rFonts w:hint="default" w:ascii="宋体" w:hAnsi="宋体"/>
          <w:bCs/>
          <w:color w:val="auto"/>
          <w:kern w:val="0"/>
          <w:sz w:val="28"/>
          <w:szCs w:val="28"/>
          <w:highlight w:val="none"/>
          <w:lang w:val="en-US" w:eastAsia="zh-CN"/>
        </w:rPr>
      </w:pPr>
    </w:p>
    <w:p w14:paraId="013A1214">
      <w:pPr>
        <w:pStyle w:val="64"/>
        <w:keepNext w:val="0"/>
        <w:keepLines w:val="0"/>
        <w:pageBreakBefore w:val="0"/>
        <w:widowControl/>
        <w:kinsoku/>
        <w:wordWrap w:val="0"/>
        <w:overflowPunct/>
        <w:bidi w:val="0"/>
        <w:spacing w:line="380" w:lineRule="exact"/>
        <w:ind w:firstLine="560" w:firstLineChars="200"/>
        <w:textAlignment w:val="auto"/>
        <w:rPr>
          <w:rFonts w:hint="default" w:ascii="宋体" w:hAnsi="宋体"/>
          <w:bCs/>
          <w:kern w:val="0"/>
          <w:sz w:val="28"/>
          <w:szCs w:val="28"/>
          <w:lang w:val="en-US" w:eastAsia="zh-CN"/>
        </w:rPr>
      </w:pPr>
    </w:p>
    <w:sectPr>
      <w:headerReference r:id="rId10" w:type="default"/>
      <w:footerReference r:id="rId11"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MingLiU">
    <w:altName w:val="Microsoft JhengHei UI"/>
    <w:panose1 w:val="02010609000101010101"/>
    <w:charset w:val="88"/>
    <w:family w:val="moder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简体">
    <w:altName w:val="黑体"/>
    <w:panose1 w:val="00000000000000000000"/>
    <w:charset w:val="86"/>
    <w:family w:val="script"/>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0AE04C">
    <w:pPr>
      <w:pStyle w:val="1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6C048D">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16C048D">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7E00BD">
    <w:pPr>
      <w:pStyle w:val="13"/>
      <w:jc w:val="center"/>
      <w:rPr>
        <w:rFonts w:eastAsia="仿宋_GB2312"/>
        <w:sz w:val="24"/>
      </w:rP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19B3F3">
                          <w:pPr>
                            <w:pStyle w:val="13"/>
                          </w:pPr>
                          <w:r>
                            <w:t xml:space="preserve">第 </w:t>
                          </w:r>
                          <w:r>
                            <w:fldChar w:fldCharType="begin"/>
                          </w:r>
                          <w:r>
                            <w:instrText xml:space="preserve"> PAGE  \* MERGEFORMAT </w:instrText>
                          </w:r>
                          <w:r>
                            <w:fldChar w:fldCharType="separate"/>
                          </w:r>
                          <w:r>
                            <w:t>0</w:t>
                          </w:r>
                          <w:r>
                            <w:fldChar w:fldCharType="end"/>
                          </w:r>
                          <w:r>
                            <w:t xml:space="preserve"> 页 共 </w:t>
                          </w:r>
                          <w:r>
                            <w:fldChar w:fldCharType="begin"/>
                          </w:r>
                          <w:r>
                            <w:instrText xml:space="preserve"> NUMPAGES  \* MERGEFORMAT </w:instrText>
                          </w:r>
                          <w:r>
                            <w:fldChar w:fldCharType="separate"/>
                          </w:r>
                          <w:r>
                            <w:t>102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3019B3F3">
                    <w:pPr>
                      <w:pStyle w:val="13"/>
                    </w:pPr>
                    <w:r>
                      <w:t xml:space="preserve">第 </w:t>
                    </w:r>
                    <w:r>
                      <w:fldChar w:fldCharType="begin"/>
                    </w:r>
                    <w:r>
                      <w:instrText xml:space="preserve"> PAGE  \* MERGEFORMAT </w:instrText>
                    </w:r>
                    <w:r>
                      <w:fldChar w:fldCharType="separate"/>
                    </w:r>
                    <w:r>
                      <w:t>0</w:t>
                    </w:r>
                    <w:r>
                      <w:fldChar w:fldCharType="end"/>
                    </w:r>
                    <w:r>
                      <w:t xml:space="preserve"> 页 共 </w:t>
                    </w:r>
                    <w:r>
                      <w:fldChar w:fldCharType="begin"/>
                    </w:r>
                    <w:r>
                      <w:instrText xml:space="preserve"> NUMPAGES  \* MERGEFORMAT </w:instrText>
                    </w:r>
                    <w:r>
                      <w:fldChar w:fldCharType="separate"/>
                    </w:r>
                    <w:r>
                      <w:t>102</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45326D">
    <w:pPr>
      <w:pStyle w:val="13"/>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9F787B">
                          <w:pPr>
                            <w:pStyle w:val="1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109</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4B9F787B">
                    <w:pPr>
                      <w:pStyle w:val="1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109</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0F9D4">
    <w:pPr>
      <w:spacing w:line="176" w:lineRule="auto"/>
      <w:ind w:left="4368"/>
      <w:rPr>
        <w:rFonts w:eastAsia="Times New Roman"/>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FDF254">
                          <w:pPr>
                            <w:pStyle w:val="13"/>
                          </w:pPr>
                          <w:r>
                            <w:t xml:space="preserve">第 </w:t>
                          </w:r>
                          <w:r>
                            <w:fldChar w:fldCharType="begin"/>
                          </w:r>
                          <w:r>
                            <w:instrText xml:space="preserve"> PAGE  \* MERGEFORMAT </w:instrText>
                          </w:r>
                          <w:r>
                            <w:fldChar w:fldCharType="separate"/>
                          </w:r>
                          <w:r>
                            <w:t>46</w:t>
                          </w:r>
                          <w:r>
                            <w:fldChar w:fldCharType="end"/>
                          </w:r>
                          <w:r>
                            <w:t xml:space="preserve"> 页 共 </w:t>
                          </w:r>
                          <w:r>
                            <w:fldChar w:fldCharType="begin"/>
                          </w:r>
                          <w:r>
                            <w:instrText xml:space="preserve"> NUMPAGES  \* MERGEFORMAT </w:instrText>
                          </w:r>
                          <w:r>
                            <w:fldChar w:fldCharType="separate"/>
                          </w:r>
                          <w:r>
                            <w:t>109</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3AFDF254">
                    <w:pPr>
                      <w:pStyle w:val="13"/>
                    </w:pPr>
                    <w:r>
                      <w:t xml:space="preserve">第 </w:t>
                    </w:r>
                    <w:r>
                      <w:fldChar w:fldCharType="begin"/>
                    </w:r>
                    <w:r>
                      <w:instrText xml:space="preserve"> PAGE  \* MERGEFORMAT </w:instrText>
                    </w:r>
                    <w:r>
                      <w:fldChar w:fldCharType="separate"/>
                    </w:r>
                    <w:r>
                      <w:t>46</w:t>
                    </w:r>
                    <w:r>
                      <w:fldChar w:fldCharType="end"/>
                    </w:r>
                    <w:r>
                      <w:t xml:space="preserve"> 页 共 </w:t>
                    </w:r>
                    <w:r>
                      <w:fldChar w:fldCharType="begin"/>
                    </w:r>
                    <w:r>
                      <w:instrText xml:space="preserve"> NUMPAGES  \* MERGEFORMAT </w:instrText>
                    </w:r>
                    <w:r>
                      <w:fldChar w:fldCharType="separate"/>
                    </w:r>
                    <w:r>
                      <w:t>109</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BD93C">
    <w:pPr>
      <w:pStyle w:val="13"/>
      <w:jc w:val="center"/>
      <w:rPr>
        <w:cap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46CE9A">
                          <w:pPr>
                            <w:pStyle w:val="13"/>
                            <w:jc w:val="center"/>
                          </w:pPr>
                          <w:r>
                            <w:rPr>
                              <w:caps/>
                            </w:rPr>
                            <w:fldChar w:fldCharType="begin"/>
                          </w:r>
                          <w:r>
                            <w:rPr>
                              <w:caps/>
                            </w:rPr>
                            <w:instrText xml:space="preserve">PAGE   \* MERGEFORMAT</w:instrText>
                          </w:r>
                          <w:r>
                            <w:rPr>
                              <w:caps/>
                            </w:rPr>
                            <w:fldChar w:fldCharType="separate"/>
                          </w:r>
                          <w:r>
                            <w:rPr>
                              <w:caps/>
                              <w:lang w:val="zh-CN"/>
                            </w:rPr>
                            <w:t>18</w:t>
                          </w:r>
                          <w:r>
                            <w:rPr>
                              <w:caps/>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5B46CE9A">
                    <w:pPr>
                      <w:pStyle w:val="13"/>
                      <w:jc w:val="center"/>
                    </w:pPr>
                    <w:r>
                      <w:rPr>
                        <w:caps/>
                      </w:rPr>
                      <w:fldChar w:fldCharType="begin"/>
                    </w:r>
                    <w:r>
                      <w:rPr>
                        <w:caps/>
                      </w:rPr>
                      <w:instrText xml:space="preserve">PAGE   \* MERGEFORMAT</w:instrText>
                    </w:r>
                    <w:r>
                      <w:rPr>
                        <w:caps/>
                      </w:rPr>
                      <w:fldChar w:fldCharType="separate"/>
                    </w:r>
                    <w:r>
                      <w:rPr>
                        <w:caps/>
                        <w:lang w:val="zh-CN"/>
                      </w:rPr>
                      <w:t>18</w:t>
                    </w:r>
                    <w:r>
                      <w:rPr>
                        <w:caps/>
                      </w:rPr>
                      <w:fldChar w:fldCharType="end"/>
                    </w:r>
                  </w:p>
                </w:txbxContent>
              </v:textbox>
            </v:shape>
          </w:pict>
        </mc:Fallback>
      </mc:AlternateContent>
    </w:r>
  </w:p>
  <w:p w14:paraId="063913A1">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24344F">
    <w:pPr>
      <w:pStyle w:val="14"/>
      <w:pBdr>
        <w:bottom w:val="thinThickMediumGap" w:color="auto" w:sz="18" w:space="1"/>
      </w:pBdr>
      <w:jc w:val="distribute"/>
      <w:rPr>
        <w:rFonts w:ascii="宋体" w:hAnsi="宋体" w:cs="宋体"/>
        <w:b/>
      </w:rPr>
    </w:pPr>
  </w:p>
  <w:p w14:paraId="6FF2C85D">
    <w:pPr>
      <w:pStyle w:val="14"/>
      <w:pBdr>
        <w:bottom w:val="thinThickMediumGap" w:color="auto" w:sz="18" w:space="1"/>
      </w:pBdr>
      <w:jc w:val="distribute"/>
      <w:rPr>
        <w:kern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53B8C">
    <w:pPr>
      <w:pStyle w:val="14"/>
      <w:pBdr>
        <w:bottom w:val="thinThickMediumGap" w:color="auto" w:sz="18" w:space="1"/>
      </w:pBdr>
      <w:jc w:val="distribute"/>
      <w:rPr>
        <w:rFonts w:ascii="宋体" w:hAnsi="宋体" w:cs="宋体"/>
        <w:b/>
      </w:rPr>
    </w:pPr>
  </w:p>
  <w:p w14:paraId="15632D5D">
    <w:pPr>
      <w:pStyle w:val="14"/>
      <w:pBdr>
        <w:bottom w:val="thinThickMediumGap" w:color="auto" w:sz="18" w:space="1"/>
      </w:pBdr>
      <w:jc w:val="distribute"/>
      <w:rPr>
        <w:kern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D6975">
    <w:pPr>
      <w:spacing w:line="14" w:lineRule="auto"/>
      <w:rPr>
        <w:rFonts w:ascii="Arial"/>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EC58F9">
    <w:pPr>
      <w:pStyle w:val="14"/>
      <w:pBdr>
        <w:bottom w:val="none" w:color="auto" w:sz="0" w:space="0"/>
      </w:pBdr>
      <w:jc w:val="both"/>
      <w:rPr>
        <w:u w:val="single"/>
      </w:rPr>
    </w:pPr>
    <w:r>
      <w:rPr>
        <w:u w:val="single"/>
      </w:rPr>
      <w:t>重庆国际复合材料股份有限公司</w:t>
    </w:r>
    <w:r>
      <w:rPr>
        <w:rFonts w:hint="eastAsia"/>
        <w:u w:val="single"/>
      </w:rPr>
      <w:t xml:space="preserve"> </w:t>
    </w:r>
    <w:r>
      <w:rPr>
        <w:u w:val="single"/>
      </w:rPr>
      <w:t xml:space="preserve">                                                </w:t>
    </w:r>
    <w:r>
      <w:rPr>
        <w:rFonts w:hint="eastAsia"/>
        <w:u w:val="single"/>
      </w:rPr>
      <w:t>谈判采购</w:t>
    </w:r>
    <w:r>
      <w:rPr>
        <w:u w:val="single"/>
      </w:rPr>
      <w:t>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C91163"/>
    <w:multiLevelType w:val="multilevel"/>
    <w:tmpl w:val="1FC91163"/>
    <w:lvl w:ilvl="0" w:tentative="0">
      <w:start w:val="1"/>
      <w:numFmt w:val="decimal"/>
      <w:pStyle w:val="70"/>
      <w:suff w:val="nothing"/>
      <w:lvlText w:val="%1　"/>
      <w:lvlJc w:val="left"/>
      <w:pPr>
        <w:ind w:left="3544" w:firstLine="0"/>
      </w:pPr>
      <w:rPr>
        <w:rFonts w:hint="eastAsia" w:ascii="黑体" w:hAnsi="Times New Roman" w:eastAsia="黑体"/>
        <w:b w:val="0"/>
        <w:i w:val="0"/>
        <w:sz w:val="21"/>
        <w:szCs w:val="21"/>
      </w:rPr>
    </w:lvl>
    <w:lvl w:ilvl="1" w:tentative="0">
      <w:start w:val="1"/>
      <w:numFmt w:val="decimal"/>
      <w:pStyle w:val="72"/>
      <w:suff w:val="nothing"/>
      <w:lvlText w:val="%1.%2　"/>
      <w:lvlJc w:val="left"/>
      <w:pPr>
        <w:ind w:left="568"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pStyle w:val="76"/>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
    <w:nsid w:val="20B247BD"/>
    <w:multiLevelType w:val="singleLevel"/>
    <w:tmpl w:val="20B247BD"/>
    <w:lvl w:ilvl="0" w:tentative="0">
      <w:start w:val="1"/>
      <w:numFmt w:val="upperLetter"/>
      <w:suff w:val="nothing"/>
      <w:lvlText w:val="%1、"/>
      <w:lvlJc w:val="left"/>
    </w:lvl>
  </w:abstractNum>
  <w:abstractNum w:abstractNumId="2">
    <w:nsid w:val="27650934"/>
    <w:multiLevelType w:val="multilevel"/>
    <w:tmpl w:val="27650934"/>
    <w:lvl w:ilvl="0" w:tentative="0">
      <w:start w:val="3"/>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
    <w:nsid w:val="57FF1490"/>
    <w:multiLevelType w:val="multilevel"/>
    <w:tmpl w:val="57FF1490"/>
    <w:lvl w:ilvl="0" w:tentative="0">
      <w:start w:val="1"/>
      <w:numFmt w:val="decimal"/>
      <w:suff w:val="nothing"/>
      <w:lvlText w:val="%1　"/>
      <w:lvlJc w:val="left"/>
      <w:pPr>
        <w:ind w:left="3544" w:firstLine="0"/>
      </w:pPr>
      <w:rPr>
        <w:rFonts w:hint="eastAsia" w:ascii="黑体" w:hAnsi="Times New Roman" w:eastAsia="黑体"/>
        <w:b w:val="0"/>
        <w:i w:val="0"/>
        <w:sz w:val="21"/>
        <w:szCs w:val="21"/>
      </w:rPr>
    </w:lvl>
    <w:lvl w:ilvl="1" w:tentative="0">
      <w:start w:val="1"/>
      <w:numFmt w:val="decimal"/>
      <w:suff w:val="nothing"/>
      <w:lvlText w:val="%1.%2　"/>
      <w:lvlJc w:val="left"/>
      <w:pPr>
        <w:ind w:left="568"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4">
    <w:nsid w:val="59205862"/>
    <w:multiLevelType w:val="multilevel"/>
    <w:tmpl w:val="59205862"/>
    <w:lvl w:ilvl="0" w:tentative="0">
      <w:start w:val="1"/>
      <w:numFmt w:val="japaneseCounting"/>
      <w:lvlText w:val="第%1章"/>
      <w:lvlJc w:val="left"/>
      <w:pPr>
        <w:ind w:left="990" w:hanging="99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5EE13876"/>
    <w:multiLevelType w:val="multilevel"/>
    <w:tmpl w:val="5EE13876"/>
    <w:lvl w:ilvl="0" w:tentative="0">
      <w:start w:val="1"/>
      <w:numFmt w:val="decimal"/>
      <w:lvlText w:val="%1"/>
      <w:lvlJc w:val="left"/>
      <w:pPr>
        <w:ind w:left="425" w:hanging="425"/>
      </w:pPr>
      <w:rPr>
        <w:rFonts w:hint="eastAsia"/>
      </w:rPr>
    </w:lvl>
    <w:lvl w:ilvl="1" w:tentative="0">
      <w:start w:val="1"/>
      <w:numFmt w:val="decimal"/>
      <w:lvlText w:val="%1.%2"/>
      <w:lvlJc w:val="left"/>
      <w:pPr>
        <w:ind w:left="0" w:firstLine="0"/>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6">
    <w:nsid w:val="70F3FB62"/>
    <w:multiLevelType w:val="singleLevel"/>
    <w:tmpl w:val="70F3FB62"/>
    <w:lvl w:ilvl="0" w:tentative="0">
      <w:start w:val="1"/>
      <w:numFmt w:val="decimal"/>
      <w:suff w:val="nothing"/>
      <w:lvlText w:val="（%1）"/>
      <w:lvlJc w:val="left"/>
    </w:lvl>
  </w:abstractNum>
  <w:abstractNum w:abstractNumId="7">
    <w:nsid w:val="711F0290"/>
    <w:multiLevelType w:val="multilevel"/>
    <w:tmpl w:val="711F0290"/>
    <w:lvl w:ilvl="0" w:tentative="0">
      <w:start w:val="1"/>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8">
    <w:nsid w:val="7513807E"/>
    <w:multiLevelType w:val="singleLevel"/>
    <w:tmpl w:val="7513807E"/>
    <w:lvl w:ilvl="0" w:tentative="0">
      <w:start w:val="5"/>
      <w:numFmt w:val="decimal"/>
      <w:lvlText w:val="%1."/>
      <w:lvlJc w:val="left"/>
      <w:pPr>
        <w:tabs>
          <w:tab w:val="left" w:pos="312"/>
        </w:tabs>
      </w:pPr>
    </w:lvl>
  </w:abstractNum>
  <w:abstractNum w:abstractNumId="9">
    <w:nsid w:val="76B26BF2"/>
    <w:multiLevelType w:val="multilevel"/>
    <w:tmpl w:val="76B26BF2"/>
    <w:lvl w:ilvl="0" w:tentative="0">
      <w:start w:val="5"/>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4"/>
  </w:num>
  <w:num w:numId="3">
    <w:abstractNumId w:val="8"/>
  </w:num>
  <w:num w:numId="4">
    <w:abstractNumId w:val="6"/>
  </w:num>
  <w:num w:numId="5">
    <w:abstractNumId w:val="7"/>
  </w:num>
  <w:num w:numId="6">
    <w:abstractNumId w:val="2"/>
  </w:num>
  <w:num w:numId="7">
    <w:abstractNumId w:val="1"/>
  </w:num>
  <w:num w:numId="8">
    <w:abstractNumId w:val="9"/>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798"/>
    <w:rsid w:val="00004E16"/>
    <w:rsid w:val="00015732"/>
    <w:rsid w:val="0002731E"/>
    <w:rsid w:val="00033273"/>
    <w:rsid w:val="0003535A"/>
    <w:rsid w:val="0004557B"/>
    <w:rsid w:val="00055099"/>
    <w:rsid w:val="0006349A"/>
    <w:rsid w:val="000639DA"/>
    <w:rsid w:val="00066327"/>
    <w:rsid w:val="00067A52"/>
    <w:rsid w:val="00074A9C"/>
    <w:rsid w:val="000C313A"/>
    <w:rsid w:val="000C59FF"/>
    <w:rsid w:val="000D61D5"/>
    <w:rsid w:val="000E3867"/>
    <w:rsid w:val="000F4C42"/>
    <w:rsid w:val="000F6CBB"/>
    <w:rsid w:val="00101650"/>
    <w:rsid w:val="001246C1"/>
    <w:rsid w:val="00134003"/>
    <w:rsid w:val="0013507B"/>
    <w:rsid w:val="0015136C"/>
    <w:rsid w:val="001546C4"/>
    <w:rsid w:val="0017455F"/>
    <w:rsid w:val="00181091"/>
    <w:rsid w:val="00195024"/>
    <w:rsid w:val="001A7ABD"/>
    <w:rsid w:val="001C504A"/>
    <w:rsid w:val="001D263E"/>
    <w:rsid w:val="001E4C22"/>
    <w:rsid w:val="001E7567"/>
    <w:rsid w:val="001F306D"/>
    <w:rsid w:val="001F6D3B"/>
    <w:rsid w:val="001F75D1"/>
    <w:rsid w:val="00271875"/>
    <w:rsid w:val="002769D8"/>
    <w:rsid w:val="00277025"/>
    <w:rsid w:val="002A4E7C"/>
    <w:rsid w:val="002A74FC"/>
    <w:rsid w:val="002C7821"/>
    <w:rsid w:val="00304C5C"/>
    <w:rsid w:val="003176E5"/>
    <w:rsid w:val="00320BF2"/>
    <w:rsid w:val="003315DC"/>
    <w:rsid w:val="00331BC5"/>
    <w:rsid w:val="00340F41"/>
    <w:rsid w:val="00347237"/>
    <w:rsid w:val="00360D0D"/>
    <w:rsid w:val="00362B9C"/>
    <w:rsid w:val="00366930"/>
    <w:rsid w:val="00367BC3"/>
    <w:rsid w:val="00370CFF"/>
    <w:rsid w:val="0038741C"/>
    <w:rsid w:val="00391ABF"/>
    <w:rsid w:val="003A0B07"/>
    <w:rsid w:val="003B0DA4"/>
    <w:rsid w:val="003C19D4"/>
    <w:rsid w:val="003D3228"/>
    <w:rsid w:val="003E2337"/>
    <w:rsid w:val="004027DD"/>
    <w:rsid w:val="004104CC"/>
    <w:rsid w:val="00411C82"/>
    <w:rsid w:val="0041311F"/>
    <w:rsid w:val="00423578"/>
    <w:rsid w:val="00427796"/>
    <w:rsid w:val="00444480"/>
    <w:rsid w:val="00445084"/>
    <w:rsid w:val="00465DC3"/>
    <w:rsid w:val="00491316"/>
    <w:rsid w:val="004A5B13"/>
    <w:rsid w:val="004B6BE1"/>
    <w:rsid w:val="004C1C65"/>
    <w:rsid w:val="004C4ED6"/>
    <w:rsid w:val="004C7FDE"/>
    <w:rsid w:val="004D0768"/>
    <w:rsid w:val="004D0830"/>
    <w:rsid w:val="00506E72"/>
    <w:rsid w:val="0051340F"/>
    <w:rsid w:val="00530CFA"/>
    <w:rsid w:val="00535B40"/>
    <w:rsid w:val="0055580E"/>
    <w:rsid w:val="00596A5D"/>
    <w:rsid w:val="005B7EC1"/>
    <w:rsid w:val="005C3AD3"/>
    <w:rsid w:val="005C4D96"/>
    <w:rsid w:val="005D0926"/>
    <w:rsid w:val="00603AEC"/>
    <w:rsid w:val="00604D86"/>
    <w:rsid w:val="00606C97"/>
    <w:rsid w:val="00615E15"/>
    <w:rsid w:val="006227EA"/>
    <w:rsid w:val="006326A5"/>
    <w:rsid w:val="00637D7A"/>
    <w:rsid w:val="00644C42"/>
    <w:rsid w:val="00650FCB"/>
    <w:rsid w:val="0066245A"/>
    <w:rsid w:val="006773FE"/>
    <w:rsid w:val="006815A2"/>
    <w:rsid w:val="0069210D"/>
    <w:rsid w:val="00694020"/>
    <w:rsid w:val="00697B40"/>
    <w:rsid w:val="006A4D4C"/>
    <w:rsid w:val="006A7B92"/>
    <w:rsid w:val="006C788A"/>
    <w:rsid w:val="006D2211"/>
    <w:rsid w:val="006E00BB"/>
    <w:rsid w:val="006F3081"/>
    <w:rsid w:val="00701695"/>
    <w:rsid w:val="007162FA"/>
    <w:rsid w:val="00720504"/>
    <w:rsid w:val="00723322"/>
    <w:rsid w:val="00725E6F"/>
    <w:rsid w:val="007342EE"/>
    <w:rsid w:val="00746629"/>
    <w:rsid w:val="007476FE"/>
    <w:rsid w:val="0077282B"/>
    <w:rsid w:val="00777B3C"/>
    <w:rsid w:val="00782682"/>
    <w:rsid w:val="007947C9"/>
    <w:rsid w:val="007A5E1D"/>
    <w:rsid w:val="007A78AF"/>
    <w:rsid w:val="007B43AD"/>
    <w:rsid w:val="007C1BCC"/>
    <w:rsid w:val="007C1BE1"/>
    <w:rsid w:val="007C31F3"/>
    <w:rsid w:val="007C3366"/>
    <w:rsid w:val="007C5D73"/>
    <w:rsid w:val="007D268D"/>
    <w:rsid w:val="007E3DD6"/>
    <w:rsid w:val="007E42A8"/>
    <w:rsid w:val="007F65E0"/>
    <w:rsid w:val="008054DB"/>
    <w:rsid w:val="0081478C"/>
    <w:rsid w:val="008166DF"/>
    <w:rsid w:val="0082033A"/>
    <w:rsid w:val="008207B8"/>
    <w:rsid w:val="00842E90"/>
    <w:rsid w:val="008507A2"/>
    <w:rsid w:val="0085369D"/>
    <w:rsid w:val="00861A8A"/>
    <w:rsid w:val="00886858"/>
    <w:rsid w:val="00891C43"/>
    <w:rsid w:val="00896A54"/>
    <w:rsid w:val="008B363D"/>
    <w:rsid w:val="008B550C"/>
    <w:rsid w:val="008D4DED"/>
    <w:rsid w:val="008E41A1"/>
    <w:rsid w:val="008E78AD"/>
    <w:rsid w:val="009162A6"/>
    <w:rsid w:val="00916B62"/>
    <w:rsid w:val="009175B4"/>
    <w:rsid w:val="00937BE3"/>
    <w:rsid w:val="00956A25"/>
    <w:rsid w:val="0098054D"/>
    <w:rsid w:val="00990130"/>
    <w:rsid w:val="009A1ED4"/>
    <w:rsid w:val="009D202F"/>
    <w:rsid w:val="009E1A97"/>
    <w:rsid w:val="009E2AED"/>
    <w:rsid w:val="009F2F18"/>
    <w:rsid w:val="009F5130"/>
    <w:rsid w:val="00A11B03"/>
    <w:rsid w:val="00A129FC"/>
    <w:rsid w:val="00A323FB"/>
    <w:rsid w:val="00A577A1"/>
    <w:rsid w:val="00A72AF6"/>
    <w:rsid w:val="00A90A78"/>
    <w:rsid w:val="00AA0104"/>
    <w:rsid w:val="00AA2C25"/>
    <w:rsid w:val="00AA6699"/>
    <w:rsid w:val="00AA6B15"/>
    <w:rsid w:val="00AA72B3"/>
    <w:rsid w:val="00AB3C76"/>
    <w:rsid w:val="00AC484F"/>
    <w:rsid w:val="00AC5B2B"/>
    <w:rsid w:val="00AF07CF"/>
    <w:rsid w:val="00AF779C"/>
    <w:rsid w:val="00B00FFE"/>
    <w:rsid w:val="00B24BD3"/>
    <w:rsid w:val="00B27073"/>
    <w:rsid w:val="00B80808"/>
    <w:rsid w:val="00B81798"/>
    <w:rsid w:val="00B836A3"/>
    <w:rsid w:val="00B927C3"/>
    <w:rsid w:val="00BA3B67"/>
    <w:rsid w:val="00BB26FC"/>
    <w:rsid w:val="00BC0E0F"/>
    <w:rsid w:val="00BC1DCA"/>
    <w:rsid w:val="00BC4539"/>
    <w:rsid w:val="00C16F96"/>
    <w:rsid w:val="00C41126"/>
    <w:rsid w:val="00C516D1"/>
    <w:rsid w:val="00C63D4D"/>
    <w:rsid w:val="00C75E89"/>
    <w:rsid w:val="00C77A33"/>
    <w:rsid w:val="00CA2115"/>
    <w:rsid w:val="00CA6278"/>
    <w:rsid w:val="00CC2A62"/>
    <w:rsid w:val="00CD536C"/>
    <w:rsid w:val="00CF2B7E"/>
    <w:rsid w:val="00CF44FD"/>
    <w:rsid w:val="00D3568B"/>
    <w:rsid w:val="00D64B0C"/>
    <w:rsid w:val="00D66967"/>
    <w:rsid w:val="00D755A5"/>
    <w:rsid w:val="00D75A6B"/>
    <w:rsid w:val="00D7614C"/>
    <w:rsid w:val="00D76D3D"/>
    <w:rsid w:val="00D937E7"/>
    <w:rsid w:val="00DA43C0"/>
    <w:rsid w:val="00DA5374"/>
    <w:rsid w:val="00DB01DA"/>
    <w:rsid w:val="00DB33AB"/>
    <w:rsid w:val="00DB5932"/>
    <w:rsid w:val="00DC5625"/>
    <w:rsid w:val="00DD0C00"/>
    <w:rsid w:val="00DF3A73"/>
    <w:rsid w:val="00E076D7"/>
    <w:rsid w:val="00E102CF"/>
    <w:rsid w:val="00E16E56"/>
    <w:rsid w:val="00E32177"/>
    <w:rsid w:val="00E33296"/>
    <w:rsid w:val="00E34A35"/>
    <w:rsid w:val="00E35B98"/>
    <w:rsid w:val="00E37CF0"/>
    <w:rsid w:val="00E41F40"/>
    <w:rsid w:val="00E44038"/>
    <w:rsid w:val="00E75715"/>
    <w:rsid w:val="00E75A90"/>
    <w:rsid w:val="00E962EC"/>
    <w:rsid w:val="00EB51BD"/>
    <w:rsid w:val="00ED5E43"/>
    <w:rsid w:val="00EE630B"/>
    <w:rsid w:val="00EF4098"/>
    <w:rsid w:val="00F06F7B"/>
    <w:rsid w:val="00F33F0A"/>
    <w:rsid w:val="00F42DFD"/>
    <w:rsid w:val="00F42E95"/>
    <w:rsid w:val="00F827C7"/>
    <w:rsid w:val="00F96FD9"/>
    <w:rsid w:val="00FA1BA8"/>
    <w:rsid w:val="00FA49D4"/>
    <w:rsid w:val="00FC5408"/>
    <w:rsid w:val="00FC64A5"/>
    <w:rsid w:val="00FD7184"/>
    <w:rsid w:val="01145609"/>
    <w:rsid w:val="0252552D"/>
    <w:rsid w:val="02972AF7"/>
    <w:rsid w:val="039F26C9"/>
    <w:rsid w:val="03AC4D68"/>
    <w:rsid w:val="06233AA0"/>
    <w:rsid w:val="075C3866"/>
    <w:rsid w:val="07CF7529"/>
    <w:rsid w:val="07F33D53"/>
    <w:rsid w:val="08470CC8"/>
    <w:rsid w:val="0AA3501D"/>
    <w:rsid w:val="0B8E5E80"/>
    <w:rsid w:val="0BAF6137"/>
    <w:rsid w:val="0C9D4FE4"/>
    <w:rsid w:val="10B85A49"/>
    <w:rsid w:val="11022000"/>
    <w:rsid w:val="11166965"/>
    <w:rsid w:val="11AD6919"/>
    <w:rsid w:val="131161CB"/>
    <w:rsid w:val="13B02C4B"/>
    <w:rsid w:val="13CB11D3"/>
    <w:rsid w:val="14962736"/>
    <w:rsid w:val="15EB2077"/>
    <w:rsid w:val="16506CFC"/>
    <w:rsid w:val="17635E94"/>
    <w:rsid w:val="1B1D2ECC"/>
    <w:rsid w:val="1D5340D5"/>
    <w:rsid w:val="1D5B41AA"/>
    <w:rsid w:val="1E2F712F"/>
    <w:rsid w:val="1E6502D1"/>
    <w:rsid w:val="1F606B67"/>
    <w:rsid w:val="21592A0A"/>
    <w:rsid w:val="24315ECA"/>
    <w:rsid w:val="2605281B"/>
    <w:rsid w:val="29512B72"/>
    <w:rsid w:val="29D92176"/>
    <w:rsid w:val="2ABD0FAC"/>
    <w:rsid w:val="2AF77747"/>
    <w:rsid w:val="2CA6651E"/>
    <w:rsid w:val="2ED4259D"/>
    <w:rsid w:val="30014ABC"/>
    <w:rsid w:val="32CF7549"/>
    <w:rsid w:val="3307663B"/>
    <w:rsid w:val="33E330E5"/>
    <w:rsid w:val="348576A9"/>
    <w:rsid w:val="359C73A0"/>
    <w:rsid w:val="364E146B"/>
    <w:rsid w:val="368E7DC4"/>
    <w:rsid w:val="36C66A25"/>
    <w:rsid w:val="37782570"/>
    <w:rsid w:val="37A22B83"/>
    <w:rsid w:val="38BC27A6"/>
    <w:rsid w:val="39873EC3"/>
    <w:rsid w:val="3A06527E"/>
    <w:rsid w:val="3B753F05"/>
    <w:rsid w:val="3E111FAD"/>
    <w:rsid w:val="3E7346AA"/>
    <w:rsid w:val="3E7E68EE"/>
    <w:rsid w:val="4111710C"/>
    <w:rsid w:val="438254A7"/>
    <w:rsid w:val="483408A5"/>
    <w:rsid w:val="4AE1509D"/>
    <w:rsid w:val="4AEB5669"/>
    <w:rsid w:val="4D2A5145"/>
    <w:rsid w:val="4E8D6C9B"/>
    <w:rsid w:val="4FAE474F"/>
    <w:rsid w:val="531540B7"/>
    <w:rsid w:val="5381529A"/>
    <w:rsid w:val="56093F5F"/>
    <w:rsid w:val="57314EF4"/>
    <w:rsid w:val="5A8C0EE1"/>
    <w:rsid w:val="5BC81896"/>
    <w:rsid w:val="604F627F"/>
    <w:rsid w:val="62560FBE"/>
    <w:rsid w:val="63147CC6"/>
    <w:rsid w:val="64CC127F"/>
    <w:rsid w:val="64EA6FA5"/>
    <w:rsid w:val="65A40923"/>
    <w:rsid w:val="66EE541F"/>
    <w:rsid w:val="67114A94"/>
    <w:rsid w:val="698971FC"/>
    <w:rsid w:val="6B5C44B8"/>
    <w:rsid w:val="6BDC6C36"/>
    <w:rsid w:val="6D9C39C3"/>
    <w:rsid w:val="6DAA5E2B"/>
    <w:rsid w:val="6EDA6DB9"/>
    <w:rsid w:val="6F4F078F"/>
    <w:rsid w:val="71D37C38"/>
    <w:rsid w:val="72030E1E"/>
    <w:rsid w:val="762A44F2"/>
    <w:rsid w:val="772B173D"/>
    <w:rsid w:val="789C1508"/>
    <w:rsid w:val="78B91D5A"/>
    <w:rsid w:val="78DF218F"/>
    <w:rsid w:val="78E23351"/>
    <w:rsid w:val="7C0814C8"/>
    <w:rsid w:val="7CA64253"/>
    <w:rsid w:val="7CE568C5"/>
    <w:rsid w:val="7D1108C2"/>
    <w:rsid w:val="7D6116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7"/>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8"/>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29"/>
    <w:qFormat/>
    <w:uiPriority w:val="0"/>
    <w:pPr>
      <w:keepNext/>
      <w:keepLines/>
      <w:spacing w:before="260" w:after="260" w:line="416" w:lineRule="auto"/>
      <w:outlineLvl w:val="2"/>
    </w:pPr>
    <w:rPr>
      <w:b/>
      <w:bCs/>
      <w:sz w:val="32"/>
      <w:szCs w:val="32"/>
    </w:rPr>
  </w:style>
  <w:style w:type="paragraph" w:styleId="5">
    <w:name w:val="heading 4"/>
    <w:next w:val="1"/>
    <w:qFormat/>
    <w:uiPriority w:val="0"/>
    <w:pPr>
      <w:keepNext/>
      <w:keepLines/>
      <w:widowControl w:val="0"/>
      <w:spacing w:before="280" w:after="290" w:line="372" w:lineRule="auto"/>
      <w:jc w:val="both"/>
      <w:outlineLvl w:val="3"/>
    </w:pPr>
    <w:rPr>
      <w:rFonts w:ascii="Cambria" w:hAnsi="Cambria" w:eastAsia="宋体" w:cs="Times New Roman"/>
      <w:b/>
      <w:bCs/>
      <w:kern w:val="2"/>
      <w:sz w:val="28"/>
      <w:szCs w:val="28"/>
      <w:lang w:val="en-US" w:eastAsia="zh-CN" w:bidi="ar-SA"/>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6">
    <w:name w:val="List 3"/>
    <w:basedOn w:val="1"/>
    <w:qFormat/>
    <w:uiPriority w:val="0"/>
    <w:pPr>
      <w:ind w:left="1260" w:hanging="420"/>
    </w:pPr>
    <w:rPr>
      <w:szCs w:val="20"/>
    </w:rPr>
  </w:style>
  <w:style w:type="paragraph" w:styleId="7">
    <w:name w:val="annotation text"/>
    <w:basedOn w:val="1"/>
    <w:link w:val="30"/>
    <w:unhideWhenUsed/>
    <w:qFormat/>
    <w:uiPriority w:val="99"/>
    <w:pPr>
      <w:jc w:val="left"/>
    </w:pPr>
  </w:style>
  <w:style w:type="paragraph" w:styleId="8">
    <w:name w:val="Body Text"/>
    <w:basedOn w:val="1"/>
    <w:qFormat/>
    <w:uiPriority w:val="0"/>
    <w:pPr>
      <w:spacing w:after="120"/>
    </w:pPr>
  </w:style>
  <w:style w:type="paragraph" w:styleId="9">
    <w:name w:val="toc 3"/>
    <w:basedOn w:val="1"/>
    <w:next w:val="1"/>
    <w:unhideWhenUsed/>
    <w:qFormat/>
    <w:uiPriority w:val="39"/>
    <w:pPr>
      <w:widowControl/>
      <w:spacing w:after="100" w:line="259" w:lineRule="auto"/>
      <w:ind w:left="440"/>
      <w:jc w:val="left"/>
    </w:pPr>
    <w:rPr>
      <w:rFonts w:asciiTheme="minorHAnsi" w:hAnsiTheme="minorHAnsi" w:eastAsiaTheme="minorEastAsia"/>
      <w:kern w:val="0"/>
      <w:sz w:val="22"/>
      <w:szCs w:val="22"/>
    </w:rPr>
  </w:style>
  <w:style w:type="paragraph" w:styleId="10">
    <w:name w:val="Date"/>
    <w:basedOn w:val="1"/>
    <w:next w:val="1"/>
    <w:link w:val="59"/>
    <w:semiHidden/>
    <w:unhideWhenUsed/>
    <w:qFormat/>
    <w:uiPriority w:val="99"/>
    <w:pPr>
      <w:ind w:left="100" w:leftChars="2500"/>
    </w:pPr>
  </w:style>
  <w:style w:type="paragraph" w:styleId="11">
    <w:name w:val="Body Text Indent 2"/>
    <w:basedOn w:val="1"/>
    <w:link w:val="32"/>
    <w:qFormat/>
    <w:uiPriority w:val="99"/>
    <w:pPr>
      <w:ind w:firstLine="480"/>
    </w:pPr>
    <w:rPr>
      <w:rFonts w:ascii="仿宋_GB2312" w:eastAsia="仿宋_GB2312"/>
      <w:sz w:val="24"/>
      <w:szCs w:val="20"/>
    </w:rPr>
  </w:style>
  <w:style w:type="paragraph" w:styleId="12">
    <w:name w:val="Balloon Text"/>
    <w:basedOn w:val="1"/>
    <w:link w:val="33"/>
    <w:unhideWhenUsed/>
    <w:qFormat/>
    <w:uiPriority w:val="99"/>
    <w:rPr>
      <w:sz w:val="18"/>
      <w:szCs w:val="18"/>
    </w:rPr>
  </w:style>
  <w:style w:type="paragraph" w:styleId="13">
    <w:name w:val="footer"/>
    <w:basedOn w:val="1"/>
    <w:link w:val="34"/>
    <w:unhideWhenUsed/>
    <w:qFormat/>
    <w:uiPriority w:val="99"/>
    <w:pPr>
      <w:tabs>
        <w:tab w:val="center" w:pos="4153"/>
        <w:tab w:val="right" w:pos="8306"/>
      </w:tabs>
      <w:snapToGrid w:val="0"/>
      <w:jc w:val="left"/>
    </w:pPr>
    <w:rPr>
      <w:sz w:val="18"/>
      <w:szCs w:val="18"/>
    </w:rPr>
  </w:style>
  <w:style w:type="paragraph" w:styleId="14">
    <w:name w:val="header"/>
    <w:basedOn w:val="1"/>
    <w:link w:val="35"/>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pPr>
      <w:widowControl/>
      <w:spacing w:after="100" w:line="259" w:lineRule="auto"/>
      <w:jc w:val="left"/>
    </w:pPr>
    <w:rPr>
      <w:rFonts w:asciiTheme="minorHAnsi" w:hAnsiTheme="minorHAnsi" w:eastAsiaTheme="minorEastAsia"/>
      <w:kern w:val="0"/>
      <w:sz w:val="22"/>
      <w:szCs w:val="22"/>
    </w:rPr>
  </w:style>
  <w:style w:type="paragraph" w:styleId="16">
    <w:name w:val="toc 2"/>
    <w:basedOn w:val="1"/>
    <w:next w:val="1"/>
    <w:unhideWhenUsed/>
    <w:qFormat/>
    <w:uiPriority w:val="39"/>
    <w:pPr>
      <w:widowControl/>
      <w:spacing w:after="100" w:line="259" w:lineRule="auto"/>
      <w:ind w:left="220"/>
      <w:jc w:val="left"/>
    </w:pPr>
    <w:rPr>
      <w:rFonts w:asciiTheme="minorHAnsi" w:hAnsiTheme="minorHAnsi" w:eastAsiaTheme="minorEastAsia"/>
      <w:kern w:val="0"/>
      <w:sz w:val="22"/>
      <w:szCs w:val="22"/>
    </w:rPr>
  </w:style>
  <w:style w:type="paragraph" w:styleId="1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18">
    <w:name w:val="Normal (Web)"/>
    <w:basedOn w:val="1"/>
    <w:unhideWhenUsed/>
    <w:qFormat/>
    <w:uiPriority w:val="99"/>
    <w:pPr>
      <w:spacing w:beforeAutospacing="1" w:afterAutospacing="1"/>
      <w:jc w:val="left"/>
    </w:pPr>
    <w:rPr>
      <w:kern w:val="0"/>
      <w:sz w:val="24"/>
    </w:rPr>
  </w:style>
  <w:style w:type="paragraph" w:styleId="19">
    <w:name w:val="annotation subject"/>
    <w:basedOn w:val="7"/>
    <w:next w:val="7"/>
    <w:link w:val="31"/>
    <w:unhideWhenUsed/>
    <w:qFormat/>
    <w:uiPriority w:val="99"/>
    <w:rPr>
      <w:b/>
      <w:bCs/>
    </w:rPr>
  </w:style>
  <w:style w:type="table" w:styleId="21">
    <w:name w:val="Table Grid"/>
    <w:basedOn w:val="20"/>
    <w:qFormat/>
    <w:uiPriority w:val="3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FollowedHyperlink"/>
    <w:basedOn w:val="22"/>
    <w:unhideWhenUsed/>
    <w:qFormat/>
    <w:uiPriority w:val="99"/>
    <w:rPr>
      <w:color w:val="800080"/>
      <w:u w:val="single"/>
    </w:rPr>
  </w:style>
  <w:style w:type="character" w:styleId="24">
    <w:name w:val="Hyperlink"/>
    <w:basedOn w:val="22"/>
    <w:unhideWhenUsed/>
    <w:qFormat/>
    <w:uiPriority w:val="99"/>
    <w:rPr>
      <w:color w:val="0000FF"/>
      <w:u w:val="single"/>
    </w:rPr>
  </w:style>
  <w:style w:type="character" w:styleId="25">
    <w:name w:val="annotation reference"/>
    <w:basedOn w:val="22"/>
    <w:unhideWhenUsed/>
    <w:qFormat/>
    <w:uiPriority w:val="99"/>
    <w:rPr>
      <w:sz w:val="21"/>
      <w:szCs w:val="21"/>
    </w:rPr>
  </w:style>
  <w:style w:type="paragraph" w:customStyle="1" w:styleId="26">
    <w:name w:val="列出段落1"/>
    <w:basedOn w:val="1"/>
    <w:qFormat/>
    <w:uiPriority w:val="34"/>
    <w:pPr>
      <w:ind w:firstLine="420" w:firstLineChars="200"/>
    </w:pPr>
  </w:style>
  <w:style w:type="character" w:customStyle="1" w:styleId="27">
    <w:name w:val="标题 1 Char"/>
    <w:basedOn w:val="22"/>
    <w:link w:val="2"/>
    <w:qFormat/>
    <w:uiPriority w:val="0"/>
    <w:rPr>
      <w:rFonts w:ascii="Times New Roman" w:hAnsi="Times New Roman" w:eastAsia="宋体" w:cs="Times New Roman"/>
      <w:b/>
      <w:bCs/>
      <w:kern w:val="44"/>
      <w:sz w:val="44"/>
      <w:szCs w:val="44"/>
    </w:rPr>
  </w:style>
  <w:style w:type="character" w:customStyle="1" w:styleId="28">
    <w:name w:val="标题 2 Char"/>
    <w:basedOn w:val="22"/>
    <w:link w:val="3"/>
    <w:qFormat/>
    <w:uiPriority w:val="0"/>
    <w:rPr>
      <w:rFonts w:ascii="Arial" w:hAnsi="Arial" w:eastAsia="黑体" w:cs="Times New Roman"/>
      <w:b/>
      <w:bCs/>
      <w:sz w:val="32"/>
      <w:szCs w:val="32"/>
    </w:rPr>
  </w:style>
  <w:style w:type="character" w:customStyle="1" w:styleId="29">
    <w:name w:val="标题 3 Char"/>
    <w:basedOn w:val="22"/>
    <w:link w:val="4"/>
    <w:qFormat/>
    <w:uiPriority w:val="0"/>
    <w:rPr>
      <w:rFonts w:ascii="Times New Roman" w:hAnsi="Times New Roman" w:eastAsia="宋体" w:cs="Times New Roman"/>
      <w:b/>
      <w:bCs/>
      <w:sz w:val="32"/>
      <w:szCs w:val="32"/>
    </w:rPr>
  </w:style>
  <w:style w:type="character" w:customStyle="1" w:styleId="30">
    <w:name w:val="批注文字 Char"/>
    <w:basedOn w:val="22"/>
    <w:link w:val="7"/>
    <w:qFormat/>
    <w:uiPriority w:val="99"/>
    <w:rPr>
      <w:rFonts w:ascii="Times New Roman" w:hAnsi="Times New Roman" w:eastAsia="宋体" w:cs="Times New Roman"/>
      <w:szCs w:val="24"/>
    </w:rPr>
  </w:style>
  <w:style w:type="character" w:customStyle="1" w:styleId="31">
    <w:name w:val="批注主题 Char"/>
    <w:basedOn w:val="30"/>
    <w:link w:val="19"/>
    <w:qFormat/>
    <w:uiPriority w:val="99"/>
    <w:rPr>
      <w:rFonts w:ascii="Times New Roman" w:hAnsi="Times New Roman" w:eastAsia="宋体" w:cs="Times New Roman"/>
      <w:b/>
      <w:bCs/>
      <w:szCs w:val="24"/>
    </w:rPr>
  </w:style>
  <w:style w:type="character" w:customStyle="1" w:styleId="32">
    <w:name w:val="正文文本缩进 2 Char"/>
    <w:basedOn w:val="22"/>
    <w:link w:val="11"/>
    <w:qFormat/>
    <w:uiPriority w:val="99"/>
    <w:rPr>
      <w:rFonts w:ascii="仿宋_GB2312" w:hAnsi="Times New Roman" w:eastAsia="仿宋_GB2312" w:cs="Times New Roman"/>
      <w:sz w:val="24"/>
      <w:szCs w:val="20"/>
    </w:rPr>
  </w:style>
  <w:style w:type="character" w:customStyle="1" w:styleId="33">
    <w:name w:val="批注框文本 Char"/>
    <w:basedOn w:val="22"/>
    <w:link w:val="12"/>
    <w:qFormat/>
    <w:uiPriority w:val="99"/>
    <w:rPr>
      <w:rFonts w:ascii="Times New Roman" w:hAnsi="Times New Roman" w:eastAsia="宋体" w:cs="Times New Roman"/>
      <w:sz w:val="18"/>
      <w:szCs w:val="18"/>
    </w:rPr>
  </w:style>
  <w:style w:type="character" w:customStyle="1" w:styleId="34">
    <w:name w:val="页脚 Char"/>
    <w:basedOn w:val="22"/>
    <w:link w:val="13"/>
    <w:qFormat/>
    <w:uiPriority w:val="99"/>
    <w:rPr>
      <w:rFonts w:ascii="Times New Roman" w:hAnsi="Times New Roman" w:eastAsia="宋体" w:cs="Times New Roman"/>
      <w:sz w:val="18"/>
      <w:szCs w:val="18"/>
    </w:rPr>
  </w:style>
  <w:style w:type="character" w:customStyle="1" w:styleId="35">
    <w:name w:val="页眉 Char"/>
    <w:basedOn w:val="22"/>
    <w:link w:val="14"/>
    <w:qFormat/>
    <w:uiPriority w:val="99"/>
    <w:rPr>
      <w:rFonts w:ascii="Times New Roman" w:hAnsi="Times New Roman" w:eastAsia="宋体" w:cs="Times New Roman"/>
      <w:sz w:val="18"/>
      <w:szCs w:val="18"/>
    </w:rPr>
  </w:style>
  <w:style w:type="paragraph" w:customStyle="1" w:styleId="36">
    <w:name w:val="样式2"/>
    <w:basedOn w:val="1"/>
    <w:qFormat/>
    <w:uiPriority w:val="0"/>
    <w:pPr>
      <w:adjustRightInd w:val="0"/>
      <w:spacing w:line="410" w:lineRule="atLeast"/>
      <w:textAlignment w:val="baseline"/>
    </w:pPr>
    <w:rPr>
      <w:kern w:val="0"/>
      <w:sz w:val="24"/>
      <w:szCs w:val="20"/>
    </w:rPr>
  </w:style>
  <w:style w:type="paragraph" w:customStyle="1" w:styleId="37">
    <w:name w:val="正文（首行缩进） Char"/>
    <w:basedOn w:val="1"/>
    <w:qFormat/>
    <w:uiPriority w:val="0"/>
    <w:pPr>
      <w:spacing w:line="360" w:lineRule="auto"/>
      <w:ind w:firstLine="480" w:firstLineChars="200"/>
    </w:pPr>
    <w:rPr>
      <w:rFonts w:ascii="Arial" w:hAnsi="Arial"/>
      <w:color w:val="000000"/>
      <w:sz w:val="24"/>
    </w:rPr>
  </w:style>
  <w:style w:type="paragraph" w:customStyle="1" w:styleId="38">
    <w:name w:val="样式8"/>
    <w:basedOn w:val="1"/>
    <w:qFormat/>
    <w:uiPriority w:val="0"/>
    <w:pPr>
      <w:widowControl/>
      <w:spacing w:line="360" w:lineRule="auto"/>
      <w:ind w:firstLine="480" w:firstLineChars="200"/>
      <w:jc w:val="left"/>
    </w:pPr>
    <w:rPr>
      <w:rFonts w:ascii="Arial" w:hAnsi="宋体" w:cs="Arial"/>
      <w:sz w:val="24"/>
    </w:rPr>
  </w:style>
  <w:style w:type="paragraph" w:customStyle="1" w:styleId="39">
    <w:name w:val="无间隔1"/>
    <w:link w:val="57"/>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40">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41">
    <w:name w:val="xl63"/>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2">
    <w:name w:val="xl64"/>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3">
    <w:name w:val="xl65"/>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4">
    <w:name w:val="xl66"/>
    <w:basedOn w:val="1"/>
    <w:qFormat/>
    <w:uiPriority w:val="0"/>
    <w:pPr>
      <w:widowControl/>
      <w:spacing w:before="100" w:beforeAutospacing="1" w:after="100" w:afterAutospacing="1"/>
      <w:jc w:val="right"/>
    </w:pPr>
    <w:rPr>
      <w:rFonts w:ascii="宋体" w:hAnsi="宋体" w:cs="宋体"/>
      <w:b/>
      <w:bCs/>
      <w:kern w:val="0"/>
      <w:sz w:val="20"/>
      <w:szCs w:val="20"/>
    </w:rPr>
  </w:style>
  <w:style w:type="paragraph" w:customStyle="1" w:styleId="45">
    <w:name w:val="xl67"/>
    <w:basedOn w:val="1"/>
    <w:qFormat/>
    <w:uiPriority w:val="0"/>
    <w:pPr>
      <w:widowControl/>
      <w:spacing w:before="100" w:beforeAutospacing="1" w:after="100" w:afterAutospacing="1"/>
      <w:jc w:val="right"/>
    </w:pPr>
    <w:rPr>
      <w:rFonts w:ascii="宋体" w:hAnsi="宋体" w:cs="宋体"/>
      <w:b/>
      <w:bCs/>
      <w:kern w:val="0"/>
      <w:sz w:val="20"/>
      <w:szCs w:val="20"/>
    </w:rPr>
  </w:style>
  <w:style w:type="paragraph" w:customStyle="1" w:styleId="46">
    <w:name w:val="xl68"/>
    <w:basedOn w:val="1"/>
    <w:qFormat/>
    <w:uiPriority w:val="0"/>
    <w:pPr>
      <w:widowControl/>
      <w:spacing w:before="100" w:beforeAutospacing="1" w:after="100" w:afterAutospacing="1"/>
      <w:jc w:val="center"/>
    </w:pPr>
    <w:rPr>
      <w:rFonts w:ascii="宋体" w:hAnsi="宋体" w:cs="宋体"/>
      <w:b/>
      <w:bCs/>
      <w:kern w:val="0"/>
      <w:sz w:val="20"/>
      <w:szCs w:val="20"/>
    </w:rPr>
  </w:style>
  <w:style w:type="paragraph" w:customStyle="1" w:styleId="47">
    <w:name w:val="xl69"/>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8">
    <w:name w:val="xl70"/>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9">
    <w:name w:val="xl71"/>
    <w:basedOn w:val="1"/>
    <w:qFormat/>
    <w:uiPriority w:val="0"/>
    <w:pPr>
      <w:widowControl/>
      <w:spacing w:before="100" w:beforeAutospacing="1" w:after="100" w:afterAutospacing="1"/>
      <w:jc w:val="right"/>
    </w:pPr>
    <w:rPr>
      <w:rFonts w:ascii="宋体" w:hAnsi="宋体" w:cs="宋体"/>
      <w:kern w:val="0"/>
      <w:sz w:val="20"/>
      <w:szCs w:val="20"/>
    </w:rPr>
  </w:style>
  <w:style w:type="paragraph" w:customStyle="1" w:styleId="50">
    <w:name w:val="xl72"/>
    <w:basedOn w:val="1"/>
    <w:qFormat/>
    <w:uiPriority w:val="0"/>
    <w:pPr>
      <w:widowControl/>
      <w:spacing w:before="100" w:beforeAutospacing="1" w:after="100" w:afterAutospacing="1"/>
      <w:jc w:val="right"/>
    </w:pPr>
    <w:rPr>
      <w:rFonts w:ascii="宋体" w:hAnsi="宋体" w:cs="宋体"/>
      <w:kern w:val="0"/>
      <w:sz w:val="20"/>
      <w:szCs w:val="20"/>
    </w:rPr>
  </w:style>
  <w:style w:type="paragraph" w:customStyle="1" w:styleId="51">
    <w:name w:val="xl73"/>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52">
    <w:name w:val="xl74"/>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3">
    <w:name w:val="xl75"/>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4">
    <w:name w:val="xl76"/>
    <w:basedOn w:val="1"/>
    <w:qFormat/>
    <w:uiPriority w:val="0"/>
    <w:pPr>
      <w:widowControl/>
      <w:shd w:val="clear" w:color="000000" w:fill="FFFFFF"/>
      <w:spacing w:before="100" w:beforeAutospacing="1" w:after="100" w:afterAutospacing="1"/>
      <w:jc w:val="right"/>
    </w:pPr>
    <w:rPr>
      <w:rFonts w:ascii="宋体" w:hAnsi="宋体" w:cs="宋体"/>
      <w:kern w:val="0"/>
      <w:sz w:val="20"/>
      <w:szCs w:val="20"/>
    </w:rPr>
  </w:style>
  <w:style w:type="paragraph" w:customStyle="1" w:styleId="55">
    <w:name w:val="xl77"/>
    <w:basedOn w:val="1"/>
    <w:qFormat/>
    <w:uiPriority w:val="0"/>
    <w:pPr>
      <w:widowControl/>
      <w:shd w:val="clear" w:color="000000" w:fill="FFFFFF"/>
      <w:spacing w:before="100" w:beforeAutospacing="1" w:after="100" w:afterAutospacing="1"/>
      <w:jc w:val="right"/>
    </w:pPr>
    <w:rPr>
      <w:rFonts w:ascii="宋体" w:hAnsi="宋体" w:cs="宋体"/>
      <w:kern w:val="0"/>
      <w:sz w:val="20"/>
      <w:szCs w:val="20"/>
    </w:rPr>
  </w:style>
  <w:style w:type="paragraph" w:customStyle="1" w:styleId="56">
    <w:name w:val="xl78"/>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character" w:customStyle="1" w:styleId="57">
    <w:name w:val="无间隔 Char"/>
    <w:basedOn w:val="22"/>
    <w:link w:val="39"/>
    <w:qFormat/>
    <w:uiPriority w:val="1"/>
    <w:rPr>
      <w:rFonts w:ascii="Times New Roman" w:hAnsi="Times New Roman" w:eastAsia="宋体" w:cs="Times New Roman"/>
      <w:szCs w:val="24"/>
    </w:rPr>
  </w:style>
  <w:style w:type="paragraph" w:styleId="58">
    <w:name w:val="List Paragraph"/>
    <w:basedOn w:val="1"/>
    <w:qFormat/>
    <w:uiPriority w:val="99"/>
    <w:pPr>
      <w:ind w:firstLine="420" w:firstLineChars="200"/>
    </w:pPr>
  </w:style>
  <w:style w:type="character" w:customStyle="1" w:styleId="59">
    <w:name w:val="日期 Char"/>
    <w:basedOn w:val="22"/>
    <w:link w:val="10"/>
    <w:semiHidden/>
    <w:qFormat/>
    <w:uiPriority w:val="99"/>
    <w:rPr>
      <w:rFonts w:ascii="Times New Roman" w:hAnsi="Times New Roman" w:eastAsia="宋体" w:cs="Times New Roman"/>
      <w:szCs w:val="24"/>
    </w:rPr>
  </w:style>
  <w:style w:type="paragraph" w:customStyle="1" w:styleId="60">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61">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62">
    <w:name w:val="TOC 标题2"/>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63">
    <w:name w:val="Table Paragraph"/>
    <w:basedOn w:val="1"/>
    <w:qFormat/>
    <w:uiPriority w:val="1"/>
    <w:pPr>
      <w:autoSpaceDE w:val="0"/>
      <w:autoSpaceDN w:val="0"/>
    </w:pPr>
    <w:rPr>
      <w:rFonts w:ascii="宋体" w:hAnsi="宋体" w:cs="宋体"/>
      <w:kern w:val="0"/>
      <w:sz w:val="22"/>
      <w:szCs w:val="22"/>
      <w:lang w:val="zh-CN" w:bidi="zh-CN"/>
    </w:rPr>
  </w:style>
  <w:style w:type="paragraph" w:customStyle="1" w:styleId="64">
    <w:name w:val="3（条）正文标题"/>
    <w:basedOn w:val="1"/>
    <w:qFormat/>
    <w:uiPriority w:val="0"/>
    <w:pPr>
      <w:spacing w:line="360" w:lineRule="auto"/>
      <w:ind w:firstLine="562" w:firstLineChars="200"/>
    </w:pPr>
  </w:style>
  <w:style w:type="paragraph" w:customStyle="1" w:styleId="65">
    <w:name w:val="Heading3"/>
    <w:basedOn w:val="1"/>
    <w:next w:val="1"/>
    <w:qFormat/>
    <w:uiPriority w:val="0"/>
    <w:pPr>
      <w:keepNext/>
      <w:keepLines/>
      <w:spacing w:before="260" w:after="260" w:line="416" w:lineRule="auto"/>
    </w:pPr>
    <w:rPr>
      <w:b/>
      <w:bCs/>
      <w:kern w:val="0"/>
      <w:sz w:val="32"/>
      <w:szCs w:val="32"/>
    </w:rPr>
  </w:style>
  <w:style w:type="character" w:customStyle="1" w:styleId="66">
    <w:name w:val="NormalCharacter"/>
    <w:qFormat/>
    <w:uiPriority w:val="0"/>
  </w:style>
  <w:style w:type="paragraph" w:customStyle="1" w:styleId="67">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table" w:customStyle="1" w:styleId="68">
    <w:name w:val="Table Normal"/>
    <w:basedOn w:val="20"/>
    <w:unhideWhenUsed/>
    <w:qFormat/>
    <w:uiPriority w:val="0"/>
    <w:tblPr>
      <w:tblCellMar>
        <w:left w:w="0" w:type="dxa"/>
        <w:right w:w="0" w:type="dxa"/>
      </w:tblCellMar>
    </w:tblPr>
  </w:style>
  <w:style w:type="paragraph" w:customStyle="1" w:styleId="69">
    <w:name w:val="目次、标准名称标题"/>
    <w:next w:val="67"/>
    <w:qFormat/>
    <w:uiPriority w:val="0"/>
    <w:pPr>
      <w:keepNext/>
      <w:pageBreakBefore/>
      <w:shd w:val="clear" w:color="FFFFFF" w:fill="FFFFFF"/>
      <w:spacing w:before="640" w:after="560" w:line="460" w:lineRule="exact"/>
      <w:jc w:val="center"/>
      <w:outlineLvl w:val="0"/>
    </w:pPr>
    <w:rPr>
      <w:rFonts w:ascii="黑体" w:hAnsi="Times New Roman" w:eastAsia="黑体" w:cs="Times New Roman"/>
      <w:sz w:val="32"/>
      <w:lang w:val="en-US" w:eastAsia="zh-CN" w:bidi="ar-SA"/>
    </w:rPr>
  </w:style>
  <w:style w:type="paragraph" w:customStyle="1" w:styleId="70">
    <w:name w:val="章标题"/>
    <w:next w:val="67"/>
    <w:qFormat/>
    <w:uiPriority w:val="0"/>
    <w:pPr>
      <w:numPr>
        <w:ilvl w:val="0"/>
        <w:numId w:val="1"/>
      </w:numPr>
      <w:spacing w:beforeLines="100" w:afterLines="100"/>
      <w:ind w:left="0"/>
      <w:jc w:val="both"/>
      <w:outlineLvl w:val="1"/>
    </w:pPr>
    <w:rPr>
      <w:rFonts w:ascii="黑体" w:hAnsi="Times New Roman" w:eastAsia="黑体" w:cs="Times New Roman"/>
      <w:sz w:val="21"/>
      <w:lang w:val="en-US" w:eastAsia="zh-CN" w:bidi="ar-SA"/>
    </w:rPr>
  </w:style>
  <w:style w:type="paragraph" w:customStyle="1" w:styleId="71">
    <w:name w:val="一级无"/>
    <w:qFormat/>
    <w:uiPriority w:val="0"/>
    <w:pPr>
      <w:outlineLvl w:val="2"/>
    </w:pPr>
    <w:rPr>
      <w:rFonts w:ascii="宋体" w:hAnsi="Times New Roman" w:eastAsia="宋体" w:cs="Times New Roman"/>
      <w:sz w:val="21"/>
      <w:szCs w:val="21"/>
      <w:lang w:val="en-US" w:eastAsia="zh-CN" w:bidi="ar-SA"/>
    </w:rPr>
  </w:style>
  <w:style w:type="paragraph" w:customStyle="1" w:styleId="72">
    <w:name w:val="一级条标题"/>
    <w:next w:val="67"/>
    <w:qFormat/>
    <w:uiPriority w:val="0"/>
    <w:pPr>
      <w:numPr>
        <w:ilvl w:val="1"/>
        <w:numId w:val="1"/>
      </w:numPr>
      <w:spacing w:beforeLines="50" w:afterLines="50"/>
      <w:ind w:left="0"/>
      <w:outlineLvl w:val="2"/>
    </w:pPr>
    <w:rPr>
      <w:rFonts w:ascii="黑体" w:hAnsi="Times New Roman" w:eastAsia="黑体" w:cs="Times New Roman"/>
      <w:sz w:val="21"/>
      <w:szCs w:val="21"/>
      <w:lang w:val="en-US" w:eastAsia="zh-CN" w:bidi="ar-SA"/>
    </w:rPr>
  </w:style>
  <w:style w:type="paragraph" w:customStyle="1" w:styleId="73">
    <w:name w:val="正文图标题"/>
    <w:next w:val="67"/>
    <w:qFormat/>
    <w:uiPriority w:val="0"/>
    <w:pPr>
      <w:tabs>
        <w:tab w:val="left" w:pos="360"/>
      </w:tabs>
      <w:spacing w:beforeLines="50" w:afterLines="50"/>
      <w:jc w:val="center"/>
    </w:pPr>
    <w:rPr>
      <w:rFonts w:ascii="黑体" w:hAnsi="Times New Roman" w:eastAsia="黑体" w:cs="Times New Roman"/>
      <w:sz w:val="21"/>
      <w:lang w:val="en-US" w:eastAsia="zh-CN" w:bidi="ar-SA"/>
    </w:rPr>
  </w:style>
  <w:style w:type="paragraph" w:customStyle="1" w:styleId="74">
    <w:name w:val="二级无"/>
    <w:qFormat/>
    <w:uiPriority w:val="0"/>
    <w:pPr>
      <w:spacing w:before="50" w:after="50"/>
      <w:outlineLvl w:val="3"/>
    </w:pPr>
    <w:rPr>
      <w:rFonts w:ascii="宋体" w:hAnsi="Times New Roman" w:eastAsia="宋体" w:cs="Times New Roman"/>
      <w:sz w:val="21"/>
      <w:szCs w:val="21"/>
      <w:lang w:val="en-US" w:eastAsia="zh-CN" w:bidi="ar-SA"/>
    </w:rPr>
  </w:style>
  <w:style w:type="paragraph" w:customStyle="1" w:styleId="75">
    <w:name w:val="三级无"/>
    <w:qFormat/>
    <w:uiPriority w:val="0"/>
    <w:pPr>
      <w:ind w:left="284"/>
      <w:outlineLvl w:val="4"/>
    </w:pPr>
    <w:rPr>
      <w:rFonts w:ascii="宋体" w:hAnsi="Times New Roman" w:eastAsia="宋体" w:cs="Times New Roman"/>
      <w:sz w:val="21"/>
      <w:szCs w:val="21"/>
      <w:lang w:val="en-US" w:eastAsia="zh-CN" w:bidi="ar-SA"/>
    </w:rPr>
  </w:style>
  <w:style w:type="paragraph" w:customStyle="1" w:styleId="76">
    <w:name w:val="二级条标题"/>
    <w:next w:val="67"/>
    <w:qFormat/>
    <w:uiPriority w:val="0"/>
    <w:pPr>
      <w:numPr>
        <w:ilvl w:val="2"/>
        <w:numId w:val="1"/>
      </w:numPr>
      <w:spacing w:before="50" w:beforeLines="50" w:after="50" w:afterLines="50"/>
      <w:outlineLvl w:val="3"/>
    </w:pPr>
    <w:rPr>
      <w:rFonts w:ascii="黑体" w:hAnsi="Times New Roman" w:eastAsia="黑体" w:cs="Times New Roman"/>
      <w:sz w:val="21"/>
      <w:szCs w:val="21"/>
      <w:lang w:val="en-US" w:eastAsia="zh-CN" w:bidi="ar-SA"/>
    </w:rPr>
  </w:style>
  <w:style w:type="paragraph" w:customStyle="1" w:styleId="77">
    <w:name w:val="附录图标号"/>
    <w:qFormat/>
    <w:uiPriority w:val="0"/>
    <w:pPr>
      <w:keepNext/>
      <w:pageBreakBefore/>
      <w:spacing w:line="14" w:lineRule="exact"/>
      <w:ind w:firstLine="363"/>
      <w:jc w:val="center"/>
      <w:outlineLvl w:val="0"/>
    </w:pPr>
    <w:rPr>
      <w:rFonts w:ascii="Times New Roman" w:hAnsi="Times New Roman" w:eastAsia="宋体" w:cs="Times New Roman"/>
      <w:color w:val="FFFFFF"/>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2.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6.emf"/><Relationship Id="rId20" Type="http://schemas.openxmlformats.org/officeDocument/2006/relationships/oleObject" Target="embeddings/oleObject3.bin"/><Relationship Id="rId2" Type="http://schemas.openxmlformats.org/officeDocument/2006/relationships/settings" Target="settings.xml"/><Relationship Id="rId19" Type="http://schemas.openxmlformats.org/officeDocument/2006/relationships/image" Target="media/image5.emf"/><Relationship Id="rId18" Type="http://schemas.openxmlformats.org/officeDocument/2006/relationships/oleObject" Target="embeddings/oleObject2.bin"/><Relationship Id="rId17" Type="http://schemas.openxmlformats.org/officeDocument/2006/relationships/image" Target="media/image4.emf"/><Relationship Id="rId16" Type="http://schemas.openxmlformats.org/officeDocument/2006/relationships/oleObject" Target="embeddings/oleObject1.bin"/><Relationship Id="rId15" Type="http://schemas.openxmlformats.org/officeDocument/2006/relationships/image" Target="media/image3.png"/><Relationship Id="rId14" Type="http://schemas.openxmlformats.org/officeDocument/2006/relationships/image" Target="media/image2.jpeg"/><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8B24373-6C86-47C4-9B25-875E2E1C8512}">
  <ds:schemaRefs/>
</ds:datastoreItem>
</file>

<file path=docProps/app.xml><?xml version="1.0" encoding="utf-8"?>
<Properties xmlns="http://schemas.openxmlformats.org/officeDocument/2006/extended-properties" xmlns:vt="http://schemas.openxmlformats.org/officeDocument/2006/docPropsVTypes">
  <Template>Normal.dotm</Template>
  <Pages>140</Pages>
  <Words>22299</Words>
  <Characters>23527</Characters>
  <Lines>68</Lines>
  <Paragraphs>19</Paragraphs>
  <TotalTime>34</TotalTime>
  <ScaleCrop>false</ScaleCrop>
  <LinksUpToDate>false</LinksUpToDate>
  <CharactersWithSpaces>27305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2022-02-10T11:45:00Z</dcterms:created>
  <dc:creator>杨倩</dc:creator>
  <cp:lastModifiedBy>杨栩</cp:lastModifiedBy>
  <cp:lastPrinted>2026-09-16T06:16:00Z</cp:lastPrinted>
  <dcterms:modified xsi:type="dcterms:W3CDTF">2026-09-19T02:31:07Z</dcterms:modified>
  <cp:revision>193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A552AEF75CE6414BB8BBB148468862EA_13</vt:lpwstr>
  </property>
  <property fmtid="{D5CDD505-2E9C-101B-9397-08002B2CF9AE}" pid="4" name="KSOTemplateDocerSaveRecord">
    <vt:lpwstr>eyJoZGlkIjoiMjIzODU5ZGRkYTVkODQ4NTI2Nzc3N2I3NjAyMGUzMTQiLCJ1c2VySWQiOiI0NTQ4MDg0MDgifQ==</vt:lpwstr>
  </property>
</Properties>
</file>