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47794">
      <w:pPr>
        <w:jc w:val="left"/>
        <w:rPr>
          <w:rFonts w:hint="default" w:eastAsia="宋体" w:cs="宋体"/>
          <w:b/>
          <w:color w:val="auto"/>
          <w:sz w:val="32"/>
          <w:szCs w:val="36"/>
          <w:highlight w:val="none"/>
          <w:lang w:val="en-US" w:eastAsia="zh-CN" w:bidi="ar"/>
        </w:rPr>
      </w:pPr>
      <w:bookmarkStart w:id="0" w:name="_Toc416703361"/>
      <w:bookmarkStart w:id="1" w:name="_Toc417896685"/>
      <w:bookmarkStart w:id="2" w:name="_Toc417895952"/>
      <w:bookmarkStart w:id="3" w:name="_Toc417896502"/>
      <w:bookmarkStart w:id="4" w:name="_Toc416702955"/>
      <w:r>
        <w:rPr>
          <w:rFonts w:hint="eastAsia" w:ascii="宋体" w:hAnsi="宋体" w:cs="宋体"/>
          <w:b/>
          <w:color w:val="auto"/>
          <w:sz w:val="36"/>
          <w:szCs w:val="36"/>
          <w:highlight w:val="none"/>
        </w:rPr>
        <w:t>项目名称：</w:t>
      </w:r>
      <w:r>
        <w:rPr>
          <w:rFonts w:hint="eastAsia" w:ascii="宋体" w:hAnsi="宋体" w:cs="宋体"/>
          <w:b/>
          <w:color w:val="auto"/>
          <w:sz w:val="36"/>
          <w:szCs w:val="36"/>
          <w:highlight w:val="none"/>
          <w:lang w:val="en-US" w:eastAsia="zh-CN"/>
        </w:rPr>
        <w:t>长寿厂区配电房及控制室增设火灾自动报警装置工程</w:t>
      </w:r>
    </w:p>
    <w:p w14:paraId="705FB047">
      <w:pPr>
        <w:spacing w:line="360" w:lineRule="auto"/>
        <w:jc w:val="both"/>
        <w:rPr>
          <w:rFonts w:ascii="宋体" w:hAnsi="宋体"/>
          <w:b/>
          <w:bCs/>
          <w:color w:val="auto"/>
          <w:sz w:val="128"/>
          <w:szCs w:val="128"/>
          <w:highlight w:val="none"/>
        </w:rPr>
      </w:pPr>
      <w:r>
        <w:rPr>
          <w:rFonts w:hint="eastAsia" w:ascii="宋体" w:hAnsi="宋体" w:cs="宋体"/>
          <w:b/>
          <w:color w:val="auto"/>
          <w:sz w:val="36"/>
          <w:szCs w:val="36"/>
          <w:highlight w:val="none"/>
        </w:rPr>
        <w:t>采购编号：</w:t>
      </w:r>
      <w:bookmarkEnd w:id="0"/>
      <w:bookmarkEnd w:id="1"/>
      <w:bookmarkEnd w:id="2"/>
      <w:bookmarkEnd w:id="3"/>
      <w:bookmarkEnd w:id="4"/>
      <w:r>
        <w:rPr>
          <w:rFonts w:hint="eastAsia" w:ascii="宋体" w:hAnsi="宋体" w:cs="宋体"/>
          <w:b/>
          <w:color w:val="auto"/>
          <w:sz w:val="36"/>
          <w:szCs w:val="36"/>
          <w:highlight w:val="none"/>
        </w:rPr>
        <w:t>CPIC-GCFWCG-2026-076</w:t>
      </w:r>
    </w:p>
    <w:p w14:paraId="3049B016">
      <w:pPr>
        <w:spacing w:line="360" w:lineRule="auto"/>
        <w:jc w:val="center"/>
        <w:rPr>
          <w:rFonts w:hint="eastAsia" w:ascii="宋体" w:hAnsi="宋体"/>
          <w:b/>
          <w:bCs/>
          <w:color w:val="auto"/>
          <w:sz w:val="96"/>
          <w:szCs w:val="120"/>
          <w:highlight w:val="none"/>
          <w:lang w:eastAsia="zh-CN"/>
        </w:rPr>
      </w:pPr>
    </w:p>
    <w:p w14:paraId="3D90EEB1">
      <w:pPr>
        <w:spacing w:line="360" w:lineRule="auto"/>
        <w:jc w:val="center"/>
        <w:rPr>
          <w:rFonts w:ascii="宋体" w:hAnsi="宋体"/>
          <w:b/>
          <w:bCs/>
          <w:color w:val="auto"/>
          <w:sz w:val="96"/>
          <w:szCs w:val="120"/>
          <w:highlight w:val="none"/>
        </w:rPr>
      </w:pPr>
      <w:r>
        <w:rPr>
          <w:rFonts w:hint="eastAsia" w:ascii="宋体" w:hAnsi="宋体"/>
          <w:b/>
          <w:bCs/>
          <w:color w:val="auto"/>
          <w:sz w:val="96"/>
          <w:szCs w:val="120"/>
          <w:highlight w:val="none"/>
          <w:lang w:eastAsia="zh-CN"/>
        </w:rPr>
        <w:t>谈判采购文件</w:t>
      </w:r>
    </w:p>
    <w:p w14:paraId="5D3EED4A">
      <w:pPr>
        <w:rPr>
          <w:rFonts w:ascii="宋体" w:hAnsi="宋体"/>
          <w:b/>
          <w:bCs/>
          <w:color w:val="auto"/>
          <w:szCs w:val="21"/>
          <w:highlight w:val="none"/>
        </w:rPr>
      </w:pPr>
    </w:p>
    <w:p w14:paraId="5D49AB82">
      <w:pPr>
        <w:rPr>
          <w:rFonts w:ascii="宋体" w:hAnsi="宋体"/>
          <w:b/>
          <w:bCs/>
          <w:color w:val="auto"/>
          <w:szCs w:val="21"/>
          <w:highlight w:val="none"/>
        </w:rPr>
      </w:pPr>
    </w:p>
    <w:p w14:paraId="2BCC5653">
      <w:pPr>
        <w:autoSpaceDE w:val="0"/>
        <w:autoSpaceDN w:val="0"/>
        <w:adjustRightInd w:val="0"/>
        <w:snapToGrid w:val="0"/>
        <w:spacing w:line="360" w:lineRule="auto"/>
        <w:jc w:val="left"/>
        <w:rPr>
          <w:rFonts w:ascii="宋体" w:hAnsi="宋体" w:cs="宋体"/>
          <w:b/>
          <w:bCs/>
          <w:color w:val="auto"/>
          <w:sz w:val="36"/>
          <w:szCs w:val="36"/>
          <w:highlight w:val="none"/>
        </w:rPr>
      </w:pPr>
      <w:bookmarkStart w:id="5" w:name="_Toc230773922"/>
    </w:p>
    <w:p w14:paraId="7399514A">
      <w:pPr>
        <w:autoSpaceDE w:val="0"/>
        <w:autoSpaceDN w:val="0"/>
        <w:adjustRightInd w:val="0"/>
        <w:snapToGrid w:val="0"/>
        <w:spacing w:line="360" w:lineRule="auto"/>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采购人:</w:t>
      </w:r>
      <w:r>
        <w:rPr>
          <w:rFonts w:hint="eastAsia" w:ascii="宋体" w:hAnsi="宋体"/>
          <w:color w:val="auto"/>
          <w:highlight w:val="none"/>
        </w:rPr>
        <w:t xml:space="preserve"> </w:t>
      </w:r>
      <w:r>
        <w:rPr>
          <w:rFonts w:hint="eastAsia" w:ascii="宋体" w:hAnsi="宋体" w:cs="宋体"/>
          <w:b/>
          <w:bCs/>
          <w:color w:val="auto"/>
          <w:sz w:val="36"/>
          <w:szCs w:val="36"/>
          <w:highlight w:val="none"/>
        </w:rPr>
        <w:t>重庆国际复合材料股份有限公司</w:t>
      </w:r>
    </w:p>
    <w:p w14:paraId="0D00CAFD">
      <w:pPr>
        <w:autoSpaceDE w:val="0"/>
        <w:autoSpaceDN w:val="0"/>
        <w:adjustRightInd w:val="0"/>
        <w:snapToGrid w:val="0"/>
        <w:spacing w:line="360" w:lineRule="auto"/>
        <w:jc w:val="center"/>
        <w:rPr>
          <w:rFonts w:ascii="宋体" w:hAnsi="宋体" w:cs="宋体"/>
          <w:color w:val="auto"/>
          <w:kern w:val="0"/>
          <w:sz w:val="20"/>
          <w:szCs w:val="20"/>
          <w:highlight w:val="none"/>
        </w:rPr>
      </w:pPr>
    </w:p>
    <w:p w14:paraId="044F4C50">
      <w:pPr>
        <w:tabs>
          <w:tab w:val="left" w:pos="3200"/>
          <w:tab w:val="left" w:pos="4320"/>
          <w:tab w:val="left" w:pos="5420"/>
        </w:tabs>
        <w:autoSpaceDE w:val="0"/>
        <w:autoSpaceDN w:val="0"/>
        <w:adjustRightInd w:val="0"/>
        <w:snapToGrid w:val="0"/>
        <w:spacing w:line="360" w:lineRule="auto"/>
        <w:jc w:val="center"/>
        <w:rPr>
          <w:rFonts w:ascii="宋体" w:hAnsi="宋体" w:cs="宋体"/>
          <w:b/>
          <w:color w:val="auto"/>
          <w:w w:val="95"/>
          <w:kern w:val="0"/>
          <w:sz w:val="32"/>
          <w:szCs w:val="32"/>
          <w:highlight w:val="none"/>
        </w:rPr>
      </w:pPr>
      <w:r>
        <w:rPr>
          <w:rFonts w:hint="eastAsia" w:ascii="宋体" w:hAnsi="宋体" w:cs="宋体"/>
          <w:b/>
          <w:color w:val="auto"/>
          <w:w w:val="95"/>
          <w:kern w:val="0"/>
          <w:sz w:val="32"/>
          <w:szCs w:val="32"/>
          <w:highlight w:val="none"/>
        </w:rPr>
        <w:t xml:space="preserve">  二○二六年</w:t>
      </w:r>
      <w:r>
        <w:rPr>
          <w:rFonts w:hint="eastAsia" w:ascii="宋体" w:hAnsi="宋体" w:cs="宋体"/>
          <w:b/>
          <w:color w:val="auto"/>
          <w:w w:val="95"/>
          <w:kern w:val="0"/>
          <w:sz w:val="32"/>
          <w:szCs w:val="32"/>
          <w:highlight w:val="none"/>
          <w:lang w:val="en-US" w:eastAsia="zh-CN"/>
        </w:rPr>
        <w:t>九</w:t>
      </w:r>
      <w:r>
        <w:rPr>
          <w:rFonts w:hint="eastAsia" w:ascii="宋体" w:hAnsi="宋体" w:cs="宋体"/>
          <w:b/>
          <w:color w:val="auto"/>
          <w:w w:val="95"/>
          <w:kern w:val="0"/>
          <w:sz w:val="32"/>
          <w:szCs w:val="32"/>
          <w:highlight w:val="none"/>
        </w:rPr>
        <w:t>月</w:t>
      </w:r>
    </w:p>
    <w:p w14:paraId="0A6107BC">
      <w:pPr>
        <w:rPr>
          <w:color w:val="auto"/>
          <w:highlight w:val="none"/>
        </w:rPr>
      </w:pPr>
    </w:p>
    <w:p w14:paraId="17197590">
      <w:pPr>
        <w:rPr>
          <w:color w:val="auto"/>
          <w:highlight w:val="none"/>
        </w:rPr>
      </w:pPr>
    </w:p>
    <w:p w14:paraId="67D29F0B">
      <w:pPr>
        <w:rPr>
          <w:color w:val="auto"/>
          <w:highlight w:val="none"/>
        </w:rPr>
      </w:pPr>
    </w:p>
    <w:p w14:paraId="3C88264A">
      <w:pPr>
        <w:ind w:firstLine="2560" w:firstLineChars="800"/>
        <w:rPr>
          <w:color w:val="auto"/>
          <w:sz w:val="32"/>
          <w:szCs w:val="32"/>
          <w:highlight w:val="none"/>
        </w:rPr>
      </w:pPr>
    </w:p>
    <w:p w14:paraId="540A5858">
      <w:pPr>
        <w:ind w:firstLine="2560" w:firstLineChars="800"/>
        <w:rPr>
          <w:color w:val="auto"/>
          <w:sz w:val="32"/>
          <w:szCs w:val="32"/>
          <w:highlight w:val="none"/>
        </w:rPr>
      </w:pPr>
    </w:p>
    <w:p w14:paraId="3C4D2A79">
      <w:pPr>
        <w:ind w:firstLine="2560" w:firstLineChars="800"/>
        <w:rPr>
          <w:color w:val="auto"/>
          <w:sz w:val="32"/>
          <w:szCs w:val="32"/>
          <w:highlight w:val="none"/>
        </w:rPr>
      </w:pPr>
    </w:p>
    <w:p w14:paraId="35094388">
      <w:pPr>
        <w:ind w:firstLine="2560" w:firstLineChars="800"/>
        <w:rPr>
          <w:color w:val="auto"/>
          <w:sz w:val="32"/>
          <w:szCs w:val="32"/>
          <w:highlight w:val="none"/>
        </w:rPr>
      </w:pPr>
    </w:p>
    <w:p w14:paraId="4703F3E7">
      <w:pPr>
        <w:ind w:firstLine="2560" w:firstLineChars="800"/>
        <w:rPr>
          <w:color w:val="auto"/>
          <w:sz w:val="32"/>
          <w:szCs w:val="32"/>
          <w:highlight w:val="none"/>
        </w:rPr>
      </w:pPr>
    </w:p>
    <w:p w14:paraId="6F5838DA">
      <w:pPr>
        <w:ind w:firstLine="2560" w:firstLineChars="800"/>
        <w:rPr>
          <w:color w:val="auto"/>
          <w:sz w:val="32"/>
          <w:szCs w:val="32"/>
          <w:highlight w:val="none"/>
        </w:rPr>
      </w:pPr>
    </w:p>
    <w:p w14:paraId="241826A7">
      <w:pPr>
        <w:ind w:firstLine="2560" w:firstLineChars="800"/>
        <w:rPr>
          <w:color w:val="auto"/>
          <w:sz w:val="32"/>
          <w:szCs w:val="32"/>
          <w:highlight w:val="none"/>
        </w:rPr>
      </w:pPr>
    </w:p>
    <w:p w14:paraId="4B9AF2F1">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color w:val="auto"/>
          <w:w w:val="95"/>
          <w:kern w:val="0"/>
          <w:sz w:val="32"/>
          <w:szCs w:val="32"/>
          <w:highlight w:val="none"/>
        </w:rPr>
      </w:pPr>
    </w:p>
    <w:p w14:paraId="2EE389E0">
      <w:pPr>
        <w:ind w:firstLine="954"/>
        <w:rPr>
          <w:rFonts w:ascii="宋体" w:hAnsi="宋体" w:cs="宋体"/>
          <w:color w:val="auto"/>
          <w:sz w:val="32"/>
          <w:szCs w:val="32"/>
          <w:highlight w:val="none"/>
          <w:u w:val="single"/>
        </w:rPr>
      </w:pPr>
      <w:r>
        <w:rPr>
          <w:rFonts w:hint="eastAsia" w:ascii="宋体" w:hAnsi="宋体" w:cs="宋体"/>
          <w:color w:val="auto"/>
          <w:sz w:val="32"/>
          <w:szCs w:val="32"/>
          <w:highlight w:val="none"/>
        </w:rPr>
        <w:t>编制：</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审核：</w:t>
      </w:r>
      <w:r>
        <w:rPr>
          <w:rFonts w:hint="eastAsia" w:ascii="宋体" w:hAnsi="宋体" w:cs="宋体"/>
          <w:color w:val="auto"/>
          <w:sz w:val="32"/>
          <w:szCs w:val="32"/>
          <w:highlight w:val="none"/>
          <w:u w:val="single"/>
        </w:rPr>
        <w:t xml:space="preserve">                </w:t>
      </w:r>
    </w:p>
    <w:p w14:paraId="21CAEB4D">
      <w:pPr>
        <w:ind w:firstLine="954"/>
        <w:rPr>
          <w:rFonts w:ascii="宋体" w:hAnsi="宋体" w:cs="宋体"/>
          <w:color w:val="auto"/>
          <w:sz w:val="32"/>
          <w:szCs w:val="32"/>
          <w:highlight w:val="none"/>
          <w:u w:val="single"/>
        </w:rPr>
      </w:pPr>
    </w:p>
    <w:p w14:paraId="0A65E59E">
      <w:pPr>
        <w:ind w:firstLine="954"/>
        <w:rPr>
          <w:rFonts w:ascii="宋体" w:hAnsi="宋体" w:cs="宋体"/>
          <w:color w:val="auto"/>
          <w:sz w:val="32"/>
          <w:szCs w:val="32"/>
          <w:highlight w:val="none"/>
          <w:u w:val="single"/>
        </w:rPr>
      </w:pPr>
    </w:p>
    <w:p w14:paraId="315BC07A">
      <w:pPr>
        <w:ind w:firstLine="954"/>
        <w:rPr>
          <w:rFonts w:ascii="宋体" w:hAnsi="宋体" w:cs="宋体"/>
          <w:color w:val="auto"/>
          <w:sz w:val="32"/>
          <w:szCs w:val="32"/>
          <w:highlight w:val="none"/>
          <w:u w:val="single"/>
        </w:rPr>
      </w:pPr>
    </w:p>
    <w:p w14:paraId="2E926900">
      <w:pPr>
        <w:ind w:firstLine="954"/>
        <w:rPr>
          <w:rFonts w:ascii="宋体" w:hAnsi="宋体" w:cs="宋体"/>
          <w:color w:val="auto"/>
          <w:sz w:val="32"/>
          <w:szCs w:val="32"/>
          <w:highlight w:val="none"/>
          <w:u w:val="single"/>
        </w:rPr>
      </w:pPr>
    </w:p>
    <w:p w14:paraId="5AE73632">
      <w:pPr>
        <w:pStyle w:val="62"/>
        <w:jc w:val="center"/>
        <w:rPr>
          <w:rFonts w:ascii="宋体" w:hAnsi="宋体" w:eastAsia="宋体"/>
          <w:color w:val="auto"/>
          <w:sz w:val="44"/>
          <w:szCs w:val="44"/>
          <w:highlight w:val="none"/>
        </w:rPr>
      </w:pPr>
      <w:r>
        <w:rPr>
          <w:rFonts w:ascii="宋体" w:hAnsi="宋体" w:eastAsia="宋体"/>
          <w:color w:val="auto"/>
          <w:sz w:val="44"/>
          <w:szCs w:val="44"/>
          <w:highlight w:val="none"/>
          <w:lang w:val="zh-CN"/>
        </w:rPr>
        <w:t>目</w:t>
      </w:r>
      <w:r>
        <w:rPr>
          <w:rFonts w:hint="eastAsia" w:ascii="宋体" w:hAnsi="宋体" w:eastAsia="宋体"/>
          <w:color w:val="auto"/>
          <w:sz w:val="44"/>
          <w:szCs w:val="44"/>
          <w:highlight w:val="none"/>
          <w:lang w:val="zh-CN"/>
        </w:rPr>
        <w:t xml:space="preserve"> </w:t>
      </w:r>
      <w:r>
        <w:rPr>
          <w:rFonts w:ascii="宋体" w:hAnsi="宋体" w:eastAsia="宋体"/>
          <w:color w:val="auto"/>
          <w:sz w:val="44"/>
          <w:szCs w:val="44"/>
          <w:highlight w:val="none"/>
          <w:lang w:val="zh-CN"/>
        </w:rPr>
        <w:t>录</w:t>
      </w:r>
    </w:p>
    <w:p w14:paraId="482C7EDF">
      <w:pPr>
        <w:pStyle w:val="15"/>
        <w:numPr>
          <w:ilvl w:val="0"/>
          <w:numId w:val="2"/>
        </w:numPr>
        <w:spacing w:line="520" w:lineRule="exact"/>
        <w:rPr>
          <w:rFonts w:ascii="宋体" w:hAnsi="宋体" w:eastAsia="宋体"/>
          <w:b/>
          <w:bCs/>
          <w:color w:val="auto"/>
          <w:sz w:val="28"/>
          <w:szCs w:val="28"/>
          <w:highlight w:val="none"/>
        </w:rPr>
      </w:pPr>
      <w:r>
        <w:rPr>
          <w:rFonts w:hint="eastAsia" w:ascii="宋体" w:hAnsi="宋体" w:eastAsia="宋体"/>
          <w:b/>
          <w:bCs/>
          <w:color w:val="auto"/>
          <w:sz w:val="28"/>
          <w:szCs w:val="28"/>
          <w:highlight w:val="none"/>
          <w:lang w:eastAsia="zh-CN"/>
        </w:rPr>
        <w:t>谈判采购</w:t>
      </w:r>
      <w:r>
        <w:rPr>
          <w:rFonts w:hint="eastAsia" w:ascii="宋体" w:hAnsi="宋体" w:eastAsia="宋体"/>
          <w:b/>
          <w:bCs/>
          <w:color w:val="auto"/>
          <w:sz w:val="28"/>
          <w:szCs w:val="28"/>
          <w:highlight w:val="none"/>
        </w:rPr>
        <w:t>公告</w:t>
      </w:r>
      <w:r>
        <w:rPr>
          <w:rFonts w:ascii="宋体" w:hAnsi="宋体" w:eastAsia="宋体"/>
          <w:b/>
          <w:color w:val="auto"/>
          <w:sz w:val="28"/>
          <w:szCs w:val="28"/>
          <w:highlight w:val="none"/>
        </w:rPr>
        <w:ptab w:relativeTo="margin" w:alignment="right" w:leader="dot"/>
      </w:r>
    </w:p>
    <w:p w14:paraId="31F8A80B">
      <w:pPr>
        <w:pStyle w:val="15"/>
        <w:spacing w:line="520" w:lineRule="exact"/>
        <w:rPr>
          <w:rFonts w:ascii="宋体" w:hAnsi="宋体" w:eastAsia="宋体"/>
          <w:b/>
          <w:color w:val="auto"/>
          <w:sz w:val="28"/>
          <w:szCs w:val="28"/>
          <w:highlight w:val="none"/>
        </w:rPr>
      </w:pPr>
      <w:r>
        <w:rPr>
          <w:rFonts w:ascii="宋体" w:hAnsi="宋体" w:eastAsia="宋体"/>
          <w:b/>
          <w:bCs/>
          <w:color w:val="auto"/>
          <w:sz w:val="28"/>
          <w:szCs w:val="28"/>
          <w:highlight w:val="none"/>
        </w:rPr>
        <w:t xml:space="preserve">第二章 </w:t>
      </w:r>
      <w:r>
        <w:rPr>
          <w:rFonts w:hint="eastAsia" w:ascii="宋体" w:hAnsi="宋体" w:eastAsia="宋体"/>
          <w:b/>
          <w:bCs/>
          <w:color w:val="auto"/>
          <w:sz w:val="28"/>
          <w:szCs w:val="28"/>
          <w:highlight w:val="none"/>
          <w:lang w:val="en-US" w:eastAsia="zh-CN"/>
        </w:rPr>
        <w:t>采购</w:t>
      </w:r>
      <w:r>
        <w:rPr>
          <w:rFonts w:hint="eastAsia" w:ascii="宋体" w:hAnsi="宋体" w:eastAsia="宋体"/>
          <w:b/>
          <w:bCs/>
          <w:color w:val="auto"/>
          <w:sz w:val="28"/>
          <w:szCs w:val="28"/>
          <w:highlight w:val="none"/>
        </w:rPr>
        <w:t>内容</w:t>
      </w:r>
      <w:r>
        <w:rPr>
          <w:rFonts w:ascii="宋体" w:hAnsi="宋体" w:eastAsia="宋体"/>
          <w:b/>
          <w:color w:val="auto"/>
          <w:sz w:val="28"/>
          <w:szCs w:val="28"/>
          <w:highlight w:val="none"/>
        </w:rPr>
        <w:ptab w:relativeTo="margin" w:alignment="right" w:leader="dot"/>
      </w:r>
    </w:p>
    <w:p w14:paraId="2F4E4855">
      <w:pPr>
        <w:spacing w:line="520" w:lineRule="exact"/>
        <w:rPr>
          <w:rFonts w:hint="eastAsia" w:ascii="宋体" w:hAnsi="宋体"/>
          <w:b/>
          <w:color w:val="auto"/>
          <w:sz w:val="28"/>
          <w:szCs w:val="28"/>
          <w:highlight w:val="none"/>
          <w:lang w:val="zh-CN"/>
        </w:rPr>
      </w:pPr>
      <w:r>
        <w:rPr>
          <w:rFonts w:hint="eastAsia" w:ascii="宋体" w:hAnsi="宋体"/>
          <w:b/>
          <w:color w:val="auto"/>
          <w:sz w:val="28"/>
          <w:szCs w:val="28"/>
          <w:highlight w:val="none"/>
          <w:lang w:val="zh-CN"/>
        </w:rPr>
        <w:t>第三章 报价人须知</w:t>
      </w:r>
      <w:r>
        <w:rPr>
          <w:rFonts w:ascii="宋体" w:hAnsi="宋体"/>
          <w:b/>
          <w:color w:val="auto"/>
          <w:sz w:val="28"/>
          <w:szCs w:val="28"/>
          <w:highlight w:val="none"/>
        </w:rPr>
        <w:ptab w:relativeTo="margin" w:alignment="right" w:leader="dot"/>
      </w:r>
    </w:p>
    <w:p w14:paraId="2B718260">
      <w:pPr>
        <w:spacing w:line="520" w:lineRule="exact"/>
        <w:rPr>
          <w:rFonts w:ascii="宋体" w:hAnsi="宋体"/>
          <w:b/>
          <w:color w:val="auto"/>
          <w:sz w:val="28"/>
          <w:szCs w:val="28"/>
          <w:highlight w:val="none"/>
        </w:rPr>
      </w:pPr>
      <w:r>
        <w:rPr>
          <w:rFonts w:hint="eastAsia" w:ascii="宋体" w:hAnsi="宋体"/>
          <w:b/>
          <w:color w:val="auto"/>
          <w:sz w:val="28"/>
          <w:szCs w:val="28"/>
          <w:highlight w:val="none"/>
          <w:lang w:val="zh-CN"/>
        </w:rPr>
        <w:t>第四章 附件</w:t>
      </w:r>
      <w:r>
        <w:rPr>
          <w:rFonts w:ascii="宋体" w:hAnsi="宋体"/>
          <w:b/>
          <w:color w:val="auto"/>
          <w:sz w:val="28"/>
          <w:szCs w:val="28"/>
          <w:highlight w:val="none"/>
          <w:lang w:val="zh-CN"/>
        </w:rPr>
        <w:t>—</w:t>
      </w:r>
      <w:r>
        <w:rPr>
          <w:rFonts w:hint="eastAsia" w:ascii="宋体" w:hAnsi="宋体"/>
          <w:b/>
          <w:color w:val="auto"/>
          <w:sz w:val="28"/>
          <w:szCs w:val="28"/>
          <w:highlight w:val="none"/>
          <w:lang w:val="zh-CN"/>
        </w:rPr>
        <w:t>谈判文件</w:t>
      </w:r>
      <w:r>
        <w:rPr>
          <w:rFonts w:ascii="宋体" w:hAnsi="宋体"/>
          <w:b/>
          <w:color w:val="auto"/>
          <w:sz w:val="28"/>
          <w:szCs w:val="28"/>
          <w:highlight w:val="none"/>
          <w:lang w:val="zh-CN"/>
        </w:rPr>
        <w:t>格式</w:t>
      </w:r>
      <w:r>
        <w:rPr>
          <w:rFonts w:ascii="宋体" w:hAnsi="宋体"/>
          <w:b/>
          <w:color w:val="auto"/>
          <w:sz w:val="28"/>
          <w:szCs w:val="28"/>
          <w:highlight w:val="none"/>
        </w:rPr>
        <w:ptab w:relativeTo="margin" w:alignment="right" w:leader="dot"/>
      </w:r>
    </w:p>
    <w:p w14:paraId="1C6514F3">
      <w:pPr>
        <w:keepNext w:val="0"/>
        <w:keepLines w:val="0"/>
        <w:pageBreakBefore w:val="0"/>
        <w:widowControl w:val="0"/>
        <w:kinsoku/>
        <w:wordWrap/>
        <w:overflowPunct/>
        <w:topLinePunct w:val="0"/>
        <w:autoSpaceDE/>
        <w:autoSpaceDN/>
        <w:bidi w:val="0"/>
        <w:adjustRightInd/>
        <w:snapToGrid/>
        <w:spacing w:line="520" w:lineRule="exact"/>
        <w:textAlignment w:val="auto"/>
        <w:rPr>
          <w:rFonts w:ascii="宋体" w:hAnsi="宋体"/>
          <w:b/>
          <w:color w:val="auto"/>
          <w:sz w:val="28"/>
          <w:szCs w:val="28"/>
          <w:highlight w:val="none"/>
        </w:rPr>
      </w:pPr>
    </w:p>
    <w:p w14:paraId="69E64FF4">
      <w:pPr>
        <w:rPr>
          <w:rFonts w:ascii="宋体" w:hAnsi="宋体"/>
          <w:b/>
          <w:color w:val="auto"/>
          <w:sz w:val="28"/>
          <w:szCs w:val="28"/>
          <w:highlight w:val="none"/>
        </w:rPr>
      </w:pPr>
    </w:p>
    <w:p w14:paraId="5BF9AEA6">
      <w:pPr>
        <w:widowControl/>
        <w:jc w:val="left"/>
        <w:rPr>
          <w:rFonts w:ascii="宋体" w:hAnsi="宋体"/>
          <w:b/>
          <w:color w:val="auto"/>
          <w:sz w:val="28"/>
          <w:szCs w:val="28"/>
          <w:highlight w:val="none"/>
        </w:rPr>
      </w:pPr>
      <w:r>
        <w:rPr>
          <w:rFonts w:ascii="宋体" w:hAnsi="宋体"/>
          <w:b/>
          <w:color w:val="auto"/>
          <w:sz w:val="28"/>
          <w:szCs w:val="28"/>
          <w:highlight w:val="none"/>
        </w:rPr>
        <w:br w:type="page"/>
      </w:r>
    </w:p>
    <w:bookmarkEnd w:id="5"/>
    <w:p w14:paraId="0639D19B">
      <w:pPr>
        <w:pStyle w:val="2"/>
        <w:spacing w:before="240" w:beforeLines="100" w:after="360" w:afterLines="150" w:line="276" w:lineRule="auto"/>
        <w:jc w:val="center"/>
        <w:rPr>
          <w:rFonts w:ascii="宋体" w:hAnsi="宋体"/>
          <w:b w:val="0"/>
          <w:color w:val="auto"/>
          <w:highlight w:val="none"/>
        </w:rPr>
      </w:pPr>
      <w:r>
        <w:rPr>
          <w:rFonts w:ascii="宋体" w:hAnsi="宋体"/>
          <w:color w:val="auto"/>
          <w:highlight w:val="none"/>
        </w:rPr>
        <w:t xml:space="preserve">第一章 </w:t>
      </w:r>
      <w:bookmarkStart w:id="583" w:name="_GoBack"/>
      <w:r>
        <w:rPr>
          <w:rFonts w:hint="eastAsia" w:ascii="宋体" w:hAnsi="宋体"/>
          <w:color w:val="auto"/>
          <w:highlight w:val="none"/>
          <w:lang w:eastAsia="zh-CN"/>
        </w:rPr>
        <w:t>谈判采购</w:t>
      </w:r>
      <w:r>
        <w:rPr>
          <w:rFonts w:hint="eastAsia" w:ascii="宋体" w:hAnsi="宋体"/>
          <w:color w:val="auto"/>
          <w:highlight w:val="none"/>
        </w:rPr>
        <w:t>公告</w:t>
      </w:r>
    </w:p>
    <w:p w14:paraId="6E8DFCED">
      <w:pPr>
        <w:jc w:val="center"/>
        <w:rPr>
          <w:rFonts w:ascii="宋体" w:hAnsi="宋体"/>
          <w:color w:val="auto"/>
          <w:sz w:val="32"/>
          <w:szCs w:val="32"/>
          <w:highlight w:val="none"/>
        </w:rPr>
      </w:pPr>
      <w:bookmarkStart w:id="6" w:name="OLE_LINK1"/>
      <w:bookmarkStart w:id="7" w:name="OLE_LINK4"/>
      <w:bookmarkStart w:id="8" w:name="OLE_LINK7"/>
      <w:bookmarkStart w:id="9" w:name="_Toc415675120"/>
      <w:bookmarkStart w:id="10" w:name="_Toc440556695"/>
      <w:bookmarkStart w:id="11" w:name="_Toc415675642"/>
      <w:r>
        <w:rPr>
          <w:rFonts w:hint="eastAsia" w:cs="宋体"/>
          <w:b/>
          <w:color w:val="auto"/>
          <w:sz w:val="32"/>
          <w:szCs w:val="36"/>
          <w:highlight w:val="none"/>
          <w:lang w:eastAsia="zh-CN" w:bidi="ar"/>
        </w:rPr>
        <w:t>长寿厂区配电房及控制室增设火灾自动报警装置工程</w:t>
      </w:r>
      <w:r>
        <w:rPr>
          <w:rFonts w:hint="eastAsia" w:ascii="宋体" w:hAnsi="宋体" w:cs="宋体"/>
          <w:b/>
          <w:color w:val="auto"/>
          <w:sz w:val="32"/>
          <w:szCs w:val="32"/>
          <w:highlight w:val="none"/>
          <w:lang w:eastAsia="zh-CN" w:bidi="ar"/>
        </w:rPr>
        <w:t>谈判采购</w:t>
      </w:r>
      <w:r>
        <w:rPr>
          <w:rFonts w:hint="eastAsia" w:ascii="宋体" w:hAnsi="宋体" w:cs="宋体"/>
          <w:b/>
          <w:color w:val="auto"/>
          <w:sz w:val="32"/>
          <w:szCs w:val="32"/>
          <w:highlight w:val="none"/>
        </w:rPr>
        <w:t>采购</w:t>
      </w:r>
    </w:p>
    <w:p w14:paraId="34F5FA4F">
      <w:pPr>
        <w:spacing w:line="360" w:lineRule="auto"/>
        <w:jc w:val="left"/>
        <w:outlineLvl w:val="0"/>
        <w:rPr>
          <w:rFonts w:ascii="宋体" w:hAnsi="宋体"/>
          <w:b/>
          <w:snapToGrid w:val="0"/>
          <w:color w:val="auto"/>
          <w:kern w:val="0"/>
          <w:sz w:val="28"/>
          <w:szCs w:val="28"/>
          <w:highlight w:val="none"/>
        </w:rPr>
      </w:pPr>
      <w:bookmarkStart w:id="12" w:name="_Toc27508"/>
      <w:bookmarkStart w:id="13" w:name="_Toc30279"/>
      <w:bookmarkStart w:id="14" w:name="_Toc26356"/>
      <w:bookmarkStart w:id="15" w:name="_Toc14729"/>
      <w:bookmarkStart w:id="16" w:name="_Toc5554"/>
      <w:bookmarkStart w:id="17" w:name="_Toc4962"/>
      <w:bookmarkStart w:id="18" w:name="_Toc16466"/>
      <w:bookmarkStart w:id="19" w:name="_Toc29382"/>
      <w:bookmarkStart w:id="20" w:name="_Toc10497"/>
      <w:bookmarkStart w:id="21" w:name="_Toc844"/>
      <w:r>
        <w:rPr>
          <w:rFonts w:hint="eastAsia" w:ascii="宋体" w:hAnsi="宋体"/>
          <w:b/>
          <w:snapToGrid w:val="0"/>
          <w:color w:val="auto"/>
          <w:kern w:val="0"/>
          <w:sz w:val="28"/>
          <w:szCs w:val="28"/>
          <w:highlight w:val="none"/>
        </w:rPr>
        <w:t xml:space="preserve">1. </w:t>
      </w:r>
      <w:r>
        <w:rPr>
          <w:rFonts w:hint="eastAsia" w:ascii="宋体" w:hAnsi="宋体"/>
          <w:b/>
          <w:snapToGrid w:val="0"/>
          <w:color w:val="auto"/>
          <w:kern w:val="0"/>
          <w:sz w:val="28"/>
          <w:szCs w:val="28"/>
          <w:highlight w:val="none"/>
          <w:lang w:eastAsia="zh-CN"/>
        </w:rPr>
        <w:t>谈判采购</w:t>
      </w:r>
      <w:r>
        <w:rPr>
          <w:rFonts w:hint="eastAsia" w:ascii="宋体" w:hAnsi="宋体"/>
          <w:b/>
          <w:snapToGrid w:val="0"/>
          <w:color w:val="auto"/>
          <w:kern w:val="0"/>
          <w:sz w:val="28"/>
          <w:szCs w:val="28"/>
          <w:highlight w:val="none"/>
        </w:rPr>
        <w:t>条件</w:t>
      </w:r>
      <w:bookmarkEnd w:id="12"/>
      <w:bookmarkEnd w:id="13"/>
      <w:bookmarkEnd w:id="14"/>
      <w:bookmarkEnd w:id="15"/>
      <w:bookmarkEnd w:id="16"/>
      <w:bookmarkEnd w:id="17"/>
      <w:bookmarkEnd w:id="18"/>
      <w:bookmarkEnd w:id="19"/>
      <w:bookmarkEnd w:id="20"/>
      <w:bookmarkEnd w:id="21"/>
    </w:p>
    <w:p w14:paraId="6BA145D1">
      <w:pPr>
        <w:spacing w:line="360" w:lineRule="auto"/>
        <w:ind w:firstLine="413" w:firstLineChars="197"/>
        <w:jc w:val="left"/>
        <w:outlineLvl w:val="0"/>
        <w:rPr>
          <w:rFonts w:ascii="宋体" w:hAnsi="宋体"/>
          <w:b/>
          <w:snapToGrid w:val="0"/>
          <w:color w:val="auto"/>
          <w:kern w:val="0"/>
          <w:szCs w:val="21"/>
          <w:highlight w:val="none"/>
        </w:rPr>
      </w:pPr>
      <w:r>
        <w:rPr>
          <w:rFonts w:hint="eastAsia" w:ascii="宋体" w:hAnsi="宋体" w:cs="宋体"/>
          <w:color w:val="auto"/>
          <w:kern w:val="0"/>
          <w:szCs w:val="21"/>
          <w:highlight w:val="none"/>
        </w:rPr>
        <w:t>本</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项目为重庆国际复合材料股份有限公司“</w:t>
      </w:r>
      <w:r>
        <w:rPr>
          <w:rFonts w:hint="eastAsia" w:ascii="宋体" w:hAnsi="宋体" w:cs="宋体"/>
          <w:b/>
          <w:color w:val="auto"/>
          <w:kern w:val="0"/>
          <w:szCs w:val="21"/>
          <w:highlight w:val="none"/>
          <w:u w:val="single"/>
          <w:lang w:eastAsia="zh-CN" w:bidi="ar"/>
        </w:rPr>
        <w:t>长寿厂区配电房及控制室增设火灾自动报警装置工程</w:t>
      </w:r>
      <w:r>
        <w:rPr>
          <w:rFonts w:hint="eastAsia" w:ascii="宋体" w:hAnsi="宋体" w:cs="宋体"/>
          <w:color w:val="auto"/>
          <w:kern w:val="0"/>
          <w:szCs w:val="21"/>
          <w:highlight w:val="none"/>
        </w:rPr>
        <w:t>”，采购人为重庆国际复合材料股份有限公司，资金来源</w:t>
      </w:r>
      <w:r>
        <w:rPr>
          <w:rFonts w:hint="eastAsia" w:ascii="宋体" w:hAnsi="宋体" w:cs="宋体"/>
          <w:color w:val="auto"/>
          <w:kern w:val="0"/>
          <w:szCs w:val="21"/>
          <w:highlight w:val="none"/>
          <w:u w:val="single"/>
          <w:lang w:eastAsia="zh-CN"/>
        </w:rPr>
        <w:t>采购人</w:t>
      </w:r>
      <w:r>
        <w:rPr>
          <w:rFonts w:hint="eastAsia" w:ascii="宋体" w:hAnsi="宋体" w:cs="宋体"/>
          <w:color w:val="auto"/>
          <w:kern w:val="0"/>
          <w:szCs w:val="21"/>
          <w:highlight w:val="none"/>
          <w:u w:val="single"/>
        </w:rPr>
        <w:t>自筹</w:t>
      </w:r>
      <w:r>
        <w:rPr>
          <w:rFonts w:hint="eastAsia" w:ascii="宋体" w:hAnsi="宋体" w:cs="宋体"/>
          <w:color w:val="auto"/>
          <w:kern w:val="0"/>
          <w:szCs w:val="21"/>
          <w:highlight w:val="none"/>
        </w:rPr>
        <w:t>，项目出资比例为</w:t>
      </w:r>
      <w:r>
        <w:rPr>
          <w:rFonts w:ascii="宋体" w:hAnsi="宋体" w:cs="宋体"/>
          <w:color w:val="auto"/>
          <w:kern w:val="0"/>
          <w:szCs w:val="21"/>
          <w:highlight w:val="none"/>
          <w:u w:val="single"/>
        </w:rPr>
        <w:t>100%</w:t>
      </w:r>
      <w:r>
        <w:rPr>
          <w:rFonts w:hint="eastAsia" w:ascii="宋体" w:hAnsi="宋体" w:cs="宋体"/>
          <w:color w:val="auto"/>
          <w:kern w:val="0"/>
          <w:szCs w:val="21"/>
          <w:highlight w:val="none"/>
          <w:u w:val="single"/>
        </w:rPr>
        <w:t>国有资金</w:t>
      </w:r>
      <w:r>
        <w:rPr>
          <w:rFonts w:hint="eastAsia" w:ascii="宋体" w:hAnsi="宋体" w:cs="宋体"/>
          <w:color w:val="auto"/>
          <w:kern w:val="0"/>
          <w:szCs w:val="21"/>
          <w:highlight w:val="none"/>
        </w:rPr>
        <w:t>；本项目已具备</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条件，现对重庆国际复合材料股份有限公司</w:t>
      </w:r>
      <w:r>
        <w:rPr>
          <w:rFonts w:hint="eastAsia" w:ascii="宋体" w:hAnsi="宋体" w:cs="宋体"/>
          <w:b/>
          <w:color w:val="auto"/>
          <w:kern w:val="0"/>
          <w:szCs w:val="21"/>
          <w:highlight w:val="none"/>
          <w:u w:val="single"/>
          <w:lang w:eastAsia="zh-CN" w:bidi="ar"/>
        </w:rPr>
        <w:t>长寿厂区配电房及控制室增设火灾自动报警装置工程</w:t>
      </w:r>
      <w:r>
        <w:rPr>
          <w:rFonts w:hint="eastAsia" w:ascii="宋体" w:hAnsi="宋体" w:cs="宋体"/>
          <w:color w:val="auto"/>
          <w:kern w:val="0"/>
          <w:szCs w:val="21"/>
          <w:highlight w:val="none"/>
        </w:rPr>
        <w:t>进行公开</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，特邀有兴趣的潜在单位参与</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w:t>
      </w:r>
    </w:p>
    <w:p w14:paraId="651C0EB1">
      <w:pPr>
        <w:spacing w:line="440" w:lineRule="exact"/>
        <w:jc w:val="left"/>
        <w:outlineLvl w:val="0"/>
        <w:rPr>
          <w:rFonts w:ascii="宋体" w:hAnsi="宋体"/>
          <w:b/>
          <w:snapToGrid w:val="0"/>
          <w:color w:val="auto"/>
          <w:kern w:val="0"/>
          <w:szCs w:val="21"/>
          <w:highlight w:val="none"/>
        </w:rPr>
      </w:pPr>
      <w:bookmarkStart w:id="22" w:name="_Toc6552"/>
      <w:bookmarkStart w:id="23" w:name="_Toc8077"/>
      <w:bookmarkStart w:id="24" w:name="_Toc29348"/>
      <w:bookmarkStart w:id="25" w:name="_Toc16188"/>
      <w:bookmarkStart w:id="26" w:name="_Toc31685"/>
      <w:bookmarkStart w:id="27" w:name="_Toc17916"/>
      <w:bookmarkStart w:id="28" w:name="_Toc20027"/>
      <w:bookmarkStart w:id="29" w:name="_Toc19590"/>
      <w:bookmarkStart w:id="30" w:name="_Toc18911"/>
      <w:bookmarkStart w:id="31" w:name="_Toc24224"/>
      <w:r>
        <w:rPr>
          <w:rFonts w:hint="eastAsia" w:ascii="宋体" w:hAnsi="宋体"/>
          <w:b/>
          <w:snapToGrid w:val="0"/>
          <w:color w:val="auto"/>
          <w:kern w:val="0"/>
          <w:szCs w:val="21"/>
          <w:highlight w:val="none"/>
        </w:rPr>
        <w:t>2. 项目概况与</w:t>
      </w:r>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范围</w:t>
      </w:r>
      <w:bookmarkEnd w:id="22"/>
      <w:bookmarkEnd w:id="23"/>
      <w:bookmarkEnd w:id="24"/>
      <w:bookmarkEnd w:id="25"/>
      <w:bookmarkEnd w:id="26"/>
      <w:bookmarkEnd w:id="27"/>
      <w:bookmarkEnd w:id="28"/>
      <w:bookmarkEnd w:id="29"/>
      <w:bookmarkEnd w:id="30"/>
      <w:bookmarkEnd w:id="31"/>
    </w:p>
    <w:p w14:paraId="2C1F955E">
      <w:pPr>
        <w:widowControl/>
        <w:tabs>
          <w:tab w:val="left" w:pos="8208"/>
          <w:tab w:val="left" w:pos="9072"/>
        </w:tabs>
        <w:suppressAutoHyphens/>
        <w:spacing w:line="440" w:lineRule="exact"/>
        <w:rPr>
          <w:rFonts w:hint="eastAsia" w:ascii="宋体" w:hAnsi="宋体" w:eastAsia="宋体" w:cs="宋体"/>
          <w:bCs/>
          <w:color w:val="auto"/>
          <w:kern w:val="0"/>
          <w:szCs w:val="21"/>
          <w:highlight w:val="none"/>
          <w:u w:val="single"/>
          <w:lang w:eastAsia="zh-CN"/>
        </w:rPr>
      </w:pPr>
      <w:r>
        <w:rPr>
          <w:rFonts w:hint="eastAsia" w:ascii="宋体" w:hAnsi="宋体" w:cs="宋体"/>
          <w:color w:val="auto"/>
          <w:kern w:val="0"/>
          <w:szCs w:val="21"/>
          <w:highlight w:val="none"/>
        </w:rPr>
        <w:t>2.1 项目名称：</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u w:val="single"/>
          <w:lang w:eastAsia="zh-CN" w:bidi="ar"/>
        </w:rPr>
        <w:t>长寿厂区配电房及控制室增设火灾自动报警装置工程</w:t>
      </w:r>
    </w:p>
    <w:p w14:paraId="543A4D58">
      <w:pPr>
        <w:topLinePunct/>
        <w:adjustRightInd w:val="0"/>
        <w:snapToGrid w:val="0"/>
        <w:spacing w:line="440" w:lineRule="exact"/>
        <w:rPr>
          <w:rFonts w:ascii="宋体" w:hAnsi="宋体" w:cs="宋体"/>
          <w:color w:val="auto"/>
          <w:szCs w:val="21"/>
          <w:highlight w:val="none"/>
          <w:lang w:bidi="ar"/>
        </w:rPr>
      </w:pPr>
      <w:r>
        <w:rPr>
          <w:rFonts w:hint="eastAsia" w:ascii="宋体" w:hAnsi="宋体"/>
          <w:color w:val="auto"/>
          <w:szCs w:val="21"/>
          <w:highlight w:val="none"/>
        </w:rPr>
        <w:t xml:space="preserve">2.2 </w:t>
      </w:r>
      <w:r>
        <w:rPr>
          <w:rFonts w:hint="eastAsia" w:ascii="宋体" w:hAnsi="宋体"/>
          <w:color w:val="auto"/>
          <w:szCs w:val="21"/>
          <w:highlight w:val="none"/>
          <w:lang w:eastAsia="zh-CN"/>
        </w:rPr>
        <w:t>谈判采购</w:t>
      </w:r>
      <w:r>
        <w:rPr>
          <w:rFonts w:hint="eastAsia" w:ascii="宋体" w:hAnsi="宋体"/>
          <w:color w:val="auto"/>
          <w:szCs w:val="21"/>
          <w:highlight w:val="none"/>
        </w:rPr>
        <w:t>范围：</w:t>
      </w:r>
      <w:r>
        <w:rPr>
          <w:rFonts w:hint="eastAsia" w:ascii="宋体" w:hAnsi="宋体" w:cs="宋体"/>
          <w:color w:val="auto"/>
          <w:szCs w:val="21"/>
          <w:highlight w:val="none"/>
          <w:lang w:bidi="ar"/>
        </w:rPr>
        <w:t>详见</w:t>
      </w:r>
      <w:r>
        <w:rPr>
          <w:rFonts w:hint="eastAsia" w:ascii="宋体" w:hAnsi="宋体" w:cs="宋体"/>
          <w:color w:val="auto"/>
          <w:szCs w:val="21"/>
          <w:highlight w:val="none"/>
          <w:lang w:val="en-US" w:eastAsia="zh-CN" w:bidi="ar"/>
        </w:rPr>
        <w:t>采购</w:t>
      </w:r>
      <w:r>
        <w:rPr>
          <w:rFonts w:hint="eastAsia" w:ascii="宋体" w:hAnsi="宋体" w:cs="宋体"/>
          <w:color w:val="auto"/>
          <w:szCs w:val="21"/>
          <w:highlight w:val="none"/>
          <w:lang w:bidi="ar"/>
        </w:rPr>
        <w:t>人提供本工程</w:t>
      </w:r>
      <w:r>
        <w:rPr>
          <w:rFonts w:hint="eastAsia" w:ascii="宋体" w:hAnsi="宋体" w:cs="宋体"/>
          <w:color w:val="auto"/>
          <w:szCs w:val="21"/>
          <w:highlight w:val="none"/>
          <w:lang w:val="en-US" w:eastAsia="zh-CN" w:bidi="ar"/>
        </w:rPr>
        <w:t>的</w:t>
      </w:r>
      <w:r>
        <w:rPr>
          <w:rFonts w:hint="eastAsia" w:ascii="宋体" w:hAnsi="宋体" w:cs="宋体"/>
          <w:color w:val="auto"/>
          <w:szCs w:val="21"/>
          <w:highlight w:val="none"/>
          <w:lang w:bidi="ar"/>
        </w:rPr>
        <w:t>工程量清单所明确的全部工程内容。</w:t>
      </w:r>
    </w:p>
    <w:p w14:paraId="78AC6590">
      <w:pPr>
        <w:topLinePunct/>
        <w:adjustRightInd w:val="0"/>
        <w:snapToGrid w:val="0"/>
        <w:spacing w:line="440" w:lineRule="exact"/>
        <w:rPr>
          <w:rFonts w:asciiTheme="minorHAnsi" w:hAnsiTheme="minorHAnsi" w:eastAsiaTheme="minorEastAsia" w:cstheme="minorBidi"/>
          <w:color w:val="auto"/>
          <w:highlight w:val="none"/>
        </w:rPr>
      </w:pPr>
      <w:r>
        <w:rPr>
          <w:rFonts w:hint="eastAsia" w:ascii="宋体" w:hAnsi="宋体"/>
          <w:color w:val="auto"/>
          <w:szCs w:val="21"/>
          <w:highlight w:val="none"/>
        </w:rPr>
        <w:t>2.3 施工时间：</w:t>
      </w:r>
      <w:r>
        <w:rPr>
          <w:rFonts w:hint="eastAsia" w:ascii="宋体" w:hAnsi="宋体" w:cs="宋体"/>
          <w:color w:val="auto"/>
          <w:szCs w:val="21"/>
          <w:highlight w:val="none"/>
          <w:lang w:bidi="ar"/>
        </w:rPr>
        <w:t>工期：</w:t>
      </w:r>
      <w:r>
        <w:rPr>
          <w:rFonts w:hint="eastAsia" w:ascii="宋体" w:hAnsi="宋体" w:cs="宋体"/>
          <w:color w:val="auto"/>
          <w:kern w:val="0"/>
          <w:szCs w:val="21"/>
          <w:highlight w:val="none"/>
          <w:u w:val="single"/>
          <w:lang w:val="en-US" w:eastAsia="zh-CN" w:bidi="ar"/>
        </w:rPr>
        <w:t>30</w:t>
      </w:r>
      <w:r>
        <w:rPr>
          <w:rFonts w:hint="eastAsia" w:ascii="宋体" w:hAnsi="宋体" w:cs="宋体"/>
          <w:color w:val="auto"/>
          <w:kern w:val="0"/>
          <w:szCs w:val="21"/>
          <w:highlight w:val="none"/>
          <w:u w:val="single"/>
          <w:lang w:bidi="ar"/>
        </w:rPr>
        <w:t>日历天</w:t>
      </w:r>
      <w:r>
        <w:rPr>
          <w:rFonts w:hint="eastAsia" w:ascii="宋体" w:hAnsi="宋体"/>
          <w:color w:val="auto"/>
          <w:szCs w:val="21"/>
          <w:highlight w:val="none"/>
          <w:lang w:bidi="ar"/>
        </w:rPr>
        <w:t xml:space="preserve"> </w:t>
      </w:r>
      <w:r>
        <w:rPr>
          <w:rFonts w:hint="eastAsia" w:ascii="宋体" w:hAnsi="宋体"/>
          <w:snapToGrid w:val="0"/>
          <w:color w:val="auto"/>
          <w:szCs w:val="21"/>
          <w:highlight w:val="none"/>
          <w:lang w:bidi="ar"/>
        </w:rPr>
        <w:t>缺陷责任期要求：</w:t>
      </w:r>
      <w:r>
        <w:rPr>
          <w:rFonts w:hint="eastAsia" w:ascii="宋体" w:hAnsi="宋体"/>
          <w:color w:val="auto"/>
          <w:szCs w:val="21"/>
          <w:highlight w:val="none"/>
          <w:u w:val="single"/>
          <w:lang w:bidi="ar"/>
        </w:rPr>
        <w:t>24</w:t>
      </w:r>
      <w:r>
        <w:rPr>
          <w:rFonts w:hint="eastAsia" w:ascii="宋体" w:hAnsi="宋体"/>
          <w:snapToGrid w:val="0"/>
          <w:color w:val="auto"/>
          <w:szCs w:val="21"/>
          <w:highlight w:val="none"/>
          <w:u w:val="single"/>
          <w:lang w:bidi="ar"/>
        </w:rPr>
        <w:t>个月</w:t>
      </w:r>
      <w:r>
        <w:rPr>
          <w:rFonts w:hint="eastAsia" w:asciiTheme="minorHAnsi" w:hAnsiTheme="minorHAnsi" w:eastAsiaTheme="minorEastAsia" w:cstheme="minorBidi"/>
          <w:color w:val="auto"/>
          <w:highlight w:val="none"/>
        </w:rPr>
        <w:t>。</w:t>
      </w:r>
    </w:p>
    <w:p w14:paraId="541B175C">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 xml:space="preserve">4 </w:t>
      </w:r>
      <w:r>
        <w:rPr>
          <w:rFonts w:hint="eastAsia" w:ascii="宋体" w:hAnsi="宋体"/>
          <w:color w:val="auto"/>
          <w:szCs w:val="21"/>
          <w:highlight w:val="none"/>
        </w:rPr>
        <w:t>施工地点：重庆国际复合材料股份有限公司</w:t>
      </w:r>
      <w:r>
        <w:rPr>
          <w:rFonts w:hint="eastAsia" w:ascii="宋体" w:hAnsi="宋体"/>
          <w:color w:val="auto"/>
          <w:szCs w:val="21"/>
          <w:highlight w:val="none"/>
          <w:lang w:val="en-US" w:eastAsia="zh-CN"/>
        </w:rPr>
        <w:t>长寿生产基地</w:t>
      </w:r>
      <w:r>
        <w:rPr>
          <w:rFonts w:hint="eastAsia" w:ascii="宋体" w:hAnsi="宋体"/>
          <w:color w:val="auto"/>
          <w:szCs w:val="21"/>
          <w:highlight w:val="none"/>
        </w:rPr>
        <w:t>。</w:t>
      </w:r>
    </w:p>
    <w:p w14:paraId="02245204">
      <w:pPr>
        <w:topLinePunct/>
        <w:adjustRightInd w:val="0"/>
        <w:snapToGrid w:val="0"/>
        <w:spacing w:line="440" w:lineRule="exact"/>
        <w:rPr>
          <w:rFonts w:hint="eastAsia" w:ascii="宋体" w:hAnsi="宋体" w:eastAsia="宋体"/>
          <w:color w:val="auto"/>
          <w:szCs w:val="21"/>
          <w:highlight w:val="none"/>
          <w:lang w:eastAsia="zh-CN"/>
        </w:rPr>
      </w:pPr>
      <w:r>
        <w:rPr>
          <w:rFonts w:hint="eastAsia" w:ascii="宋体" w:hAnsi="宋体"/>
          <w:color w:val="auto"/>
          <w:szCs w:val="21"/>
          <w:highlight w:val="none"/>
        </w:rPr>
        <w:t xml:space="preserve">2.5 </w:t>
      </w:r>
      <w:r>
        <w:rPr>
          <w:rFonts w:hint="eastAsia" w:ascii="宋体" w:hAnsi="宋体" w:cs="宋体"/>
          <w:color w:val="auto"/>
          <w:kern w:val="0"/>
          <w:szCs w:val="21"/>
          <w:highlight w:val="none"/>
        </w:rPr>
        <w:t>该项目设置最高限价：人民币</w:t>
      </w:r>
      <w:r>
        <w:rPr>
          <w:rFonts w:hint="eastAsia" w:ascii="宋体" w:hAnsi="宋体" w:cs="宋体"/>
          <w:color w:val="auto"/>
          <w:kern w:val="0"/>
          <w:szCs w:val="21"/>
          <w:highlight w:val="none"/>
          <w:u w:val="single"/>
          <w:lang w:val="en-US" w:eastAsia="zh-CN" w:bidi="ar"/>
        </w:rPr>
        <w:t xml:space="preserve"> 123122.97 </w:t>
      </w:r>
      <w:r>
        <w:rPr>
          <w:rFonts w:hint="eastAsia" w:ascii="宋体" w:hAnsi="宋体" w:cs="宋体"/>
          <w:color w:val="auto"/>
          <w:kern w:val="0"/>
          <w:szCs w:val="21"/>
          <w:highlight w:val="none"/>
        </w:rPr>
        <w:t>元，所有单位报价不得超过最高限价</w:t>
      </w:r>
      <w:r>
        <w:rPr>
          <w:rFonts w:hint="eastAsia" w:ascii="宋体" w:hAnsi="宋体" w:cs="宋体"/>
          <w:color w:val="auto"/>
          <w:kern w:val="0"/>
          <w:szCs w:val="21"/>
          <w:highlight w:val="none"/>
          <w:lang w:eastAsia="zh-CN"/>
        </w:rPr>
        <w:t>。</w:t>
      </w:r>
    </w:p>
    <w:p w14:paraId="71AB845F">
      <w:pPr>
        <w:spacing w:line="440" w:lineRule="exact"/>
        <w:jc w:val="left"/>
        <w:outlineLvl w:val="0"/>
        <w:rPr>
          <w:rFonts w:ascii="宋体" w:hAnsi="宋体" w:cs="宋体"/>
          <w:color w:val="auto"/>
          <w:szCs w:val="21"/>
          <w:highlight w:val="none"/>
          <w:lang w:bidi="ar"/>
        </w:rPr>
      </w:pPr>
      <w:r>
        <w:rPr>
          <w:rFonts w:hint="eastAsia" w:ascii="宋体" w:hAnsi="宋体"/>
          <w:color w:val="auto"/>
          <w:szCs w:val="21"/>
          <w:highlight w:val="none"/>
        </w:rPr>
        <w:t>2.6 付款方式：</w:t>
      </w:r>
      <w:bookmarkStart w:id="32" w:name="_Toc18439"/>
      <w:bookmarkStart w:id="33" w:name="_Toc9431"/>
      <w:bookmarkStart w:id="34" w:name="_Toc22086"/>
      <w:bookmarkStart w:id="35" w:name="_Toc29166"/>
      <w:bookmarkStart w:id="36" w:name="_Toc8793"/>
      <w:bookmarkStart w:id="37" w:name="_Toc14373"/>
      <w:bookmarkStart w:id="38" w:name="_Toc21527"/>
      <w:bookmarkStart w:id="39" w:name="_Toc20349"/>
      <w:bookmarkStart w:id="40" w:name="_Toc25935"/>
      <w:bookmarkStart w:id="41" w:name="_Toc25025"/>
      <w:r>
        <w:rPr>
          <w:rFonts w:hint="eastAsia" w:ascii="宋体" w:hAnsi="宋体" w:cs="宋体"/>
          <w:color w:val="auto"/>
          <w:szCs w:val="21"/>
          <w:highlight w:val="none"/>
          <w:lang w:bidi="ar"/>
        </w:rPr>
        <w:t>现金电汇或银行承兑汇票。发包人应在签订结算定案表后的28 天内，累计支付至竣工结算价款的97%，余3%质保金，待保修期满后一次性付清。发包人的支付方式约定为银行承兑汇票或电汇付款（银行转账）；如若付款方式调整为电汇付款（银行转账），则承包人对发包人的支付金额给予1%的现金折扣。</w:t>
      </w:r>
    </w:p>
    <w:p w14:paraId="5E872153">
      <w:pPr>
        <w:topLinePunct/>
        <w:adjustRightInd w:val="0"/>
        <w:snapToGrid w:val="0"/>
        <w:spacing w:line="440" w:lineRule="exact"/>
        <w:rPr>
          <w:rFonts w:ascii="宋体" w:hAnsi="宋体"/>
          <w:b/>
          <w:snapToGrid w:val="0"/>
          <w:color w:val="auto"/>
          <w:kern w:val="0"/>
          <w:szCs w:val="21"/>
          <w:highlight w:val="none"/>
        </w:rPr>
      </w:pPr>
      <w:r>
        <w:rPr>
          <w:rFonts w:hint="eastAsia" w:ascii="宋体" w:hAnsi="宋体"/>
          <w:b/>
          <w:snapToGrid w:val="0"/>
          <w:color w:val="auto"/>
          <w:kern w:val="0"/>
          <w:szCs w:val="21"/>
          <w:highlight w:val="none"/>
        </w:rPr>
        <w:t xml:space="preserve"> 3. </w:t>
      </w:r>
      <w:r>
        <w:rPr>
          <w:rFonts w:hint="eastAsia" w:ascii="宋体" w:hAnsi="宋体"/>
          <w:b/>
          <w:snapToGrid w:val="0"/>
          <w:color w:val="auto"/>
          <w:kern w:val="0"/>
          <w:szCs w:val="21"/>
          <w:highlight w:val="none"/>
          <w:lang w:eastAsia="zh-CN"/>
        </w:rPr>
        <w:t>报价人</w:t>
      </w:r>
      <w:r>
        <w:rPr>
          <w:rFonts w:hint="eastAsia" w:ascii="宋体" w:hAnsi="宋体"/>
          <w:b/>
          <w:snapToGrid w:val="0"/>
          <w:color w:val="auto"/>
          <w:kern w:val="0"/>
          <w:szCs w:val="21"/>
          <w:highlight w:val="none"/>
        </w:rPr>
        <w:t>资格要求</w:t>
      </w:r>
    </w:p>
    <w:p w14:paraId="6DA3B956">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3.1本次</w:t>
      </w:r>
      <w:r>
        <w:rPr>
          <w:rFonts w:hint="eastAsia" w:ascii="宋体" w:hAnsi="宋体"/>
          <w:color w:val="auto"/>
          <w:szCs w:val="21"/>
          <w:highlight w:val="none"/>
          <w:lang w:eastAsia="zh-CN"/>
        </w:rPr>
        <w:t>谈判采购</w:t>
      </w:r>
      <w:r>
        <w:rPr>
          <w:rFonts w:hint="eastAsia" w:ascii="宋体" w:hAnsi="宋体"/>
          <w:color w:val="auto"/>
          <w:szCs w:val="21"/>
          <w:highlight w:val="none"/>
        </w:rPr>
        <w:t>实行资格后审，</w:t>
      </w:r>
      <w:r>
        <w:rPr>
          <w:rFonts w:hint="eastAsia" w:ascii="宋体" w:hAnsi="宋体"/>
          <w:color w:val="auto"/>
          <w:szCs w:val="21"/>
          <w:highlight w:val="none"/>
          <w:lang w:eastAsia="zh-CN"/>
        </w:rPr>
        <w:t>报价人</w:t>
      </w:r>
      <w:r>
        <w:rPr>
          <w:rFonts w:hint="eastAsia" w:ascii="宋体" w:hAnsi="宋体"/>
          <w:color w:val="auto"/>
          <w:szCs w:val="21"/>
          <w:highlight w:val="none"/>
        </w:rPr>
        <w:t>应满足下列资格条件：</w:t>
      </w:r>
    </w:p>
    <w:p w14:paraId="2B9E7531">
      <w:pPr>
        <w:topLinePunct/>
        <w:adjustRightInd w:val="0"/>
        <w:snapToGrid w:val="0"/>
        <w:spacing w:line="440" w:lineRule="exact"/>
        <w:rPr>
          <w:rFonts w:ascii="宋体" w:hAnsi="宋体"/>
          <w:color w:val="auto"/>
          <w:kern w:val="0"/>
          <w:szCs w:val="21"/>
          <w:highlight w:val="none"/>
        </w:rPr>
      </w:pPr>
      <w:r>
        <w:rPr>
          <w:rFonts w:hint="eastAsia" w:ascii="宋体" w:hAnsi="宋体"/>
          <w:color w:val="auto"/>
          <w:kern w:val="0"/>
          <w:szCs w:val="21"/>
          <w:highlight w:val="none"/>
        </w:rPr>
        <w:t>3.1.1</w:t>
      </w:r>
      <w:r>
        <w:rPr>
          <w:rFonts w:ascii="宋体" w:hAnsi="宋体"/>
          <w:color w:val="auto"/>
          <w:kern w:val="0"/>
          <w:szCs w:val="21"/>
          <w:highlight w:val="none"/>
        </w:rPr>
        <w:t>具备工商行政主管部门颁发的经营期限内的营业执照</w:t>
      </w:r>
      <w:r>
        <w:rPr>
          <w:rFonts w:hint="eastAsia" w:ascii="宋体" w:hAnsi="宋体"/>
          <w:color w:val="auto"/>
          <w:kern w:val="0"/>
          <w:szCs w:val="21"/>
          <w:highlight w:val="none"/>
        </w:rPr>
        <w:t>（统一社会信用代码）提供有效的营业执照复印件，加盖</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公章</w:t>
      </w:r>
      <w:r>
        <w:rPr>
          <w:rFonts w:ascii="宋体" w:hAnsi="宋体"/>
          <w:color w:val="auto"/>
          <w:kern w:val="0"/>
          <w:szCs w:val="21"/>
          <w:highlight w:val="none"/>
        </w:rPr>
        <w:t>。</w:t>
      </w:r>
    </w:p>
    <w:p w14:paraId="1FDB751F">
      <w:pPr>
        <w:pStyle w:val="8"/>
        <w:rPr>
          <w:rFonts w:hint="default" w:eastAsia="宋体"/>
          <w:color w:val="auto"/>
          <w:highlight w:val="none"/>
          <w:lang w:val="en-US" w:eastAsia="zh-CN"/>
        </w:rPr>
      </w:pPr>
      <w:r>
        <w:rPr>
          <w:rFonts w:hint="eastAsia" w:ascii="宋体" w:hAnsi="宋体"/>
          <w:color w:val="auto"/>
          <w:kern w:val="0"/>
          <w:szCs w:val="21"/>
          <w:highlight w:val="none"/>
          <w:lang w:val="en-US" w:eastAsia="zh-CN"/>
        </w:rPr>
        <w:t>3.1.2具备有效的安全生产许可证</w:t>
      </w:r>
    </w:p>
    <w:p w14:paraId="5CCA3D4F">
      <w:pPr>
        <w:snapToGrid w:val="0"/>
        <w:spacing w:line="400" w:lineRule="exact"/>
        <w:rPr>
          <w:rFonts w:hint="eastAsia" w:eastAsia="宋体" w:cs="宋体"/>
          <w:color w:val="auto"/>
          <w:highlight w:val="none"/>
          <w:lang w:eastAsia="zh-CN" w:bidi="ar"/>
        </w:rPr>
      </w:pPr>
      <w:r>
        <w:rPr>
          <w:rFonts w:hint="eastAsia" w:ascii="宋体" w:hAnsi="宋体"/>
          <w:color w:val="auto"/>
          <w:kern w:val="0"/>
          <w:szCs w:val="21"/>
          <w:highlight w:val="none"/>
        </w:rPr>
        <w:t>3</w:t>
      </w:r>
      <w:r>
        <w:rPr>
          <w:rFonts w:ascii="宋体" w:hAnsi="宋体"/>
          <w:color w:val="auto"/>
          <w:kern w:val="0"/>
          <w:szCs w:val="21"/>
          <w:highlight w:val="none"/>
        </w:rPr>
        <w:t>.1.</w:t>
      </w:r>
      <w:r>
        <w:rPr>
          <w:rFonts w:hint="eastAsia" w:ascii="宋体" w:hAnsi="宋体"/>
          <w:color w:val="auto"/>
          <w:kern w:val="0"/>
          <w:szCs w:val="21"/>
          <w:highlight w:val="none"/>
          <w:lang w:val="en-US" w:eastAsia="zh-CN"/>
        </w:rPr>
        <w:t>3</w:t>
      </w:r>
      <w:r>
        <w:rPr>
          <w:rFonts w:ascii="宋体" w:hAnsi="宋体"/>
          <w:color w:val="auto"/>
          <w:kern w:val="0"/>
          <w:szCs w:val="21"/>
          <w:highlight w:val="none"/>
        </w:rPr>
        <w:t xml:space="preserve"> </w:t>
      </w:r>
      <w:r>
        <w:rPr>
          <w:rFonts w:hint="eastAsia" w:cs="宋体"/>
          <w:color w:val="auto"/>
          <w:highlight w:val="none"/>
          <w:lang w:bidi="ar"/>
        </w:rPr>
        <w:t>需具备建设行政主管部门颁发的有效的建筑工程施工总承包三级及以上资质或消防设施工程专业承包二级及以上资质</w:t>
      </w:r>
      <w:r>
        <w:rPr>
          <w:rFonts w:hint="eastAsia" w:cs="宋体"/>
          <w:color w:val="auto"/>
          <w:highlight w:val="none"/>
          <w:lang w:eastAsia="zh-CN" w:bidi="ar"/>
        </w:rPr>
        <w:t>。</w:t>
      </w:r>
    </w:p>
    <w:p w14:paraId="3E49A215">
      <w:pPr>
        <w:snapToGrid w:val="0"/>
        <w:spacing w:line="400" w:lineRule="exact"/>
        <w:rPr>
          <w:rFonts w:hint="eastAsia"/>
          <w:color w:val="auto"/>
          <w:highlight w:val="none"/>
        </w:rPr>
      </w:pPr>
      <w:r>
        <w:rPr>
          <w:color w:val="auto"/>
          <w:highlight w:val="none"/>
        </w:rPr>
        <w:t>（</w:t>
      </w:r>
      <w:r>
        <w:rPr>
          <w:rFonts w:hint="eastAsia"/>
          <w:color w:val="auto"/>
          <w:highlight w:val="none"/>
        </w:rPr>
        <w:t>1）项目经理：</w:t>
      </w:r>
    </w:p>
    <w:p w14:paraId="36E7522F">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rPr>
        <w:t>提供拟派的项目经理为二级建造师</w:t>
      </w:r>
      <w:r>
        <w:rPr>
          <w:rFonts w:hint="eastAsia" w:ascii="宋体" w:hAnsi="宋体"/>
          <w:color w:val="auto"/>
          <w:kern w:val="0"/>
          <w:szCs w:val="21"/>
          <w:highlight w:val="none"/>
          <w:lang w:eastAsia="zh-CN"/>
        </w:rPr>
        <w:t>（</w:t>
      </w:r>
      <w:r>
        <w:rPr>
          <w:rFonts w:hint="eastAsia" w:ascii="宋体" w:hAnsi="宋体"/>
          <w:color w:val="auto"/>
          <w:kern w:val="0"/>
          <w:szCs w:val="21"/>
          <w:highlight w:val="none"/>
          <w:lang w:val="en-US" w:eastAsia="zh-CN"/>
        </w:rPr>
        <w:t>建筑工程或机电工程专业）及以上执业资格</w:t>
      </w:r>
      <w:r>
        <w:rPr>
          <w:rFonts w:hint="eastAsia" w:ascii="宋体" w:hAnsi="宋体"/>
          <w:color w:val="auto"/>
          <w:kern w:val="0"/>
          <w:szCs w:val="21"/>
          <w:highlight w:val="none"/>
        </w:rPr>
        <w:t>注册人员的，必须提供建造师电子注册证书。</w:t>
      </w:r>
    </w:p>
    <w:p w14:paraId="34A52A67">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须在</w:t>
      </w:r>
      <w:r>
        <w:rPr>
          <w:rFonts w:hint="eastAsia" w:ascii="宋体" w:hAnsi="宋体"/>
          <w:color w:val="auto"/>
          <w:kern w:val="0"/>
          <w:szCs w:val="21"/>
          <w:highlight w:val="none"/>
          <w:lang w:eastAsia="zh-CN"/>
        </w:rPr>
        <w:t>谈判文件</w:t>
      </w:r>
      <w:r>
        <w:rPr>
          <w:rFonts w:hint="eastAsia" w:ascii="宋体" w:hAnsi="宋体"/>
          <w:color w:val="auto"/>
          <w:kern w:val="0"/>
          <w:szCs w:val="21"/>
          <w:highlight w:val="none"/>
        </w:rPr>
        <w:t>资格审查部分提供拟派</w:t>
      </w:r>
      <w:r>
        <w:rPr>
          <w:rFonts w:hint="eastAsia" w:ascii="宋体" w:hAnsi="宋体"/>
          <w:color w:val="auto"/>
          <w:kern w:val="0"/>
          <w:szCs w:val="21"/>
          <w:highlight w:val="none"/>
          <w:lang w:val="en-US" w:eastAsia="zh-CN"/>
        </w:rPr>
        <w:t>项目经理</w:t>
      </w:r>
      <w:r>
        <w:rPr>
          <w:rFonts w:hint="eastAsia" w:ascii="宋体" w:hAnsi="宋体"/>
          <w:color w:val="auto"/>
          <w:kern w:val="0"/>
          <w:szCs w:val="21"/>
          <w:highlight w:val="none"/>
        </w:rPr>
        <w:t>身份证、职称证及</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本单位为其缴纳的养老保险证明材料复印件。</w:t>
      </w:r>
    </w:p>
    <w:p w14:paraId="6872233C">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rPr>
        <w:t>（2）项目技术负责人：</w:t>
      </w:r>
    </w:p>
    <w:p w14:paraId="6604C0B1">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rPr>
        <w:t>应具有工程类中级及以上职称；</w:t>
      </w:r>
    </w:p>
    <w:p w14:paraId="292F9AF1">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须在</w:t>
      </w:r>
      <w:r>
        <w:rPr>
          <w:rFonts w:hint="eastAsia" w:ascii="宋体" w:hAnsi="宋体"/>
          <w:color w:val="auto"/>
          <w:kern w:val="0"/>
          <w:szCs w:val="21"/>
          <w:highlight w:val="none"/>
          <w:lang w:eastAsia="zh-CN"/>
        </w:rPr>
        <w:t>谈判文件</w:t>
      </w:r>
      <w:r>
        <w:rPr>
          <w:rFonts w:hint="eastAsia" w:ascii="宋体" w:hAnsi="宋体"/>
          <w:color w:val="auto"/>
          <w:kern w:val="0"/>
          <w:szCs w:val="21"/>
          <w:highlight w:val="none"/>
        </w:rPr>
        <w:t>资格审查部分提供拟派技术负责人身份证、职称证及</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 xml:space="preserve">本单位为其缴纳的养老保险证明材料复印件。                                            </w:t>
      </w:r>
    </w:p>
    <w:p w14:paraId="0522D3EA">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rPr>
        <w:t>（3）委托代理人：</w:t>
      </w:r>
    </w:p>
    <w:p w14:paraId="565EE13A">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rPr>
        <w:t>委托代理人必须为</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本单位人员。</w:t>
      </w:r>
    </w:p>
    <w:p w14:paraId="0EA92862">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须在</w:t>
      </w:r>
      <w:r>
        <w:rPr>
          <w:rFonts w:hint="eastAsia" w:ascii="宋体" w:hAnsi="宋体"/>
          <w:color w:val="auto"/>
          <w:kern w:val="0"/>
          <w:szCs w:val="21"/>
          <w:highlight w:val="none"/>
          <w:lang w:eastAsia="zh-CN"/>
        </w:rPr>
        <w:t>谈判文件</w:t>
      </w:r>
      <w:r>
        <w:rPr>
          <w:rFonts w:hint="eastAsia" w:ascii="宋体" w:hAnsi="宋体"/>
          <w:color w:val="auto"/>
          <w:kern w:val="0"/>
          <w:szCs w:val="21"/>
          <w:highlight w:val="none"/>
        </w:rPr>
        <w:t>资格审查部分提供</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为该委托代理人缴纳的养老保险证明复印件。否则，将由评标委员会作否决投标处理</w:t>
      </w:r>
    </w:p>
    <w:p w14:paraId="241BB5E7">
      <w:pPr>
        <w:spacing w:line="400" w:lineRule="exact"/>
        <w:rPr>
          <w:color w:val="auto"/>
          <w:highlight w:val="none"/>
        </w:rPr>
      </w:pPr>
      <w:r>
        <w:rPr>
          <w:rFonts w:hint="eastAsia"/>
          <w:color w:val="auto"/>
          <w:highlight w:val="none"/>
        </w:rPr>
        <w:t>（</w:t>
      </w:r>
      <w:r>
        <w:rPr>
          <w:color w:val="auto"/>
          <w:highlight w:val="none"/>
        </w:rPr>
        <w:t>4</w:t>
      </w:r>
      <w:r>
        <w:rPr>
          <w:rFonts w:hint="eastAsia"/>
          <w:color w:val="auto"/>
          <w:highlight w:val="none"/>
        </w:rPr>
        <w:t>）</w:t>
      </w:r>
      <w:r>
        <w:rPr>
          <w:color w:val="auto"/>
          <w:highlight w:val="none"/>
        </w:rPr>
        <w:t>本</w:t>
      </w:r>
      <w:r>
        <w:rPr>
          <w:rFonts w:hint="eastAsia"/>
          <w:color w:val="auto"/>
          <w:highlight w:val="none"/>
          <w:lang w:eastAsia="zh-CN"/>
        </w:rPr>
        <w:t>谈判采购文件</w:t>
      </w:r>
      <w:r>
        <w:rPr>
          <w:color w:val="auto"/>
          <w:highlight w:val="none"/>
        </w:rPr>
        <w:t>中所要求的人员</w:t>
      </w:r>
      <w:r>
        <w:rPr>
          <w:rFonts w:hint="eastAsia"/>
          <w:color w:val="auto"/>
          <w:highlight w:val="none"/>
        </w:rPr>
        <w:t>养老保险</w:t>
      </w:r>
      <w:r>
        <w:rPr>
          <w:color w:val="auto"/>
          <w:highlight w:val="none"/>
        </w:rPr>
        <w:t>证明要求如下：</w:t>
      </w:r>
    </w:p>
    <w:p w14:paraId="4DACADAF">
      <w:pPr>
        <w:spacing w:line="400" w:lineRule="exact"/>
        <w:rPr>
          <w:color w:val="auto"/>
          <w:highlight w:val="none"/>
        </w:rPr>
      </w:pPr>
      <w:r>
        <w:rPr>
          <w:color w:val="auto"/>
          <w:highlight w:val="none"/>
        </w:rPr>
        <w:t>①</w:t>
      </w:r>
      <w:r>
        <w:rPr>
          <w:rFonts w:hint="eastAsia"/>
          <w:color w:val="auto"/>
          <w:highlight w:val="none"/>
        </w:rPr>
        <w:t>企业</w:t>
      </w:r>
      <w:r>
        <w:rPr>
          <w:color w:val="auto"/>
          <w:highlight w:val="none"/>
        </w:rPr>
        <w:t>提供</w:t>
      </w:r>
      <w:r>
        <w:rPr>
          <w:rFonts w:hint="eastAsia"/>
          <w:color w:val="auto"/>
          <w:highlight w:val="none"/>
        </w:rPr>
        <w:t>养老保险</w:t>
      </w:r>
      <w:r>
        <w:rPr>
          <w:color w:val="auto"/>
          <w:highlight w:val="none"/>
        </w:rPr>
        <w:t>证明，事业单位提供</w:t>
      </w:r>
      <w:r>
        <w:rPr>
          <w:rFonts w:hint="eastAsia"/>
          <w:color w:val="auto"/>
          <w:highlight w:val="none"/>
        </w:rPr>
        <w:t>养老保险</w:t>
      </w:r>
      <w:r>
        <w:rPr>
          <w:color w:val="auto"/>
          <w:highlight w:val="none"/>
        </w:rPr>
        <w:t>证明或行政主管部门在编证明。</w:t>
      </w:r>
    </w:p>
    <w:p w14:paraId="3FEA23D5">
      <w:pPr>
        <w:tabs>
          <w:tab w:val="left" w:pos="3840"/>
          <w:tab w:val="left" w:pos="5300"/>
        </w:tabs>
        <w:autoSpaceDE w:val="0"/>
        <w:autoSpaceDN w:val="0"/>
        <w:adjustRightInd w:val="0"/>
        <w:snapToGrid w:val="0"/>
        <w:spacing w:line="360" w:lineRule="auto"/>
        <w:rPr>
          <w:rFonts w:ascii="宋体" w:hAnsi="宋体" w:cs="宋体"/>
          <w:color w:val="auto"/>
          <w:szCs w:val="21"/>
          <w:highlight w:val="none"/>
        </w:rPr>
      </w:pPr>
      <w:r>
        <w:rPr>
          <w:color w:val="auto"/>
          <w:highlight w:val="none"/>
        </w:rPr>
        <w:t>②</w:t>
      </w:r>
      <w:r>
        <w:rPr>
          <w:rFonts w:hint="eastAsia"/>
          <w:color w:val="auto"/>
          <w:highlight w:val="none"/>
        </w:rPr>
        <w:t>项目经理、</w:t>
      </w:r>
      <w:r>
        <w:rPr>
          <w:color w:val="auto"/>
          <w:highlight w:val="none"/>
        </w:rPr>
        <w:t>项目技术负责人和委托代理人的</w:t>
      </w:r>
      <w:r>
        <w:rPr>
          <w:rFonts w:hint="eastAsia"/>
          <w:color w:val="auto"/>
          <w:highlight w:val="none"/>
        </w:rPr>
        <w:t>连续养老保险</w:t>
      </w:r>
      <w:r>
        <w:rPr>
          <w:color w:val="auto"/>
          <w:highlight w:val="none"/>
        </w:rPr>
        <w:t>证明期限</w:t>
      </w:r>
      <w:r>
        <w:rPr>
          <w:rFonts w:hint="eastAsia"/>
          <w:color w:val="auto"/>
          <w:highlight w:val="none"/>
        </w:rPr>
        <w:t>须包含202</w:t>
      </w:r>
      <w:r>
        <w:rPr>
          <w:rFonts w:hint="eastAsia"/>
          <w:color w:val="auto"/>
          <w:highlight w:val="none"/>
          <w:lang w:val="en-US" w:eastAsia="zh-CN"/>
        </w:rPr>
        <w:t>6</w:t>
      </w:r>
      <w:r>
        <w:rPr>
          <w:color w:val="auto"/>
          <w:highlight w:val="none"/>
        </w:rPr>
        <w:t>年</w:t>
      </w:r>
      <w:r>
        <w:rPr>
          <w:rFonts w:hint="eastAsia"/>
          <w:color w:val="auto"/>
          <w:highlight w:val="none"/>
          <w:lang w:val="en-US" w:eastAsia="zh-CN"/>
        </w:rPr>
        <w:t>6</w:t>
      </w:r>
      <w:r>
        <w:rPr>
          <w:color w:val="auto"/>
          <w:highlight w:val="none"/>
        </w:rPr>
        <w:t>月至</w:t>
      </w:r>
      <w:r>
        <w:rPr>
          <w:rFonts w:hint="eastAsia"/>
          <w:color w:val="auto"/>
          <w:highlight w:val="none"/>
        </w:rPr>
        <w:t>2026</w:t>
      </w:r>
      <w:r>
        <w:rPr>
          <w:color w:val="auto"/>
          <w:highlight w:val="none"/>
        </w:rPr>
        <w:t>年</w:t>
      </w:r>
      <w:r>
        <w:rPr>
          <w:rFonts w:hint="eastAsia"/>
          <w:color w:val="auto"/>
          <w:highlight w:val="none"/>
          <w:lang w:val="en-US" w:eastAsia="zh-CN"/>
        </w:rPr>
        <w:t>8</w:t>
      </w:r>
      <w:r>
        <w:rPr>
          <w:color w:val="auto"/>
          <w:highlight w:val="none"/>
        </w:rPr>
        <w:t>月</w:t>
      </w:r>
      <w:r>
        <w:rPr>
          <w:rFonts w:hint="eastAsia"/>
          <w:color w:val="auto"/>
          <w:highlight w:val="none"/>
        </w:rPr>
        <w:t>。养老保险证明原件必须加盖社保部门公章，提供的养老保险参保证明须体现上述人员的姓名、身份证号（或社保号）、单位名称、本单位参保时间（或起始参保时间）。</w:t>
      </w:r>
    </w:p>
    <w:p w14:paraId="76393627">
      <w:pPr>
        <w:pStyle w:val="64"/>
        <w:widowControl/>
        <w:wordWrap w:val="0"/>
        <w:spacing w:line="38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3.1.</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未被有关行政部门暂停投标资格，或被有关行政部门暂停投标资格期限未满，不得在近两年内申请人或其法定代表人有行贿犯罪行为和不得在国家企业信用信息公示系统“http://www.gsxt.gov.cn/index.html”列入严重违法企业失信名单。</w:t>
      </w:r>
    </w:p>
    <w:p w14:paraId="2AF43A40">
      <w:pPr>
        <w:pStyle w:val="64"/>
        <w:widowControl/>
        <w:wordWrap w:val="0"/>
        <w:spacing w:line="380" w:lineRule="exact"/>
        <w:rPr>
          <w:rFonts w:ascii="宋体" w:hAnsi="宋体" w:cs="宋体"/>
          <w:color w:val="auto"/>
          <w:szCs w:val="21"/>
          <w:highlight w:val="none"/>
        </w:rPr>
      </w:pPr>
      <w:r>
        <w:rPr>
          <w:rFonts w:hint="eastAsia" w:ascii="宋体" w:hAnsi="宋体" w:cs="宋体"/>
          <w:color w:val="auto"/>
          <w:szCs w:val="21"/>
          <w:highlight w:val="none"/>
        </w:rPr>
        <w:t>（申请人网上截图、并承诺无以上情形之一）</w:t>
      </w:r>
    </w:p>
    <w:p w14:paraId="19EAE725">
      <w:pPr>
        <w:pStyle w:val="64"/>
        <w:widowControl/>
        <w:wordWrap w:val="0"/>
        <w:spacing w:line="38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3.2 本次</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不接受联合体。</w:t>
      </w:r>
    </w:p>
    <w:p w14:paraId="196ED53E">
      <w:pPr>
        <w:pStyle w:val="64"/>
        <w:widowControl/>
        <w:wordWrap w:val="0"/>
        <w:spacing w:line="38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3.3本次</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不组织踏勘现场</w:t>
      </w:r>
    </w:p>
    <w:p w14:paraId="1B905B30">
      <w:pPr>
        <w:pStyle w:val="64"/>
        <w:widowControl/>
        <w:wordWrap w:val="0"/>
        <w:spacing w:line="38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3.4本次</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不召开报价预备会</w:t>
      </w:r>
    </w:p>
    <w:p w14:paraId="32FF9485">
      <w:pPr>
        <w:pStyle w:val="64"/>
        <w:widowControl/>
        <w:wordWrap w:val="0"/>
        <w:spacing w:line="38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3.5不允许偏离</w:t>
      </w:r>
    </w:p>
    <w:p w14:paraId="11EBE96B">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 xml:space="preserve">4. </w:t>
      </w:r>
      <w:bookmarkEnd w:id="32"/>
      <w:bookmarkEnd w:id="33"/>
      <w:bookmarkEnd w:id="34"/>
      <w:bookmarkEnd w:id="35"/>
      <w:bookmarkEnd w:id="36"/>
      <w:bookmarkEnd w:id="37"/>
      <w:bookmarkEnd w:id="38"/>
      <w:bookmarkEnd w:id="39"/>
      <w:bookmarkEnd w:id="40"/>
      <w:bookmarkEnd w:id="41"/>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规则</w:t>
      </w:r>
    </w:p>
    <w:p w14:paraId="6ACFDAFD">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4.1</w:t>
      </w:r>
      <w:r>
        <w:rPr>
          <w:rFonts w:hint="eastAsia" w:ascii="宋体" w:hAnsi="宋体"/>
          <w:color w:val="auto"/>
          <w:szCs w:val="21"/>
          <w:highlight w:val="none"/>
          <w:lang w:eastAsia="zh-CN"/>
        </w:rPr>
        <w:t>谈判文件</w:t>
      </w:r>
      <w:r>
        <w:rPr>
          <w:rFonts w:hint="eastAsia" w:ascii="宋体" w:hAnsi="宋体"/>
          <w:color w:val="auto"/>
          <w:szCs w:val="21"/>
          <w:highlight w:val="none"/>
        </w:rPr>
        <w:t>要求密封，并加盖</w:t>
      </w:r>
      <w:r>
        <w:rPr>
          <w:rFonts w:hint="eastAsia" w:ascii="宋体" w:hAnsi="宋体"/>
          <w:color w:val="auto"/>
          <w:szCs w:val="21"/>
          <w:highlight w:val="none"/>
          <w:lang w:eastAsia="zh-CN"/>
        </w:rPr>
        <w:t>报价人</w:t>
      </w:r>
      <w:r>
        <w:rPr>
          <w:rFonts w:hint="eastAsia" w:ascii="宋体" w:hAnsi="宋体"/>
          <w:color w:val="auto"/>
          <w:szCs w:val="21"/>
          <w:highlight w:val="none"/>
        </w:rPr>
        <w:t>单位公章。</w:t>
      </w:r>
    </w:p>
    <w:p w14:paraId="417197D4">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4.2</w:t>
      </w:r>
      <w:r>
        <w:rPr>
          <w:rFonts w:hint="eastAsia" w:ascii="宋体" w:hAnsi="宋体"/>
          <w:color w:val="auto"/>
          <w:szCs w:val="21"/>
          <w:highlight w:val="none"/>
          <w:lang w:eastAsia="zh-CN"/>
        </w:rPr>
        <w:t>报价人</w:t>
      </w:r>
      <w:r>
        <w:rPr>
          <w:rFonts w:hint="eastAsia" w:ascii="宋体" w:hAnsi="宋体" w:cs="宋体"/>
          <w:color w:val="auto"/>
          <w:szCs w:val="21"/>
          <w:highlight w:val="none"/>
        </w:rPr>
        <w:t>应根据自身实力和对</w:t>
      </w:r>
      <w:r>
        <w:rPr>
          <w:rFonts w:hint="eastAsia" w:ascii="宋体" w:hAnsi="宋体" w:cs="宋体"/>
          <w:color w:val="auto"/>
          <w:szCs w:val="21"/>
          <w:highlight w:val="none"/>
          <w:lang w:eastAsia="zh-CN"/>
        </w:rPr>
        <w:t>谈判采购文件</w:t>
      </w:r>
      <w:r>
        <w:rPr>
          <w:rFonts w:hint="eastAsia" w:ascii="宋体" w:hAnsi="宋体" w:cs="宋体"/>
          <w:color w:val="auto"/>
          <w:szCs w:val="21"/>
          <w:highlight w:val="none"/>
        </w:rPr>
        <w:t>技术参数的理解，结合市场行情自主报价</w:t>
      </w:r>
      <w:r>
        <w:rPr>
          <w:rFonts w:hint="eastAsia" w:ascii="宋体" w:hAnsi="宋体"/>
          <w:color w:val="auto"/>
          <w:szCs w:val="21"/>
          <w:highlight w:val="none"/>
        </w:rPr>
        <w:t>。</w:t>
      </w:r>
    </w:p>
    <w:p w14:paraId="59291591">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4.3</w:t>
      </w:r>
      <w:r>
        <w:rPr>
          <w:rFonts w:hint="eastAsia" w:ascii="宋体" w:hAnsi="宋体"/>
          <w:color w:val="auto"/>
          <w:szCs w:val="21"/>
          <w:highlight w:val="none"/>
          <w:lang w:val="en-US" w:eastAsia="zh-CN"/>
        </w:rPr>
        <w:t>谈判报价</w:t>
      </w:r>
      <w:r>
        <w:rPr>
          <w:rFonts w:hint="eastAsia" w:ascii="宋体" w:hAnsi="宋体" w:cs="宋体"/>
          <w:color w:val="auto"/>
          <w:szCs w:val="21"/>
          <w:highlight w:val="none"/>
        </w:rPr>
        <w:t>货币为人民币(RMB)，</w:t>
      </w:r>
      <w:r>
        <w:rPr>
          <w:rFonts w:hint="eastAsia" w:ascii="宋体" w:hAnsi="宋体"/>
          <w:color w:val="auto"/>
          <w:szCs w:val="21"/>
          <w:highlight w:val="none"/>
        </w:rPr>
        <w:t>应包含备件款、税金、运费、保险费、管理费等一切费用。</w:t>
      </w:r>
    </w:p>
    <w:p w14:paraId="4EBB7BB8">
      <w:pPr>
        <w:pStyle w:val="18"/>
        <w:spacing w:beforeAutospacing="0" w:afterAutospacing="0" w:line="420" w:lineRule="atLeast"/>
        <w:rPr>
          <w:rFonts w:ascii="宋体" w:hAnsi="宋体" w:cs="宋体"/>
          <w:color w:val="auto"/>
          <w:sz w:val="21"/>
          <w:szCs w:val="21"/>
          <w:highlight w:val="none"/>
          <w:shd w:val="clear" w:color="auto" w:fill="FFFFFF"/>
        </w:rPr>
      </w:pPr>
      <w:r>
        <w:rPr>
          <w:rFonts w:hint="eastAsia" w:ascii="宋体" w:hAnsi="宋体"/>
          <w:color w:val="auto"/>
          <w:sz w:val="21"/>
          <w:szCs w:val="21"/>
          <w:highlight w:val="none"/>
        </w:rPr>
        <w:t>4.4</w:t>
      </w:r>
      <w:r>
        <w:rPr>
          <w:rFonts w:hint="eastAsia" w:ascii="宋体" w:hAnsi="宋体" w:cs="宋体"/>
          <w:color w:val="auto"/>
          <w:sz w:val="21"/>
          <w:szCs w:val="21"/>
          <w:highlight w:val="none"/>
          <w:shd w:val="clear" w:color="auto" w:fill="FFFFFF"/>
          <w:lang w:eastAsia="zh-CN"/>
        </w:rPr>
        <w:t>谈判采购</w:t>
      </w:r>
      <w:r>
        <w:rPr>
          <w:rFonts w:hint="eastAsia" w:ascii="宋体" w:hAnsi="宋体" w:cs="宋体"/>
          <w:color w:val="auto"/>
          <w:sz w:val="21"/>
          <w:szCs w:val="21"/>
          <w:highlight w:val="none"/>
          <w:shd w:val="clear" w:color="auto" w:fill="FFFFFF"/>
        </w:rPr>
        <w:t>资料包括但不限于：</w:t>
      </w:r>
      <w:r>
        <w:rPr>
          <w:rFonts w:hint="eastAsia" w:ascii="宋体" w:hAnsi="宋体" w:cs="宋体"/>
          <w:color w:val="auto"/>
          <w:sz w:val="21"/>
          <w:szCs w:val="21"/>
          <w:highlight w:val="none"/>
          <w:shd w:val="clear" w:color="auto" w:fill="FFFFFF"/>
          <w:lang w:eastAsia="zh-CN"/>
        </w:rPr>
        <w:t>谈判采购</w:t>
      </w:r>
      <w:r>
        <w:rPr>
          <w:rFonts w:hint="eastAsia" w:ascii="宋体" w:hAnsi="宋体" w:cs="宋体"/>
          <w:color w:val="auto"/>
          <w:sz w:val="21"/>
          <w:szCs w:val="21"/>
          <w:highlight w:val="none"/>
          <w:shd w:val="clear" w:color="auto" w:fill="FFFFFF"/>
        </w:rPr>
        <w:t>报价函、营业执照、法人委托书。</w:t>
      </w:r>
    </w:p>
    <w:p w14:paraId="36FC0E3B">
      <w:pPr>
        <w:spacing w:line="440" w:lineRule="exact"/>
        <w:jc w:val="left"/>
        <w:outlineLvl w:val="0"/>
        <w:rPr>
          <w:rFonts w:ascii="宋体" w:hAnsi="宋体" w:cs="宋体"/>
          <w:color w:val="auto"/>
          <w:szCs w:val="21"/>
          <w:highlight w:val="none"/>
        </w:rPr>
      </w:pPr>
      <w:r>
        <w:rPr>
          <w:rFonts w:hint="eastAsia" w:ascii="宋体" w:hAnsi="宋体" w:cs="宋体"/>
          <w:color w:val="auto"/>
          <w:szCs w:val="21"/>
          <w:highlight w:val="none"/>
          <w:shd w:val="clear" w:color="auto" w:fill="FFFFFF"/>
        </w:rPr>
        <w:t>4</w:t>
      </w:r>
      <w:r>
        <w:rPr>
          <w:rFonts w:ascii="宋体" w:hAnsi="宋体" w:cs="宋体"/>
          <w:color w:val="auto"/>
          <w:szCs w:val="21"/>
          <w:highlight w:val="none"/>
          <w:shd w:val="clear" w:color="auto" w:fill="FFFFFF"/>
        </w:rPr>
        <w:t>.5</w:t>
      </w:r>
      <w:r>
        <w:rPr>
          <w:rFonts w:hint="eastAsia" w:ascii="宋体" w:hAnsi="宋体" w:cs="宋体"/>
          <w:color w:val="auto"/>
          <w:szCs w:val="21"/>
          <w:highlight w:val="none"/>
          <w:shd w:val="clear" w:color="auto" w:fill="FFFFFF"/>
          <w:lang w:val="en-US" w:eastAsia="zh-CN"/>
        </w:rPr>
        <w:t>谈判文件</w:t>
      </w:r>
      <w:r>
        <w:rPr>
          <w:rFonts w:hint="eastAsia" w:ascii="宋体" w:hAnsi="宋体" w:cs="宋体"/>
          <w:color w:val="auto"/>
          <w:szCs w:val="21"/>
          <w:highlight w:val="none"/>
        </w:rPr>
        <w:t>附件</w:t>
      </w:r>
      <w:r>
        <w:rPr>
          <w:rFonts w:ascii="宋体" w:hAnsi="宋体" w:cs="宋体"/>
          <w:color w:val="auto"/>
          <w:szCs w:val="21"/>
          <w:highlight w:val="none"/>
        </w:rPr>
        <w:t>电子表格顺序和项目</w:t>
      </w:r>
      <w:r>
        <w:rPr>
          <w:rFonts w:hint="eastAsia" w:ascii="宋体" w:hAnsi="宋体" w:cs="宋体"/>
          <w:color w:val="auto"/>
          <w:szCs w:val="21"/>
          <w:highlight w:val="none"/>
        </w:rPr>
        <w:t>不能</w:t>
      </w:r>
      <w:r>
        <w:rPr>
          <w:rFonts w:ascii="宋体" w:hAnsi="宋体" w:cs="宋体"/>
          <w:color w:val="auto"/>
          <w:szCs w:val="21"/>
          <w:highlight w:val="none"/>
        </w:rPr>
        <w:t>颠倒顺序及删减，不按照要求报价</w:t>
      </w:r>
      <w:r>
        <w:rPr>
          <w:rFonts w:hint="eastAsia" w:ascii="宋体" w:hAnsi="宋体" w:cs="宋体"/>
          <w:color w:val="auto"/>
          <w:szCs w:val="21"/>
          <w:highlight w:val="none"/>
        </w:rPr>
        <w:t>采购</w:t>
      </w:r>
      <w:r>
        <w:rPr>
          <w:rFonts w:ascii="宋体" w:hAnsi="宋体" w:cs="宋体"/>
          <w:color w:val="auto"/>
          <w:szCs w:val="21"/>
          <w:highlight w:val="none"/>
        </w:rPr>
        <w:t>方可以做否决处理</w:t>
      </w:r>
      <w:r>
        <w:rPr>
          <w:rFonts w:hint="eastAsia" w:ascii="宋体" w:hAnsi="宋体" w:cs="宋体"/>
          <w:color w:val="auto"/>
          <w:szCs w:val="21"/>
          <w:highlight w:val="none"/>
        </w:rPr>
        <w:t>。</w:t>
      </w:r>
      <w:bookmarkStart w:id="42" w:name="_Toc27438"/>
      <w:bookmarkStart w:id="43" w:name="_Toc5540"/>
      <w:bookmarkStart w:id="44" w:name="_Toc1277"/>
      <w:bookmarkStart w:id="45" w:name="_Toc14186"/>
      <w:bookmarkStart w:id="46" w:name="_Toc23380"/>
      <w:bookmarkStart w:id="47" w:name="_Toc19904"/>
      <w:bookmarkStart w:id="48" w:name="_Toc7273"/>
      <w:bookmarkStart w:id="49" w:name="_Toc19404"/>
      <w:bookmarkStart w:id="50" w:name="_Toc11777"/>
      <w:bookmarkStart w:id="51" w:name="_Toc22256"/>
    </w:p>
    <w:p w14:paraId="0FFB8283">
      <w:pPr>
        <w:widowControl/>
        <w:shd w:val="clear" w:color="auto" w:fill="FFFFFF"/>
        <w:wordWrap w:val="0"/>
        <w:spacing w:line="420" w:lineRule="atLeast"/>
        <w:jc w:val="left"/>
        <w:rPr>
          <w:rFonts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4.6报价说明：</w:t>
      </w:r>
    </w:p>
    <w:p w14:paraId="54A06F02">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lang w:val="en-US" w:eastAsia="zh-CN"/>
        </w:rPr>
        <w:t>4.6.</w:t>
      </w:r>
      <w:r>
        <w:rPr>
          <w:rFonts w:hint="eastAsia" w:ascii="宋体" w:hAnsi="宋体" w:cs="宋体"/>
          <w:color w:val="auto"/>
          <w:kern w:val="0"/>
          <w:szCs w:val="21"/>
          <w:highlight w:val="none"/>
          <w:shd w:val="clear" w:color="auto" w:fill="FFFFFF"/>
        </w:rPr>
        <w:t>1报价范围：本次采购范围内规定的所有工程内容，具体详见相关工程量清单。</w:t>
      </w:r>
    </w:p>
    <w:p w14:paraId="5168F503">
      <w:pPr>
        <w:numPr>
          <w:ilvl w:val="0"/>
          <w:numId w:val="0"/>
        </w:numPr>
        <w:spacing w:line="440" w:lineRule="exact"/>
        <w:jc w:val="left"/>
        <w:outlineLvl w:val="0"/>
        <w:rPr>
          <w:rFonts w:hint="default" w:ascii="宋体" w:hAnsi="宋体" w:eastAsia="宋体" w:cs="宋体"/>
          <w:color w:val="auto"/>
          <w:kern w:val="0"/>
          <w:szCs w:val="21"/>
          <w:highlight w:val="none"/>
          <w:shd w:val="clear" w:color="auto" w:fill="FFFFFF"/>
          <w:lang w:val="en-US" w:eastAsia="zh-CN"/>
        </w:rPr>
      </w:pPr>
      <w:r>
        <w:rPr>
          <w:rFonts w:hint="eastAsia" w:ascii="宋体" w:hAnsi="宋体" w:cs="宋体"/>
          <w:color w:val="auto"/>
          <w:kern w:val="0"/>
          <w:szCs w:val="21"/>
          <w:highlight w:val="none"/>
          <w:shd w:val="clear" w:color="auto" w:fill="FFFFFF"/>
          <w:lang w:val="en-US" w:eastAsia="zh-CN"/>
        </w:rPr>
        <w:t>4.6.2</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编制依据：《建设工程工程量清单计价规范》（GB50500—2013）、《重庆市建设工程工程量清单计价规则》（CQJJGZ-2013）、《重庆市建设工程工程量计算规则》CQJLGZ-2013、《重庆市住房和城乡建设委员会关于适用增值税新税率调整建设工程计价依据的通知》（渝建〔2019〕143号）、2018年的重庆市相关定额以及配套文件、国家及地方的技术标准、规范及规程等。</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结合本企业的经营情况、自身实力、现场踏勘所获取的相关信息资料和企业发展策略以及市场行情和</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对工程质量、工期的要求自主进行报价。</w:t>
      </w:r>
    </w:p>
    <w:p w14:paraId="5BDDDF52">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lang w:val="en-US" w:eastAsia="zh-CN"/>
        </w:rPr>
        <w:t>4.6.3</w:t>
      </w:r>
      <w:r>
        <w:rPr>
          <w:rFonts w:hint="eastAsia" w:ascii="宋体" w:hAnsi="宋体" w:cs="宋体"/>
          <w:color w:val="auto"/>
          <w:kern w:val="0"/>
          <w:szCs w:val="21"/>
          <w:highlight w:val="none"/>
          <w:shd w:val="clear" w:color="auto" w:fill="FFFFFF"/>
        </w:rPr>
        <w:t>编制说明：</w:t>
      </w:r>
    </w:p>
    <w:p w14:paraId="1C39F771">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i.本工程量清单中的“项目特征”及“工程内容”描述不作为</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的唯一依据，</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应根据分部分项工程项目清单计价表中“项目特征”及“工程内容”的描述结合</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工程量清单、相关规范和对现场的勘察情况等确定报价。不论其对应的项目特征是否描述完整，都将被认为已包括《建设工程工程量清单计价规范》（GB50500-2013）、《重庆市建设工程工程量清单计价规则》（CQJJGZ-2013）、《重庆市建设工程工程量计算规则》CQJLGZ-2013中相应项目编码和项目名称及相关规范、标准、政策性文件、规定、限制和禁止使用通告等所有工程内容及完成此工作内容而必须的各种主要、辅助工作</w:t>
      </w:r>
    </w:p>
    <w:p w14:paraId="06C30287">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ii.除非合同中另有规定，</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在分部分项工程项目清单计价表中所报的综合单价和合价，以及</w:t>
      </w:r>
      <w:r>
        <w:rPr>
          <w:rFonts w:hint="eastAsia" w:ascii="宋体" w:hAnsi="宋体" w:cs="宋体"/>
          <w:color w:val="auto"/>
          <w:kern w:val="0"/>
          <w:szCs w:val="21"/>
          <w:highlight w:val="none"/>
          <w:shd w:val="clear" w:color="auto" w:fill="FFFFFF"/>
          <w:lang w:eastAsia="zh-CN"/>
        </w:rPr>
        <w:t>谈判总报价</w:t>
      </w:r>
      <w:r>
        <w:rPr>
          <w:rFonts w:hint="eastAsia" w:ascii="宋体" w:hAnsi="宋体" w:cs="宋体"/>
          <w:color w:val="auto"/>
          <w:kern w:val="0"/>
          <w:szCs w:val="21"/>
          <w:highlight w:val="none"/>
          <w:shd w:val="clear" w:color="auto" w:fill="FFFFFF"/>
        </w:rPr>
        <w:t>均包括了</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为实施和完成该工程采购范围所确定的全部工程内容所需的直接费、间接费、管理费、工伤保险费、利润、税金（含销项税额）、措施费、配合费、大型机械进出场费、排污费、二次或多次转运费、安全文明施工费、建设工程竣工档案编制费、风险费、规费、政策性文件规定费用等所有与本工程建设相关的费用，以及施工合同明示或暗示的所有责任、义务和风险。</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的</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视为是一个有经验的</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，在对工程充分了解及对风险充分估计后所作的完备报价。</w:t>
      </w:r>
    </w:p>
    <w:p w14:paraId="3707DD26">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iii.工程量清单所列的工程量系估算的和暂定的数量，仅作为</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的共同基础。付款以实际完成的合格工程量为依据。由成交人计量，采购人核实的实际完成工程量，按具有标价的工程量清单中所报的综合单价结算和支付。</w:t>
      </w:r>
    </w:p>
    <w:p w14:paraId="7602B92B">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iv.</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在编制</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时不得改变采购人提供的分部分项工程项目清单中的项目编码、项目名称、项目特征、工程内容、计量单位、工程量，否则其</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按否决报价处理。</w:t>
      </w:r>
    </w:p>
    <w:p w14:paraId="7B00756F">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v.除非</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予以修改，</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按采购人提供的工程量清单填报《分部分项工程项目清单计价表》；填报《分部分项工程项目清单计价表》时，工程项目和工程量应逐项填报单价和合价，《分部分项工程项目清单计价表》中若有不报价或零报价或负报价的，</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按否决报价处理。每一个项目只允许有一个报价，</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中任何有选择的报价将不予接受。</w:t>
      </w:r>
    </w:p>
    <w:p w14:paraId="179987EB">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vi.除非合同中另有规定，</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的</w:t>
      </w:r>
      <w:r>
        <w:rPr>
          <w:rFonts w:hint="eastAsia" w:ascii="宋体" w:hAnsi="宋体" w:cs="宋体"/>
          <w:color w:val="auto"/>
          <w:kern w:val="0"/>
          <w:szCs w:val="21"/>
          <w:highlight w:val="none"/>
          <w:shd w:val="clear" w:color="auto" w:fill="FFFFFF"/>
          <w:lang w:eastAsia="zh-CN"/>
        </w:rPr>
        <w:t>谈判总报价</w:t>
      </w:r>
      <w:r>
        <w:rPr>
          <w:rFonts w:hint="eastAsia" w:ascii="宋体" w:hAnsi="宋体" w:cs="宋体"/>
          <w:color w:val="auto"/>
          <w:kern w:val="0"/>
          <w:szCs w:val="21"/>
          <w:highlight w:val="none"/>
          <w:shd w:val="clear" w:color="auto" w:fill="FFFFFF"/>
        </w:rPr>
        <w:t>均包括完成该合同工程项目的全部费用，在工程实施时，必须按工程量清单中的项、量和监理工程师指令完成该项目工程内容。</w:t>
      </w:r>
    </w:p>
    <w:p w14:paraId="4C5D9278">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vii.</w:t>
      </w:r>
      <w:r>
        <w:rPr>
          <w:rFonts w:hint="eastAsia" w:ascii="宋体" w:hAnsi="宋体" w:cs="宋体"/>
          <w:color w:val="auto"/>
          <w:kern w:val="0"/>
          <w:szCs w:val="21"/>
          <w:highlight w:val="none"/>
          <w:shd w:val="clear" w:color="auto" w:fill="FFFFFF"/>
          <w:lang w:eastAsia="zh-CN"/>
        </w:rPr>
        <w:t>谈判总报价</w:t>
      </w:r>
      <w:r>
        <w:rPr>
          <w:rFonts w:hint="eastAsia" w:ascii="宋体" w:hAnsi="宋体" w:cs="宋体"/>
          <w:color w:val="auto"/>
          <w:kern w:val="0"/>
          <w:szCs w:val="21"/>
          <w:highlight w:val="none"/>
          <w:shd w:val="clear" w:color="auto" w:fill="FFFFFF"/>
        </w:rPr>
        <w:t>为</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中提出的各项支付金额的总和。分部分项工程项目清单中所列的工程量仅是提供</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作为报价的基础，报价函上的报价必须与商务部分所对应的报价一致，否则其</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按否决报价处理。</w:t>
      </w:r>
    </w:p>
    <w:p w14:paraId="365F4316">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viii.措施项目费清单包括施工组织措施项目清单和施工技术措施项目清单两部分。①施工组织措施项目清单：采购人给出的施工组织措施项目清单仅供</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参考，</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时可参照采购人给出的施工组织措施项目清单并结合本工程的实际情况和国家及重庆市相关管理规定自行增减项目，并进行报价。如果漏项或不报价，视为已包含在其他项目清单综合单价内。②施工技术措施项目清单:技术措施清单中以项计列的项目，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根据现场踏勘情况及本工程的实际情况结合自身施工组织设计，以项为单位自行报价。技术措施清单中以项目编码、项目名称、项目特征、工程内容、工程量及计量单位列项的项目，</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必须按采购人给出的施工技术措施项目清单进行报价，不得擅自变改采购人提供的施工技术措施项目清单中的序号、项目编码、项目名称、项目特征、工程内容、工程量及计量单位，否则视为对</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不作实质性响应，其</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按否决报价处理。但</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可根据本工程的实际情况增加技术措施项目（增加项目均以“项”报价）并进行报价。如果漏项或不报价，视为已包含在其他项目清单综合单价内，结算时不作调整。成交后不论何种因素影响，相应的综合单价不作调整，工程量按《建设工程工程量清单计价规范》（GB50500-2013）规定的计量规则及工程量清单说明按实计量。</w:t>
      </w:r>
    </w:p>
    <w:p w14:paraId="3DF63EC8">
      <w:pPr>
        <w:numPr>
          <w:ilvl w:val="0"/>
          <w:numId w:val="0"/>
        </w:numPr>
        <w:spacing w:line="440" w:lineRule="exact"/>
        <w:jc w:val="left"/>
        <w:outlineLvl w:val="0"/>
        <w:rPr>
          <w:rFonts w:hint="eastAsia" w:ascii="宋体" w:hAnsi="宋体" w:cs="宋体"/>
          <w:color w:val="auto"/>
          <w:kern w:val="0"/>
          <w:szCs w:val="21"/>
          <w:highlight w:val="none"/>
          <w:u w:val="single"/>
          <w:shd w:val="clear" w:color="auto" w:fill="FFFFFF"/>
        </w:rPr>
      </w:pPr>
      <w:r>
        <w:rPr>
          <w:rFonts w:hint="eastAsia" w:ascii="宋体" w:hAnsi="宋体" w:cs="宋体"/>
          <w:color w:val="auto"/>
          <w:kern w:val="0"/>
          <w:szCs w:val="21"/>
          <w:highlight w:val="none"/>
          <w:shd w:val="clear" w:color="auto" w:fill="FFFFFF"/>
        </w:rPr>
        <w:t>ix.安全文明施工费：安全文明施工费由安全施工费、文明施工费、环境保护费及临时设施费组成。</w:t>
      </w:r>
      <w:r>
        <w:rPr>
          <w:rFonts w:hint="eastAsia" w:ascii="宋体" w:hAnsi="宋体" w:cs="宋体"/>
          <w:color w:val="auto"/>
          <w:kern w:val="0"/>
          <w:szCs w:val="21"/>
          <w:highlight w:val="none"/>
          <w:u w:val="single"/>
          <w:shd w:val="clear" w:color="auto" w:fill="FFFFFF"/>
        </w:rPr>
        <w:t>本项目安全文明施工费报价人统一暂按4114.15元（大写：肆仟壹佰壹拾肆元壹角伍分）计取，否则，其谈判文件作否决报价处理。</w:t>
      </w:r>
    </w:p>
    <w:p w14:paraId="22FD1E72">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u w:val="single"/>
          <w:shd w:val="clear" w:color="auto" w:fill="FFFFFF"/>
        </w:rPr>
        <w:t>《报价函》中的安全文明施工费必须填报，填报金额必须4114.15元（大写：肆仟壹佰壹拾肆元壹角伍分），否则，</w:t>
      </w:r>
      <w:r>
        <w:rPr>
          <w:rFonts w:hint="eastAsia" w:ascii="宋体" w:hAnsi="宋体" w:cs="宋体"/>
          <w:color w:val="auto"/>
          <w:kern w:val="0"/>
          <w:szCs w:val="21"/>
          <w:highlight w:val="none"/>
          <w:u w:val="single"/>
          <w:shd w:val="clear" w:color="auto" w:fill="FFFFFF"/>
          <w:lang w:eastAsia="zh-CN"/>
        </w:rPr>
        <w:t>谈判文件</w:t>
      </w:r>
      <w:r>
        <w:rPr>
          <w:rFonts w:hint="eastAsia" w:ascii="宋体" w:hAnsi="宋体" w:cs="宋体"/>
          <w:color w:val="auto"/>
          <w:kern w:val="0"/>
          <w:szCs w:val="21"/>
          <w:highlight w:val="none"/>
          <w:u w:val="single"/>
          <w:shd w:val="clear" w:color="auto" w:fill="FFFFFF"/>
        </w:rPr>
        <w:t>作否决报价处理。</w:t>
      </w:r>
      <w:r>
        <w:rPr>
          <w:rFonts w:hint="eastAsia" w:ascii="宋体" w:hAnsi="宋体" w:cs="宋体"/>
          <w:color w:val="auto"/>
          <w:kern w:val="0"/>
          <w:szCs w:val="21"/>
          <w:highlight w:val="none"/>
          <w:shd w:val="clear" w:color="auto" w:fill="FFFFFF"/>
        </w:rPr>
        <w:t>结算时，安全文明施工费按《关于印发&lt;重庆市建设工程安全文明施工费计取及使用管理规定&gt;的通知》（渝建发[2014]25号）、《重庆市住房和城乡建设委员会关于适用增值税新税率调整建设工程计价依据的通知》（渝建〔2019〕143号）及2018年重庆市建设工程费用定额规定计取。安全文明施工的要求与内容、提取支付方法以及违反约定造成损失的赔偿等条款，按照现行文件要求执行，做到专款专用。根据渝建发【2011】607号文规定，成交人在施工过程中必须按《建筑工程施工围挡（Ⅱ）》（编号为 DJBT-062，图集号为11J03）标准设置施工围挡</w:t>
      </w:r>
    </w:p>
    <w:p w14:paraId="2F57094C">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本工程建设工程竣工档案编制费以及企业管理费和组织措施费分别按（渝建发[2014]26号）、《重庆市住房和城乡建设委员会关于适用增值税新税率调整建设工程计价依据的通知》（渝建〔2019〕143号）、《重庆市住房和城乡建设委员会关于调整企业管理费和组织措施费内容及费用标准的通知》（渝建发[2014]27号）文件要求结合企业实力自主进行报价</w:t>
      </w:r>
    </w:p>
    <w:p w14:paraId="3BAFABB4">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xi.本工程规费按2018年《重庆市建设工程费用定额》的标准计取否则视为对</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不作实质性响应，其</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按否决报价处理</w:t>
      </w:r>
    </w:p>
    <w:p w14:paraId="6DCC377D">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xii.工伤保险费按渝人社发［2015］197号文件执行</w:t>
      </w:r>
    </w:p>
    <w:p w14:paraId="2C810FD2">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xiii.</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在其</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应充分考虑各项措施费用包括但不限于：临时水、电、脚手架和仓储用地、用房、人员食宿、建筑垃圾清运、排污费、材料及半成品的二次或多次转运、成品保护、所拆除的建筑构件及材料场内二次或多次转运等所引起的费用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中，采购人对此类费用不另行支付，施工现场不具备堆放物资、材料的条件，</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应根据采购人要求地点搭设临设，同时</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应将从临设至施工地点的材料、半成品、成品、设备等转运及其他可能产生的相关费用纳入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中，采购人对此不再另行支付费用。</w:t>
      </w:r>
    </w:p>
    <w:p w14:paraId="68DB5668">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xiv.成交人自行负责施工用水（含水源）、用电（含电源）及其接口，其费用由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结算时采购人不支付此类费用。成交人必须结合施工场地供水、供电的实际情况，负责接至各施工点并对安全负责，并根据实际情况配备必要发电设备和水压增压设备等。由此发生的所有费用（包括搭接费、水电费、协调费、设备设施费等）已包含在</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中，工程结算时采购人不另行支付该费用。</w:t>
      </w:r>
    </w:p>
    <w:p w14:paraId="1ADDC296">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v.包括但不限于建筑垃圾、余土石方、淤泥、混凝土浆、机械生产所需的汽油（机油）等按环保要求进行处理，并由成交人自行外运，由此所发生的一切费用（包括但不限于建筑垃圾的收集处理、弃土场道路的修建和维护、弃渣费、运输道路沿线的清扫、易撒漏物资密闭运输费以及措施费等）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中，成交后采购人不作任何调整。成交人由于余土石方及建筑垃圾的弃置所造成的一切赔偿由成交人自行负责并承担费用。</w:t>
      </w:r>
    </w:p>
    <w:p w14:paraId="0D6D719A">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vi.成交单位必须注意安全防范，建筑材料不得乱堆乱放，充分考虑采取措施保护施工人员、过往行人等安全，按规定设置围墙、护栏、安全警示标志、警示照明、警示语等。由此而采取的一切措施所发生的费用已含在综合单价、合价中，</w:t>
      </w:r>
      <w:r>
        <w:rPr>
          <w:rFonts w:hint="eastAsia" w:ascii="宋体" w:hAnsi="宋体" w:cs="宋体"/>
          <w:color w:val="auto"/>
          <w:kern w:val="0"/>
          <w:szCs w:val="21"/>
          <w:highlight w:val="none"/>
          <w:shd w:val="clear" w:color="auto" w:fill="FFFFFF"/>
          <w:lang w:eastAsia="zh-CN"/>
        </w:rPr>
        <w:t>采购人</w:t>
      </w:r>
      <w:r>
        <w:rPr>
          <w:rFonts w:hint="eastAsia" w:ascii="宋体" w:hAnsi="宋体" w:cs="宋体"/>
          <w:color w:val="auto"/>
          <w:kern w:val="0"/>
          <w:szCs w:val="21"/>
          <w:highlight w:val="none"/>
          <w:shd w:val="clear" w:color="auto" w:fill="FFFFFF"/>
        </w:rPr>
        <w:t>不再另行支付该项费用。若在施工期间由于施工措施或防护措施不当而造成的一切安全事故的，其全部安全责任和经济责任均由成交人自行承担，采购人不承担连带责任。</w:t>
      </w:r>
    </w:p>
    <w:p w14:paraId="7495ED2F">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xvii.成交人应保持施工区域内及周边现有道路、周边企业建设的进出道路的畅通，以及对相关设施的保护等，请</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充分考虑，其费用全部纳入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中。因本工程场地受限，红线范围内不提供现场办公和生活区的搭建场地，</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应充分考虑现场实际情况，选址由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自行解决，采购人不提供使用场地，所发生费用由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综合考虑进入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中，不再另行计价。</w:t>
      </w:r>
    </w:p>
    <w:p w14:paraId="31DB5DAB">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viii.本工程施工期间成交人须保护施工场地范围内地上（地下）各种管线、施工现场周边的建、构筑物，成交单位所采取保护措施而发生的相关费用（包括人、材、机停窝工、管线保护费、作业方式的调整等）由成交人承担，若成交人对管线和建、构筑物造成损坏或破坏的，由成交人负责修复并承担所有经济责任和法律责任，采购人不承担任何连带责任。</w:t>
      </w:r>
    </w:p>
    <w:p w14:paraId="66360CB7">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xix.</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应充分了解工地位置，若多家施工单位现场交叉作业时，成交人须无条件的服从采购人统一安排，否则立即无条件清离现场。一切损失由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自行承担，因此给采购人造成的损失，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必须承担赔偿。由于交叉作业增加的各种费用由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中，采购人不另支付其它费用和调整成交价。</w:t>
      </w:r>
    </w:p>
    <w:p w14:paraId="473B9408">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xx.若因采购人原因（如:工程设计变更、项目增减或征地拆迁不及时等）造成人、材、机停（窝）工、工期延长等，其相关费用由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中，采购人不另行支付其它费用或调整成交单价，但影响的工期，采购人同意顺延。</w:t>
      </w:r>
    </w:p>
    <w:p w14:paraId="074061C2">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xxi.若因成交人原因，造成总工期延误的，每延误一日历天则向采购人支付违约金</w:t>
      </w:r>
      <w:r>
        <w:rPr>
          <w:rFonts w:hint="eastAsia" w:ascii="宋体" w:hAnsi="宋体" w:cs="宋体"/>
          <w:color w:val="auto"/>
          <w:kern w:val="0"/>
          <w:szCs w:val="21"/>
          <w:highlight w:val="none"/>
          <w:u w:val="single"/>
          <w:shd w:val="clear" w:color="auto" w:fill="FFFFFF"/>
          <w:lang w:val="en-US" w:eastAsia="zh-CN"/>
        </w:rPr>
        <w:t>3000</w:t>
      </w:r>
      <w:r>
        <w:rPr>
          <w:rFonts w:hint="eastAsia" w:ascii="宋体" w:hAnsi="宋体" w:cs="宋体"/>
          <w:color w:val="auto"/>
          <w:kern w:val="0"/>
          <w:szCs w:val="21"/>
          <w:highlight w:val="none"/>
          <w:u w:val="single"/>
          <w:shd w:val="clear" w:color="auto" w:fill="FFFFFF"/>
        </w:rPr>
        <w:t>元</w:t>
      </w:r>
      <w:r>
        <w:rPr>
          <w:rFonts w:hint="eastAsia" w:ascii="宋体" w:hAnsi="宋体" w:cs="宋体"/>
          <w:color w:val="auto"/>
          <w:kern w:val="0"/>
          <w:szCs w:val="21"/>
          <w:highlight w:val="none"/>
          <w:shd w:val="clear" w:color="auto" w:fill="FFFFFF"/>
        </w:rPr>
        <w:t>，依此类推，</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在报价时充分考虑此因素。</w:t>
      </w:r>
    </w:p>
    <w:p w14:paraId="6C8670D5">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xxii.本工程因工期紧，任务重，成交人应根据工期要求，合理安排机械设备及人员的投入，所发生的一切费用由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 。</w:t>
      </w:r>
    </w:p>
    <w:p w14:paraId="3D67015F">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xxiii.材料：除</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及其附件内明确的甲供材以外，其余材料为成交人供应。</w:t>
      </w:r>
    </w:p>
    <w:p w14:paraId="64AF6BE5">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（1）材料价格按不含税价格确定，其进项税额按《重庆市住房和城乡建设委员会关于适用增值税新税率调整建设工程计价依据的通知》（渝建〔2019〕143号）执行。</w:t>
      </w:r>
    </w:p>
    <w:p w14:paraId="4220A31F">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（2）本工程的所有材料须先检测合格后方可施工，本项目建筑工程部分的质量检测按渝建 [2015]420 号文件规定执行；施工单位应为取样送检单位在施工现场开展有关工作提供条件，相关费用由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自行考虑并包含在</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中，不再调整。</w:t>
      </w:r>
    </w:p>
    <w:p w14:paraId="0BC110DB">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（3）</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在报价时应充分考虑整个施工期内材料、设备的涨价因素，</w:t>
      </w:r>
      <w:r>
        <w:rPr>
          <w:rFonts w:hint="eastAsia" w:ascii="宋体" w:hAnsi="宋体" w:cs="宋体"/>
          <w:color w:val="auto"/>
          <w:kern w:val="0"/>
          <w:szCs w:val="21"/>
          <w:highlight w:val="none"/>
          <w:shd w:val="clear" w:color="auto" w:fill="FFFFFF"/>
        </w:rPr>
        <w:t>对施工期间主要材料价格变化</w:t>
      </w:r>
      <w:r>
        <w:rPr>
          <w:rFonts w:hint="eastAsia" w:ascii="宋体" w:hAnsi="宋体" w:cs="宋体"/>
          <w:color w:val="auto"/>
          <w:kern w:val="0"/>
          <w:szCs w:val="21"/>
          <w:highlight w:val="none"/>
          <w:shd w:val="clear" w:color="auto" w:fill="FFFFFF"/>
          <w:lang w:val="en-US" w:eastAsia="zh-CN"/>
        </w:rPr>
        <w:t>不</w:t>
      </w:r>
      <w:r>
        <w:rPr>
          <w:rFonts w:hint="eastAsia" w:ascii="宋体" w:hAnsi="宋体" w:cs="宋体"/>
          <w:color w:val="auto"/>
          <w:kern w:val="0"/>
          <w:szCs w:val="21"/>
          <w:highlight w:val="none"/>
          <w:shd w:val="clear" w:color="auto" w:fill="FFFFFF"/>
        </w:rPr>
        <w:t>进行调整。</w:t>
      </w:r>
    </w:p>
    <w:p w14:paraId="66DCE7A5">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xxiv.本工程风险：①</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应先到工地踏勘以充分了解工地位置、道路、储存空间、装卸限制等任何其它足以影响报价的情况，任何因忽视或误解工地情况而导致的索赔或工期延长申请将不获批准；②</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的</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应结合当地市场价格，充分考虑本工程的施工条件、踏勘现场的实际情况及本工程的相关潜在风险（本工程施工期间若人工费、机械费价格上涨，结算时人工费、机械费价格均不作调整），依据本企业自身实力、技术及管理水平等自主报价；③本工程在施工过程中，采购人有权修改该工程的量、项等相关内容，成交人必须无条件接受，并不得因此要求采购人在</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规定以外的计价原则另行计价，各</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须充分考虑由此产生的风险及费用</w:t>
      </w:r>
    </w:p>
    <w:p w14:paraId="00B18408">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v.税金：①进项税额计算方法：按《重庆市住房和城乡建设委员会关于适用增值税新税率调整建设工程计价依据的通知》（渝建〔2019〕143号）文件规定执行；②销项税额计算方法：按《重庆市住房和城乡建设委员会关于适用增值税新税率调整建设工程计价依据的通知》（渝建〔2019〕143号）文件规定执行；③如有最新相关文件出台，按最新文件执行</w:t>
      </w:r>
    </w:p>
    <w:p w14:paraId="60F1F4D4">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xxvi.本工程设置</w:t>
      </w:r>
      <w:r>
        <w:rPr>
          <w:rFonts w:hint="eastAsia" w:ascii="宋体" w:hAnsi="宋体" w:cs="宋体"/>
          <w:color w:val="auto"/>
          <w:kern w:val="0"/>
          <w:szCs w:val="21"/>
          <w:highlight w:val="none"/>
          <w:shd w:val="clear" w:color="auto" w:fill="FFFFFF"/>
          <w:lang w:eastAsia="zh-CN"/>
        </w:rPr>
        <w:t>谈判总报价</w:t>
      </w:r>
      <w:r>
        <w:rPr>
          <w:rFonts w:hint="eastAsia" w:ascii="宋体" w:hAnsi="宋体" w:cs="宋体"/>
          <w:color w:val="auto"/>
          <w:kern w:val="0"/>
          <w:szCs w:val="21"/>
          <w:highlight w:val="none"/>
          <w:shd w:val="clear" w:color="auto" w:fill="FFFFFF"/>
        </w:rPr>
        <w:t>最高限价，本工程</w:t>
      </w:r>
      <w:r>
        <w:rPr>
          <w:rFonts w:hint="eastAsia" w:ascii="宋体" w:hAnsi="宋体" w:cs="宋体"/>
          <w:color w:val="auto"/>
          <w:kern w:val="0"/>
          <w:szCs w:val="21"/>
          <w:highlight w:val="none"/>
          <w:shd w:val="clear" w:color="auto" w:fill="FFFFFF"/>
          <w:lang w:eastAsia="zh-CN"/>
        </w:rPr>
        <w:t>谈判总报价</w:t>
      </w:r>
      <w:r>
        <w:rPr>
          <w:rFonts w:hint="eastAsia" w:ascii="宋体" w:hAnsi="宋体" w:cs="宋体"/>
          <w:color w:val="auto"/>
          <w:kern w:val="0"/>
          <w:szCs w:val="21"/>
          <w:highlight w:val="none"/>
          <w:shd w:val="clear" w:color="auto" w:fill="FFFFFF"/>
        </w:rPr>
        <w:t>最高限价为：</w:t>
      </w:r>
      <w:r>
        <w:rPr>
          <w:rFonts w:hint="eastAsia" w:ascii="宋体" w:hAnsi="宋体" w:cs="宋体"/>
          <w:color w:val="auto"/>
          <w:kern w:val="0"/>
          <w:szCs w:val="21"/>
          <w:highlight w:val="none"/>
          <w:u w:val="single"/>
          <w:shd w:val="clear" w:color="auto" w:fill="FFFFFF"/>
        </w:rPr>
        <w:t>123122.97元（大写：壹拾贰万叁仟壹佰贰拾贰元玖角柒分）</w:t>
      </w:r>
      <w:r>
        <w:rPr>
          <w:rFonts w:hint="eastAsia" w:ascii="宋体" w:hAnsi="宋体" w:cs="宋体"/>
          <w:color w:val="auto"/>
          <w:kern w:val="0"/>
          <w:szCs w:val="21"/>
          <w:highlight w:val="none"/>
          <w:shd w:val="clear" w:color="auto" w:fill="FFFFFF"/>
        </w:rPr>
        <w:t>。</w:t>
      </w:r>
      <w:r>
        <w:rPr>
          <w:rFonts w:hint="eastAsia" w:ascii="宋体" w:hAnsi="宋体" w:cs="宋体"/>
          <w:color w:val="auto"/>
          <w:kern w:val="0"/>
          <w:szCs w:val="21"/>
          <w:highlight w:val="none"/>
          <w:shd w:val="clear" w:color="auto" w:fill="FFFFFF"/>
        </w:rPr>
        <w:t>大于</w:t>
      </w:r>
      <w:r>
        <w:rPr>
          <w:rFonts w:hint="eastAsia" w:ascii="宋体" w:hAnsi="宋体" w:cs="宋体"/>
          <w:color w:val="auto"/>
          <w:kern w:val="0"/>
          <w:szCs w:val="21"/>
          <w:highlight w:val="none"/>
          <w:shd w:val="clear" w:color="auto" w:fill="FFFFFF"/>
          <w:lang w:eastAsia="zh-CN"/>
        </w:rPr>
        <w:t>竞价</w:t>
      </w:r>
      <w:r>
        <w:rPr>
          <w:rFonts w:hint="eastAsia" w:ascii="宋体" w:hAnsi="宋体" w:cs="宋体"/>
          <w:color w:val="auto"/>
          <w:kern w:val="0"/>
          <w:szCs w:val="21"/>
          <w:highlight w:val="none"/>
          <w:shd w:val="clear" w:color="auto" w:fill="FFFFFF"/>
        </w:rPr>
        <w:t>最高限价的为无效报价，其</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作否决报价处理。</w:t>
      </w:r>
    </w:p>
    <w:p w14:paraId="32E10039">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本工程将设置全部工程量清单综合单价最高限价，</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的每项清单综合单价报价不得超过每项清单综合单价最高限价，所有分部分项工程量清单综合单价报价最高限价详见附件。</w:t>
      </w:r>
    </w:p>
    <w:p w14:paraId="0ACC2D95">
      <w:pPr>
        <w:numPr>
          <w:ilvl w:val="0"/>
          <w:numId w:val="0"/>
        </w:numPr>
        <w:spacing w:line="440" w:lineRule="exact"/>
        <w:jc w:val="left"/>
        <w:outlineLvl w:val="0"/>
        <w:rPr>
          <w:rFonts w:hint="default" w:ascii="宋体" w:hAnsi="宋体" w:cs="宋体"/>
          <w:color w:val="auto"/>
          <w:kern w:val="0"/>
          <w:szCs w:val="21"/>
          <w:highlight w:val="none"/>
          <w:shd w:val="clear" w:color="auto" w:fill="FFFFFF"/>
          <w:lang w:val="en-US" w:eastAsia="zh-CN"/>
        </w:rPr>
      </w:pPr>
      <w:r>
        <w:rPr>
          <w:rFonts w:hint="eastAsia" w:ascii="宋体" w:hAnsi="宋体" w:cs="宋体"/>
          <w:color w:val="auto"/>
          <w:kern w:val="0"/>
          <w:szCs w:val="21"/>
          <w:highlight w:val="none"/>
          <w:shd w:val="clear" w:color="auto" w:fill="FFFFFF"/>
          <w:lang w:val="en-US" w:eastAsia="zh-CN"/>
        </w:rPr>
        <w:t>4.6.4特别说明：本工程涉及改造区域广，改造内容零星等情况，请报价人尽可能做好现场情况了解，无论报价人是否踏勘了解均视为已对现场进行踏勘了解，报价人报价视为已了解现场情况的报价。</w:t>
      </w:r>
    </w:p>
    <w:p w14:paraId="1AF9E08B">
      <w:pPr>
        <w:numPr>
          <w:ilvl w:val="0"/>
          <w:numId w:val="0"/>
        </w:num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lang w:val="en-US" w:eastAsia="zh-CN"/>
        </w:rPr>
        <w:t>5.</w:t>
      </w:r>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办法</w:t>
      </w:r>
    </w:p>
    <w:p w14:paraId="040708D0">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5.1本次</w:t>
      </w:r>
      <w:r>
        <w:rPr>
          <w:rFonts w:hint="eastAsia" w:ascii="宋体" w:hAnsi="宋体" w:cs="宋体"/>
          <w:color w:val="auto"/>
          <w:kern w:val="0"/>
          <w:szCs w:val="21"/>
          <w:highlight w:val="none"/>
          <w:shd w:val="clear" w:color="auto" w:fill="FFFFFF"/>
          <w:lang w:eastAsia="zh-CN"/>
        </w:rPr>
        <w:t>谈判采购</w:t>
      </w:r>
      <w:r>
        <w:rPr>
          <w:rFonts w:hint="eastAsia" w:ascii="宋体" w:hAnsi="宋体" w:cs="宋体"/>
          <w:color w:val="auto"/>
          <w:kern w:val="0"/>
          <w:szCs w:val="21"/>
          <w:highlight w:val="none"/>
          <w:shd w:val="clear" w:color="auto" w:fill="FFFFFF"/>
        </w:rPr>
        <w:t>采取</w:t>
      </w:r>
      <w:r>
        <w:rPr>
          <w:rFonts w:hint="eastAsia" w:ascii="宋体" w:hAnsi="宋体" w:cs="宋体"/>
          <w:color w:val="auto"/>
          <w:kern w:val="0"/>
          <w:szCs w:val="21"/>
          <w:highlight w:val="none"/>
          <w:u w:val="single"/>
          <w:shd w:val="clear" w:color="auto" w:fill="FFFFFF"/>
        </w:rPr>
        <w:t>经评审的最低价法</w:t>
      </w:r>
      <w:r>
        <w:rPr>
          <w:rFonts w:hint="eastAsia" w:ascii="宋体" w:hAnsi="宋体" w:cs="宋体"/>
          <w:color w:val="auto"/>
          <w:kern w:val="0"/>
          <w:szCs w:val="21"/>
          <w:highlight w:val="none"/>
          <w:shd w:val="clear" w:color="auto" w:fill="FFFFFF"/>
        </w:rPr>
        <w:t>。</w:t>
      </w:r>
    </w:p>
    <w:p w14:paraId="08FBAC3F">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对报价不高于最高限价的所有</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的</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，进入符合性审查。</w:t>
      </w:r>
    </w:p>
    <w:p w14:paraId="1CA538D7">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符合性审查合格的</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中，在规定时间内多轮次公开竞争报价</w:t>
      </w:r>
      <w:r>
        <w:rPr>
          <w:rFonts w:hint="eastAsia" w:ascii="宋体" w:hAnsi="宋体" w:cs="宋体"/>
          <w:color w:val="auto"/>
          <w:kern w:val="0"/>
          <w:szCs w:val="21"/>
          <w:highlight w:val="none"/>
          <w:shd w:val="clear" w:color="auto" w:fill="FFFFFF"/>
          <w:lang w:eastAsia="zh-CN"/>
        </w:rPr>
        <w:t>，按照最终报价</w:t>
      </w:r>
    </w:p>
    <w:p w14:paraId="1C5CFC5B">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lang w:eastAsia="zh-CN"/>
        </w:rPr>
        <w:t>最终报价</w:t>
      </w:r>
      <w:r>
        <w:rPr>
          <w:rFonts w:hint="eastAsia" w:ascii="宋体" w:hAnsi="宋体" w:cs="宋体"/>
          <w:color w:val="auto"/>
          <w:kern w:val="0"/>
          <w:szCs w:val="21"/>
          <w:highlight w:val="none"/>
          <w:shd w:val="clear" w:color="auto" w:fill="FFFFFF"/>
        </w:rPr>
        <w:t>最</w:t>
      </w:r>
      <w:r>
        <w:rPr>
          <w:rFonts w:hint="eastAsia" w:ascii="宋体" w:hAnsi="宋体" w:cs="宋体"/>
          <w:color w:val="auto"/>
          <w:kern w:val="0"/>
          <w:szCs w:val="21"/>
          <w:highlight w:val="none"/>
          <w:shd w:val="clear" w:color="auto" w:fill="FFFFFF"/>
          <w:lang w:val="en-US" w:eastAsia="zh-CN"/>
        </w:rPr>
        <w:t>低</w:t>
      </w:r>
      <w:r>
        <w:rPr>
          <w:rFonts w:hint="eastAsia" w:ascii="宋体" w:hAnsi="宋体" w:cs="宋体"/>
          <w:color w:val="auto"/>
          <w:kern w:val="0"/>
          <w:szCs w:val="21"/>
          <w:highlight w:val="none"/>
          <w:shd w:val="clear" w:color="auto" w:fill="FFFFFF"/>
        </w:rPr>
        <w:t>的成为第一成交候选人，</w:t>
      </w:r>
      <w:r>
        <w:rPr>
          <w:rFonts w:hint="eastAsia" w:ascii="宋体" w:hAnsi="宋体" w:cs="宋体"/>
          <w:color w:val="auto"/>
          <w:kern w:val="0"/>
          <w:szCs w:val="21"/>
          <w:highlight w:val="none"/>
          <w:shd w:val="clear" w:color="auto" w:fill="FFFFFF"/>
          <w:lang w:eastAsia="zh-CN"/>
        </w:rPr>
        <w:t>最终报价</w:t>
      </w:r>
      <w:r>
        <w:rPr>
          <w:rFonts w:hint="eastAsia" w:ascii="宋体" w:hAnsi="宋体" w:cs="宋体"/>
          <w:color w:val="auto"/>
          <w:kern w:val="0"/>
          <w:szCs w:val="21"/>
          <w:highlight w:val="none"/>
          <w:shd w:val="clear" w:color="auto" w:fill="FFFFFF"/>
        </w:rPr>
        <w:t>最</w:t>
      </w:r>
      <w:r>
        <w:rPr>
          <w:rFonts w:hint="eastAsia" w:ascii="宋体" w:hAnsi="宋体" w:cs="宋体"/>
          <w:color w:val="auto"/>
          <w:kern w:val="0"/>
          <w:szCs w:val="21"/>
          <w:highlight w:val="none"/>
          <w:shd w:val="clear" w:color="auto" w:fill="FFFFFF"/>
          <w:lang w:val="en-US" w:eastAsia="zh-CN"/>
        </w:rPr>
        <w:t>次低</w:t>
      </w:r>
      <w:r>
        <w:rPr>
          <w:rFonts w:hint="eastAsia" w:ascii="宋体" w:hAnsi="宋体" w:cs="宋体"/>
          <w:color w:val="auto"/>
          <w:kern w:val="0"/>
          <w:szCs w:val="21"/>
          <w:highlight w:val="none"/>
          <w:shd w:val="clear" w:color="auto" w:fill="FFFFFF"/>
        </w:rPr>
        <w:t>的成为第二成交候选人，依次类推。</w:t>
      </w:r>
      <w:r>
        <w:rPr>
          <w:rFonts w:hint="eastAsia" w:ascii="宋体" w:hAnsi="宋体" w:cs="宋体"/>
          <w:color w:val="auto"/>
          <w:kern w:val="0"/>
          <w:szCs w:val="21"/>
          <w:highlight w:val="none"/>
          <w:shd w:val="clear" w:color="auto" w:fill="FFFFFF"/>
          <w:lang w:eastAsia="zh-CN"/>
        </w:rPr>
        <w:t>最终报价</w:t>
      </w:r>
      <w:r>
        <w:rPr>
          <w:rFonts w:hint="eastAsia" w:ascii="宋体" w:hAnsi="宋体" w:cs="宋体"/>
          <w:color w:val="auto"/>
          <w:kern w:val="0"/>
          <w:szCs w:val="21"/>
          <w:highlight w:val="none"/>
          <w:shd w:val="clear" w:color="auto" w:fill="FFFFFF"/>
        </w:rPr>
        <w:t>相等时，</w:t>
      </w:r>
      <w:r>
        <w:rPr>
          <w:rFonts w:hint="eastAsia" w:ascii="宋体" w:hAnsi="宋体" w:cs="宋体"/>
          <w:color w:val="auto"/>
          <w:kern w:val="0"/>
          <w:szCs w:val="21"/>
          <w:highlight w:val="none"/>
          <w:shd w:val="clear" w:color="auto" w:fill="FFFFFF"/>
          <w:lang w:eastAsia="zh-CN"/>
        </w:rPr>
        <w:t>最终报价</w:t>
      </w:r>
      <w:r>
        <w:rPr>
          <w:rFonts w:hint="eastAsia" w:ascii="宋体" w:hAnsi="宋体" w:cs="宋体"/>
          <w:color w:val="auto"/>
          <w:kern w:val="0"/>
          <w:szCs w:val="21"/>
          <w:highlight w:val="none"/>
          <w:shd w:val="clear" w:color="auto" w:fill="FFFFFF"/>
          <w:lang w:val="en-US" w:eastAsia="zh-CN"/>
        </w:rPr>
        <w:t>相同的报价人再次进行</w:t>
      </w:r>
      <w:r>
        <w:rPr>
          <w:rFonts w:hint="eastAsia" w:ascii="宋体" w:hAnsi="宋体" w:cs="宋体"/>
          <w:color w:val="auto"/>
          <w:kern w:val="0"/>
          <w:szCs w:val="21"/>
          <w:highlight w:val="none"/>
          <w:shd w:val="clear" w:color="auto" w:fill="FFFFFF"/>
        </w:rPr>
        <w:t>竞争报价。</w:t>
      </w:r>
    </w:p>
    <w:p w14:paraId="561A13F1">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因谈判小组作否决处理，导致有效</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不足三个的，谈判小组应当否决所有</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w:t>
      </w:r>
    </w:p>
    <w:p w14:paraId="6B10970D">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6.</w:t>
      </w:r>
      <w:r>
        <w:rPr>
          <w:rFonts w:hint="eastAsia" w:ascii="宋体" w:hAnsi="宋体"/>
          <w:b/>
          <w:snapToGrid w:val="0"/>
          <w:color w:val="auto"/>
          <w:kern w:val="0"/>
          <w:szCs w:val="21"/>
          <w:highlight w:val="none"/>
          <w:lang w:eastAsia="zh-CN"/>
        </w:rPr>
        <w:t>谈判采购文件</w:t>
      </w:r>
      <w:r>
        <w:rPr>
          <w:rFonts w:hint="eastAsia" w:ascii="宋体" w:hAnsi="宋体"/>
          <w:b/>
          <w:snapToGrid w:val="0"/>
          <w:color w:val="auto"/>
          <w:kern w:val="0"/>
          <w:szCs w:val="21"/>
          <w:highlight w:val="none"/>
        </w:rPr>
        <w:t>的获取</w:t>
      </w:r>
      <w:bookmarkEnd w:id="42"/>
      <w:bookmarkEnd w:id="43"/>
      <w:bookmarkEnd w:id="44"/>
      <w:bookmarkEnd w:id="45"/>
      <w:bookmarkEnd w:id="46"/>
      <w:bookmarkEnd w:id="47"/>
      <w:bookmarkEnd w:id="48"/>
      <w:bookmarkEnd w:id="49"/>
      <w:bookmarkEnd w:id="50"/>
      <w:bookmarkEnd w:id="51"/>
    </w:p>
    <w:p w14:paraId="18EA8471">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bookmarkStart w:id="52" w:name="_Toc24060"/>
      <w:bookmarkStart w:id="53" w:name="_Toc1075"/>
      <w:bookmarkStart w:id="54" w:name="_Toc4653"/>
      <w:bookmarkStart w:id="55" w:name="_Toc21446"/>
      <w:bookmarkStart w:id="56" w:name="_Toc784"/>
      <w:bookmarkStart w:id="57" w:name="_Toc5692"/>
      <w:r>
        <w:rPr>
          <w:rFonts w:hint="eastAsia" w:ascii="宋体" w:hAnsi="宋体" w:cs="宋体"/>
          <w:color w:val="auto"/>
          <w:szCs w:val="21"/>
          <w:highlight w:val="none"/>
        </w:rPr>
        <w:t>6.1 凡有意参加</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者，请于北京时间</w:t>
      </w:r>
      <w:r>
        <w:rPr>
          <w:rFonts w:hint="eastAsia" w:ascii="宋体" w:hAnsi="宋体" w:cs="宋体"/>
          <w:color w:val="auto"/>
          <w:szCs w:val="21"/>
          <w:highlight w:val="none"/>
          <w:u w:val="single"/>
          <w:lang w:bidi="ar"/>
        </w:rPr>
        <w:t>202</w:t>
      </w:r>
      <w:r>
        <w:rPr>
          <w:rFonts w:hint="eastAsia" w:ascii="宋体" w:hAnsi="宋体" w:cs="宋体"/>
          <w:color w:val="auto"/>
          <w:szCs w:val="21"/>
          <w:highlight w:val="none"/>
          <w:u w:val="single"/>
          <w:lang w:val="en-US" w:eastAsia="zh-CN" w:bidi="ar"/>
        </w:rPr>
        <w:t>6</w:t>
      </w:r>
      <w:r>
        <w:rPr>
          <w:rFonts w:hint="eastAsia" w:ascii="宋体" w:hAnsi="宋体" w:cs="宋体"/>
          <w:color w:val="auto"/>
          <w:szCs w:val="21"/>
          <w:highlight w:val="none"/>
          <w:lang w:bidi="ar"/>
        </w:rPr>
        <w:t>年</w:t>
      </w:r>
      <w:r>
        <w:rPr>
          <w:rFonts w:hint="eastAsia" w:ascii="宋体" w:hAnsi="宋体" w:cs="宋体"/>
          <w:color w:val="auto"/>
          <w:szCs w:val="21"/>
          <w:highlight w:val="none"/>
          <w:u w:val="single"/>
          <w:lang w:val="en-US" w:eastAsia="zh-CN" w:bidi="ar"/>
        </w:rPr>
        <w:t>9</w:t>
      </w:r>
      <w:r>
        <w:rPr>
          <w:rFonts w:hint="eastAsia" w:ascii="宋体" w:hAnsi="宋体" w:cs="宋体"/>
          <w:color w:val="auto"/>
          <w:szCs w:val="21"/>
          <w:highlight w:val="none"/>
          <w:lang w:bidi="ar"/>
        </w:rPr>
        <w:t>月</w:t>
      </w:r>
      <w:r>
        <w:rPr>
          <w:rFonts w:hint="eastAsia" w:ascii="宋体" w:hAnsi="宋体" w:cs="宋体"/>
          <w:color w:val="auto"/>
          <w:szCs w:val="21"/>
          <w:highlight w:val="none"/>
          <w:lang w:val="en-US" w:eastAsia="zh-CN" w:bidi="ar"/>
        </w:rPr>
        <w:t>16</w:t>
      </w:r>
      <w:r>
        <w:rPr>
          <w:rFonts w:hint="eastAsia" w:ascii="宋体" w:hAnsi="宋体" w:cs="宋体"/>
          <w:color w:val="auto"/>
          <w:szCs w:val="21"/>
          <w:highlight w:val="none"/>
          <w:lang w:bidi="ar"/>
        </w:rPr>
        <w:t>日至</w:t>
      </w:r>
      <w:r>
        <w:rPr>
          <w:rFonts w:hint="eastAsia" w:ascii="宋体" w:hAnsi="宋体" w:cs="宋体"/>
          <w:color w:val="auto"/>
          <w:szCs w:val="21"/>
          <w:highlight w:val="none"/>
          <w:u w:val="single"/>
          <w:lang w:bidi="ar"/>
        </w:rPr>
        <w:t>202</w:t>
      </w:r>
      <w:r>
        <w:rPr>
          <w:rFonts w:hint="eastAsia" w:ascii="宋体" w:hAnsi="宋体" w:cs="宋体"/>
          <w:color w:val="auto"/>
          <w:szCs w:val="21"/>
          <w:highlight w:val="none"/>
          <w:u w:val="single"/>
          <w:lang w:val="en-US" w:eastAsia="zh-CN" w:bidi="ar"/>
        </w:rPr>
        <w:t>6</w:t>
      </w:r>
      <w:r>
        <w:rPr>
          <w:rFonts w:hint="eastAsia" w:ascii="宋体" w:hAnsi="宋体" w:cs="宋体"/>
          <w:color w:val="auto"/>
          <w:szCs w:val="21"/>
          <w:highlight w:val="none"/>
          <w:lang w:bidi="ar"/>
        </w:rPr>
        <w:t>年</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u w:val="single"/>
          <w:lang w:val="en-US" w:eastAsia="zh-CN" w:bidi="ar"/>
        </w:rPr>
        <w:t xml:space="preserve">9 </w:t>
      </w:r>
      <w:r>
        <w:rPr>
          <w:rFonts w:hint="eastAsia" w:ascii="宋体" w:hAnsi="宋体" w:cs="宋体"/>
          <w:color w:val="auto"/>
          <w:szCs w:val="21"/>
          <w:highlight w:val="none"/>
          <w:lang w:bidi="ar"/>
        </w:rPr>
        <w:t>月</w:t>
      </w:r>
      <w:r>
        <w:rPr>
          <w:rFonts w:hint="eastAsia" w:ascii="宋体" w:hAnsi="宋体" w:cs="宋体"/>
          <w:color w:val="auto"/>
          <w:szCs w:val="21"/>
          <w:highlight w:val="none"/>
          <w:u w:val="single"/>
          <w:lang w:val="en-US" w:eastAsia="zh-CN" w:bidi="ar"/>
        </w:rPr>
        <w:t>19</w:t>
      </w:r>
      <w:r>
        <w:rPr>
          <w:rFonts w:hint="eastAsia" w:ascii="宋体" w:hAnsi="宋体" w:cs="宋体"/>
          <w:color w:val="auto"/>
          <w:szCs w:val="21"/>
          <w:highlight w:val="none"/>
          <w:lang w:bidi="ar"/>
        </w:rPr>
        <w:t>日</w:t>
      </w:r>
      <w:r>
        <w:rPr>
          <w:rFonts w:hint="eastAsia" w:ascii="宋体" w:hAnsi="宋体" w:cs="宋体"/>
          <w:color w:val="auto"/>
          <w:szCs w:val="21"/>
          <w:highlight w:val="none"/>
        </w:rPr>
        <w:t>，每日9:00时至17:00时通过6.2载明的方式获取</w:t>
      </w:r>
      <w:r>
        <w:rPr>
          <w:rFonts w:hint="eastAsia" w:ascii="宋体" w:hAnsi="宋体" w:cs="宋体"/>
          <w:color w:val="auto"/>
          <w:szCs w:val="21"/>
          <w:highlight w:val="none"/>
          <w:lang w:eastAsia="zh-CN"/>
        </w:rPr>
        <w:t>谈判采购文件</w:t>
      </w:r>
      <w:r>
        <w:rPr>
          <w:rFonts w:hint="eastAsia" w:ascii="宋体" w:hAnsi="宋体" w:cs="宋体"/>
          <w:color w:val="auto"/>
          <w:szCs w:val="21"/>
          <w:highlight w:val="none"/>
        </w:rPr>
        <w:t>。</w:t>
      </w:r>
    </w:p>
    <w:p w14:paraId="014745AC">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6.2</w:t>
      </w:r>
      <w:r>
        <w:rPr>
          <w:rFonts w:ascii="宋体" w:hAnsi="宋体" w:cs="宋体"/>
          <w:color w:val="auto"/>
          <w:szCs w:val="21"/>
          <w:highlight w:val="none"/>
        </w:rPr>
        <w:t xml:space="preserve"> </w:t>
      </w:r>
      <w:r>
        <w:rPr>
          <w:rFonts w:hint="eastAsia" w:ascii="宋体" w:hAnsi="宋体" w:cs="宋体"/>
          <w:color w:val="auto"/>
          <w:szCs w:val="21"/>
          <w:highlight w:val="none"/>
        </w:rPr>
        <w:t>取得</w:t>
      </w:r>
      <w:r>
        <w:rPr>
          <w:rFonts w:hint="eastAsia" w:ascii="宋体" w:hAnsi="宋体" w:cs="宋体"/>
          <w:color w:val="auto"/>
          <w:szCs w:val="21"/>
          <w:highlight w:val="none"/>
          <w:lang w:eastAsia="zh-CN"/>
        </w:rPr>
        <w:t>谈判采购文件</w:t>
      </w:r>
      <w:r>
        <w:rPr>
          <w:rFonts w:hint="eastAsia" w:ascii="宋体" w:hAnsi="宋体" w:cs="宋体"/>
          <w:color w:val="auto"/>
          <w:szCs w:val="21"/>
          <w:highlight w:val="none"/>
        </w:rPr>
        <w:t>的方式：</w:t>
      </w:r>
    </w:p>
    <w:p w14:paraId="4C0C8CF5">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采   购</w:t>
      </w:r>
      <w:r>
        <w:rPr>
          <w:rFonts w:ascii="宋体" w:hAnsi="宋体"/>
          <w:color w:val="auto"/>
          <w:szCs w:val="21"/>
          <w:highlight w:val="none"/>
        </w:rPr>
        <w:t xml:space="preserve">   人：</w:t>
      </w:r>
      <w:r>
        <w:rPr>
          <w:rFonts w:hint="eastAsia" w:ascii="宋体" w:hAnsi="宋体"/>
          <w:color w:val="auto"/>
          <w:szCs w:val="21"/>
          <w:highlight w:val="none"/>
        </w:rPr>
        <w:t>重庆国际复合材料股份有限公司</w:t>
      </w:r>
    </w:p>
    <w:p w14:paraId="01891395">
      <w:pPr>
        <w:spacing w:line="440" w:lineRule="exact"/>
        <w:ind w:firstLine="424" w:firstLineChars="202"/>
        <w:rPr>
          <w:rFonts w:ascii="宋体" w:hAnsi="宋体"/>
          <w:color w:val="auto"/>
          <w:szCs w:val="21"/>
          <w:highlight w:val="none"/>
        </w:rPr>
      </w:pPr>
      <w:r>
        <w:rPr>
          <w:rFonts w:ascii="宋体" w:hAnsi="宋体"/>
          <w:color w:val="auto"/>
          <w:szCs w:val="21"/>
          <w:highlight w:val="none"/>
        </w:rPr>
        <w:t xml:space="preserve">办 </w:t>
      </w:r>
      <w:r>
        <w:rPr>
          <w:rFonts w:hint="eastAsia" w:ascii="宋体" w:hAnsi="宋体"/>
          <w:color w:val="auto"/>
          <w:szCs w:val="21"/>
          <w:highlight w:val="none"/>
        </w:rPr>
        <w:t xml:space="preserve"> </w:t>
      </w:r>
      <w:r>
        <w:rPr>
          <w:rFonts w:ascii="宋体" w:hAnsi="宋体"/>
          <w:color w:val="auto"/>
          <w:szCs w:val="21"/>
          <w:highlight w:val="none"/>
        </w:rPr>
        <w:t>公 地 址：</w:t>
      </w:r>
      <w:r>
        <w:rPr>
          <w:rFonts w:hint="eastAsia" w:ascii="宋体" w:hAnsi="宋体"/>
          <w:color w:val="auto"/>
          <w:szCs w:val="21"/>
          <w:highlight w:val="none"/>
        </w:rPr>
        <w:t>重庆市大渡口区建桥工业园</w:t>
      </w:r>
      <w:r>
        <w:rPr>
          <w:rFonts w:ascii="宋体" w:hAnsi="宋体"/>
          <w:color w:val="auto"/>
          <w:szCs w:val="21"/>
          <w:highlight w:val="none"/>
        </w:rPr>
        <w:t>B</w:t>
      </w:r>
      <w:r>
        <w:rPr>
          <w:rFonts w:hint="eastAsia" w:ascii="宋体" w:hAnsi="宋体"/>
          <w:color w:val="auto"/>
          <w:szCs w:val="21"/>
          <w:highlight w:val="none"/>
        </w:rPr>
        <w:t>区</w:t>
      </w:r>
    </w:p>
    <w:p w14:paraId="5B47AAC8">
      <w:pPr>
        <w:spacing w:line="440" w:lineRule="exact"/>
        <w:ind w:firstLine="424" w:firstLineChars="202"/>
        <w:rPr>
          <w:rFonts w:ascii="宋体" w:hAnsi="宋体" w:cs="宋体"/>
          <w:color w:val="auto"/>
          <w:szCs w:val="21"/>
          <w:highlight w:val="none"/>
        </w:rPr>
      </w:pPr>
      <w:r>
        <w:rPr>
          <w:rFonts w:ascii="宋体" w:hAnsi="宋体"/>
          <w:color w:val="auto"/>
          <w:szCs w:val="21"/>
          <w:highlight w:val="none"/>
        </w:rPr>
        <w:t>联   系   人：</w:t>
      </w:r>
      <w:r>
        <w:rPr>
          <w:rFonts w:hint="eastAsia" w:ascii="宋体" w:hAnsi="宋体"/>
          <w:color w:val="auto"/>
          <w:szCs w:val="21"/>
          <w:highlight w:val="none"/>
          <w:u w:val="single"/>
        </w:rPr>
        <w:t xml:space="preserve">     杨老师    </w:t>
      </w:r>
      <w:r>
        <w:rPr>
          <w:rFonts w:hint="eastAsia" w:ascii="宋体" w:hAnsi="宋体"/>
          <w:color w:val="auto"/>
          <w:szCs w:val="21"/>
          <w:highlight w:val="none"/>
        </w:rPr>
        <w:t xml:space="preserve"> </w:t>
      </w:r>
      <w:r>
        <w:rPr>
          <w:rFonts w:ascii="宋体" w:hAnsi="宋体"/>
          <w:color w:val="auto"/>
          <w:szCs w:val="21"/>
          <w:highlight w:val="none"/>
        </w:rPr>
        <w:t>联系电话：</w:t>
      </w:r>
      <w:r>
        <w:rPr>
          <w:rFonts w:hint="eastAsia" w:ascii="宋体" w:hAnsi="宋体"/>
          <w:color w:val="auto"/>
          <w:szCs w:val="21"/>
          <w:highlight w:val="none"/>
          <w:u w:val="single"/>
        </w:rPr>
        <w:t xml:space="preserve"> 18983993055</w:t>
      </w:r>
    </w:p>
    <w:p w14:paraId="43A6BE6D">
      <w:pPr>
        <w:spacing w:line="440" w:lineRule="exact"/>
        <w:jc w:val="left"/>
        <w:outlineLvl w:val="0"/>
        <w:rPr>
          <w:rFonts w:ascii="宋体" w:hAnsi="宋体"/>
          <w:b/>
          <w:snapToGrid w:val="0"/>
          <w:color w:val="auto"/>
          <w:kern w:val="0"/>
          <w:szCs w:val="21"/>
          <w:highlight w:val="none"/>
        </w:rPr>
      </w:pPr>
      <w:bookmarkStart w:id="58" w:name="_Toc1637"/>
      <w:bookmarkStart w:id="59" w:name="_Toc20721"/>
      <w:bookmarkStart w:id="60" w:name="_Toc4674"/>
      <w:bookmarkStart w:id="61" w:name="_Toc4279"/>
      <w:r>
        <w:rPr>
          <w:rFonts w:hint="eastAsia" w:ascii="宋体" w:hAnsi="宋体"/>
          <w:b/>
          <w:snapToGrid w:val="0"/>
          <w:color w:val="auto"/>
          <w:kern w:val="0"/>
          <w:szCs w:val="21"/>
          <w:highlight w:val="none"/>
        </w:rPr>
        <w:t xml:space="preserve">7. </w:t>
      </w:r>
      <w:r>
        <w:rPr>
          <w:rFonts w:hint="eastAsia" w:ascii="宋体" w:hAnsi="宋体"/>
          <w:b/>
          <w:snapToGrid w:val="0"/>
          <w:color w:val="auto"/>
          <w:kern w:val="0"/>
          <w:szCs w:val="21"/>
          <w:highlight w:val="none"/>
          <w:lang w:eastAsia="zh-CN"/>
        </w:rPr>
        <w:t>谈判文件</w:t>
      </w:r>
      <w:r>
        <w:rPr>
          <w:rFonts w:hint="eastAsia" w:ascii="宋体" w:hAnsi="宋体"/>
          <w:b/>
          <w:snapToGrid w:val="0"/>
          <w:color w:val="auto"/>
          <w:kern w:val="0"/>
          <w:szCs w:val="21"/>
          <w:highlight w:val="none"/>
        </w:rPr>
        <w:t>的递交</w:t>
      </w:r>
      <w:bookmarkEnd w:id="52"/>
      <w:bookmarkEnd w:id="53"/>
      <w:bookmarkEnd w:id="54"/>
      <w:bookmarkEnd w:id="55"/>
      <w:bookmarkEnd w:id="56"/>
      <w:bookmarkEnd w:id="57"/>
      <w:bookmarkEnd w:id="58"/>
      <w:bookmarkEnd w:id="59"/>
      <w:bookmarkEnd w:id="60"/>
      <w:bookmarkEnd w:id="61"/>
    </w:p>
    <w:p w14:paraId="512E390D">
      <w:pPr>
        <w:tabs>
          <w:tab w:val="left" w:pos="1425"/>
        </w:tabs>
        <w:spacing w:line="440" w:lineRule="exact"/>
        <w:rPr>
          <w:rFonts w:ascii="宋体" w:hAnsi="宋体" w:cs="宋体"/>
          <w:color w:val="auto"/>
          <w:szCs w:val="21"/>
          <w:highlight w:val="none"/>
        </w:rPr>
      </w:pPr>
      <w:bookmarkStart w:id="62" w:name="_Toc18035"/>
      <w:bookmarkStart w:id="63" w:name="_Toc4477"/>
      <w:bookmarkStart w:id="64" w:name="_Toc29375"/>
      <w:bookmarkStart w:id="65" w:name="_Toc3503"/>
      <w:bookmarkStart w:id="66" w:name="_Toc21549"/>
      <w:bookmarkStart w:id="67" w:name="_Toc12357"/>
      <w:r>
        <w:rPr>
          <w:rFonts w:hint="eastAsia" w:ascii="宋体" w:hAnsi="宋体" w:cs="宋体"/>
          <w:snapToGrid w:val="0"/>
          <w:color w:val="auto"/>
          <w:kern w:val="0"/>
          <w:szCs w:val="21"/>
          <w:highlight w:val="none"/>
        </w:rPr>
        <w:t>7.1</w:t>
      </w:r>
      <w:r>
        <w:rPr>
          <w:rFonts w:hint="eastAsia" w:ascii="宋体" w:hAnsi="宋体" w:cs="宋体"/>
          <w:color w:val="auto"/>
          <w:szCs w:val="21"/>
          <w:highlight w:val="none"/>
          <w:lang w:eastAsia="zh-CN"/>
        </w:rPr>
        <w:t>谈判文件</w:t>
      </w:r>
      <w:r>
        <w:rPr>
          <w:rFonts w:hint="eastAsia" w:ascii="宋体" w:hAnsi="宋体" w:cs="宋体"/>
          <w:color w:val="auto"/>
          <w:szCs w:val="21"/>
          <w:highlight w:val="none"/>
        </w:rPr>
        <w:t>递交截止时间：</w:t>
      </w:r>
      <w:r>
        <w:rPr>
          <w:rFonts w:hint="eastAsia" w:ascii="宋体" w:hAnsi="宋体" w:cs="宋体"/>
          <w:color w:val="auto"/>
          <w:szCs w:val="21"/>
          <w:highlight w:val="none"/>
          <w:u w:val="single"/>
          <w:lang w:bidi="ar"/>
        </w:rPr>
        <w:t>202</w:t>
      </w:r>
      <w:r>
        <w:rPr>
          <w:rFonts w:hint="eastAsia" w:ascii="宋体" w:hAnsi="宋体" w:cs="宋体"/>
          <w:color w:val="auto"/>
          <w:szCs w:val="21"/>
          <w:highlight w:val="none"/>
          <w:u w:val="single"/>
          <w:lang w:val="en-US" w:eastAsia="zh-CN" w:bidi="ar"/>
        </w:rPr>
        <w:t>6</w:t>
      </w:r>
      <w:r>
        <w:rPr>
          <w:rFonts w:hint="eastAsia" w:ascii="宋体" w:hAnsi="宋体" w:cs="宋体"/>
          <w:color w:val="auto"/>
          <w:szCs w:val="21"/>
          <w:highlight w:val="none"/>
          <w:lang w:bidi="ar"/>
        </w:rPr>
        <w:t>年</w:t>
      </w:r>
      <w:r>
        <w:rPr>
          <w:rFonts w:hint="eastAsia" w:ascii="宋体" w:hAnsi="宋体" w:cs="宋体"/>
          <w:color w:val="auto"/>
          <w:szCs w:val="21"/>
          <w:highlight w:val="none"/>
          <w:u w:val="single"/>
          <w:lang w:val="en-US" w:eastAsia="zh-CN" w:bidi="ar"/>
        </w:rPr>
        <w:t>9</w:t>
      </w:r>
      <w:r>
        <w:rPr>
          <w:rFonts w:hint="eastAsia" w:ascii="宋体" w:hAnsi="宋体" w:cs="宋体"/>
          <w:color w:val="auto"/>
          <w:szCs w:val="21"/>
          <w:highlight w:val="none"/>
          <w:lang w:bidi="ar"/>
        </w:rPr>
        <w:t>月</w:t>
      </w:r>
      <w:r>
        <w:rPr>
          <w:rFonts w:hint="eastAsia" w:ascii="宋体" w:hAnsi="宋体" w:cs="宋体"/>
          <w:color w:val="auto"/>
          <w:szCs w:val="21"/>
          <w:highlight w:val="none"/>
          <w:u w:val="single"/>
          <w:lang w:val="en-US" w:eastAsia="zh-CN" w:bidi="ar"/>
        </w:rPr>
        <w:t>20</w:t>
      </w:r>
      <w:r>
        <w:rPr>
          <w:rFonts w:hint="eastAsia" w:ascii="宋体" w:hAnsi="宋体" w:cs="宋体"/>
          <w:color w:val="auto"/>
          <w:szCs w:val="21"/>
          <w:highlight w:val="none"/>
          <w:lang w:bidi="ar"/>
        </w:rPr>
        <w:t>日</w:t>
      </w:r>
      <w:r>
        <w:rPr>
          <w:rFonts w:ascii="宋体" w:hAnsi="宋体" w:cs="宋体"/>
          <w:color w:val="auto"/>
          <w:szCs w:val="21"/>
          <w:highlight w:val="none"/>
          <w:u w:val="single"/>
          <w:lang w:bidi="ar"/>
        </w:rPr>
        <w:t>10</w:t>
      </w:r>
      <w:r>
        <w:rPr>
          <w:rFonts w:hint="eastAsia" w:ascii="宋体" w:hAnsi="宋体" w:cs="宋体"/>
          <w:color w:val="auto"/>
          <w:szCs w:val="21"/>
          <w:highlight w:val="none"/>
          <w:lang w:bidi="ar"/>
        </w:rPr>
        <w:t>时</w:t>
      </w:r>
      <w:r>
        <w:rPr>
          <w:rFonts w:hint="eastAsia" w:ascii="宋体" w:hAnsi="宋体" w:cs="宋体"/>
          <w:color w:val="auto"/>
          <w:szCs w:val="21"/>
          <w:highlight w:val="none"/>
          <w:u w:val="single"/>
          <w:lang w:bidi="ar"/>
        </w:rPr>
        <w:t xml:space="preserve"> 00</w:t>
      </w:r>
      <w:r>
        <w:rPr>
          <w:rFonts w:hint="eastAsia" w:ascii="宋体" w:hAnsi="宋体" w:cs="宋体"/>
          <w:color w:val="auto"/>
          <w:szCs w:val="21"/>
          <w:highlight w:val="none"/>
          <w:lang w:bidi="ar"/>
        </w:rPr>
        <w:t>分</w:t>
      </w:r>
      <w:r>
        <w:rPr>
          <w:rFonts w:hint="eastAsia" w:ascii="宋体" w:hAnsi="宋体" w:cs="宋体"/>
          <w:color w:val="auto"/>
          <w:szCs w:val="21"/>
          <w:highlight w:val="none"/>
        </w:rPr>
        <w:t>；递交地点为：重庆市大渡口区重庆国际复合材料股份有限公司。</w:t>
      </w:r>
    </w:p>
    <w:p w14:paraId="27EA24E6">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 xml:space="preserve">7.2 </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时间：</w:t>
      </w:r>
      <w:r>
        <w:rPr>
          <w:rFonts w:hint="eastAsia" w:ascii="宋体" w:hAnsi="宋体" w:cs="宋体"/>
          <w:color w:val="auto"/>
          <w:szCs w:val="21"/>
          <w:highlight w:val="none"/>
          <w:lang w:eastAsia="zh-CN"/>
        </w:rPr>
        <w:t>谈判文件</w:t>
      </w:r>
      <w:r>
        <w:rPr>
          <w:rFonts w:hint="eastAsia" w:ascii="宋体" w:hAnsi="宋体" w:cs="宋体"/>
          <w:color w:val="auto"/>
          <w:szCs w:val="21"/>
          <w:highlight w:val="none"/>
        </w:rPr>
        <w:t>截止之日后三个工作日内。</w:t>
      </w:r>
    </w:p>
    <w:p w14:paraId="118C4282">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7.3</w:t>
      </w:r>
      <w:r>
        <w:rPr>
          <w:rFonts w:ascii="宋体" w:hAnsi="宋体" w:cs="宋体"/>
          <w:color w:val="auto"/>
          <w:szCs w:val="21"/>
          <w:highlight w:val="none"/>
        </w:rPr>
        <w:t xml:space="preserve"> </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地点：重庆市大渡口区重庆国际复合材料股份有限公司。</w:t>
      </w:r>
    </w:p>
    <w:p w14:paraId="3F00DF92">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4</w:t>
      </w:r>
      <w:r>
        <w:rPr>
          <w:rFonts w:hint="eastAsia" w:ascii="宋体" w:hAnsi="宋体" w:cs="宋体"/>
          <w:color w:val="auto"/>
          <w:szCs w:val="21"/>
          <w:highlight w:val="none"/>
        </w:rPr>
        <w:t xml:space="preserve"> 逾期送达的、未送达指定地点或不按照</w:t>
      </w:r>
      <w:r>
        <w:rPr>
          <w:rFonts w:hint="eastAsia" w:ascii="宋体" w:hAnsi="宋体" w:cs="宋体"/>
          <w:color w:val="auto"/>
          <w:szCs w:val="21"/>
          <w:highlight w:val="none"/>
          <w:lang w:eastAsia="zh-CN"/>
        </w:rPr>
        <w:t>谈判采购文件</w:t>
      </w:r>
      <w:r>
        <w:rPr>
          <w:rFonts w:hint="eastAsia" w:ascii="宋体" w:hAnsi="宋体" w:cs="宋体"/>
          <w:color w:val="auto"/>
          <w:szCs w:val="21"/>
          <w:highlight w:val="none"/>
        </w:rPr>
        <w:t>要求密封的</w:t>
      </w:r>
      <w:r>
        <w:rPr>
          <w:rFonts w:hint="eastAsia" w:ascii="宋体" w:hAnsi="宋体" w:cs="宋体"/>
          <w:color w:val="auto"/>
          <w:szCs w:val="21"/>
          <w:highlight w:val="none"/>
          <w:lang w:eastAsia="zh-CN"/>
        </w:rPr>
        <w:t>谈判文件</w:t>
      </w:r>
      <w:r>
        <w:rPr>
          <w:rFonts w:hint="eastAsia" w:ascii="宋体" w:hAnsi="宋体" w:cs="宋体"/>
          <w:color w:val="auto"/>
          <w:szCs w:val="21"/>
          <w:highlight w:val="none"/>
        </w:rPr>
        <w:t>，</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单位不予受理。</w:t>
      </w:r>
    </w:p>
    <w:p w14:paraId="031D1E6E">
      <w:pPr>
        <w:pStyle w:val="8"/>
        <w:widowControl/>
        <w:rPr>
          <w:color w:val="auto"/>
          <w:highlight w:val="none"/>
        </w:rPr>
      </w:pPr>
      <w:r>
        <w:rPr>
          <w:rFonts w:hint="eastAsia" w:ascii="宋体" w:hAnsi="宋体" w:cs="宋体"/>
          <w:color w:val="auto"/>
          <w:szCs w:val="21"/>
          <w:highlight w:val="none"/>
        </w:rPr>
        <w:t>7.5</w:t>
      </w:r>
      <w:r>
        <w:rPr>
          <w:rFonts w:hint="eastAsia" w:ascii="宋体" w:hAnsi="宋体" w:cs="宋体"/>
          <w:color w:val="auto"/>
          <w:szCs w:val="21"/>
          <w:highlight w:val="none"/>
          <w:lang w:eastAsia="zh-CN"/>
        </w:rPr>
        <w:t>报价人谈判文件</w:t>
      </w:r>
      <w:r>
        <w:rPr>
          <w:rFonts w:hint="eastAsia" w:ascii="宋体" w:hAnsi="宋体" w:cs="宋体"/>
          <w:color w:val="auto"/>
          <w:szCs w:val="21"/>
          <w:highlight w:val="none"/>
        </w:rPr>
        <w:t>袋内需附带</w:t>
      </w:r>
      <w:r>
        <w:rPr>
          <w:rFonts w:hint="eastAsia" w:ascii="宋体" w:hAnsi="宋体" w:cs="宋体"/>
          <w:color w:val="auto"/>
          <w:szCs w:val="21"/>
          <w:highlight w:val="none"/>
          <w:lang w:eastAsia="zh-CN"/>
        </w:rPr>
        <w:t>谈判文件</w:t>
      </w:r>
      <w:r>
        <w:rPr>
          <w:rFonts w:hint="eastAsia" w:ascii="宋体" w:hAnsi="宋体" w:cs="宋体"/>
          <w:color w:val="auto"/>
          <w:szCs w:val="21"/>
          <w:highlight w:val="none"/>
        </w:rPr>
        <w:t>扫描电子版U盘一份</w:t>
      </w:r>
    </w:p>
    <w:bookmarkEnd w:id="62"/>
    <w:bookmarkEnd w:id="63"/>
    <w:bookmarkEnd w:id="64"/>
    <w:bookmarkEnd w:id="65"/>
    <w:bookmarkEnd w:id="66"/>
    <w:bookmarkEnd w:id="67"/>
    <w:p w14:paraId="394DC8F3">
      <w:pPr>
        <w:spacing w:line="440" w:lineRule="exact"/>
        <w:jc w:val="left"/>
        <w:outlineLvl w:val="0"/>
        <w:rPr>
          <w:rFonts w:ascii="宋体" w:hAnsi="宋体"/>
          <w:b/>
          <w:snapToGrid w:val="0"/>
          <w:color w:val="auto"/>
          <w:kern w:val="0"/>
          <w:szCs w:val="21"/>
          <w:highlight w:val="none"/>
        </w:rPr>
      </w:pPr>
      <w:bookmarkStart w:id="68" w:name="_Toc9249"/>
      <w:bookmarkStart w:id="69" w:name="_Toc5392"/>
      <w:bookmarkStart w:id="70" w:name="_Toc27658"/>
      <w:bookmarkStart w:id="71" w:name="_Toc4764"/>
      <w:r>
        <w:rPr>
          <w:rFonts w:hint="eastAsia" w:ascii="宋体" w:hAnsi="宋体"/>
          <w:b/>
          <w:snapToGrid w:val="0"/>
          <w:color w:val="auto"/>
          <w:kern w:val="0"/>
          <w:szCs w:val="21"/>
          <w:highlight w:val="none"/>
        </w:rPr>
        <w:t>8. 发布公告的媒介</w:t>
      </w:r>
      <w:bookmarkEnd w:id="68"/>
      <w:bookmarkEnd w:id="69"/>
      <w:bookmarkEnd w:id="70"/>
      <w:bookmarkEnd w:id="71"/>
    </w:p>
    <w:p w14:paraId="0AE7CA77">
      <w:pPr>
        <w:spacing w:line="440" w:lineRule="exact"/>
        <w:jc w:val="left"/>
        <w:outlineLvl w:val="0"/>
        <w:rPr>
          <w:rFonts w:hint="eastAsia" w:ascii="宋体" w:hAnsi="宋体" w:cs="宋体"/>
          <w:snapToGrid w:val="0"/>
          <w:color w:val="auto"/>
          <w:kern w:val="0"/>
          <w:szCs w:val="21"/>
          <w:highlight w:val="none"/>
        </w:rPr>
      </w:pPr>
      <w:bookmarkStart w:id="72" w:name="_Toc10099"/>
      <w:bookmarkStart w:id="73" w:name="_Toc15091"/>
      <w:bookmarkStart w:id="74" w:name="_Toc19026"/>
      <w:bookmarkStart w:id="75" w:name="_Toc29368"/>
      <w:bookmarkStart w:id="76" w:name="_Toc15696"/>
      <w:bookmarkStart w:id="77" w:name="_Toc17881"/>
      <w:r>
        <w:rPr>
          <w:rFonts w:hint="eastAsia" w:ascii="宋体" w:hAnsi="宋体" w:cs="宋体"/>
          <w:snapToGrid w:val="0"/>
          <w:color w:val="auto"/>
          <w:kern w:val="0"/>
          <w:szCs w:val="21"/>
          <w:highlight w:val="none"/>
        </w:rPr>
        <w:t>本次谈判采购公告在重庆国际复合材料股份有限公司（http://www.cpicfiber.com/）上发布。</w:t>
      </w:r>
    </w:p>
    <w:p w14:paraId="51E3E867">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9.特别注意</w:t>
      </w:r>
    </w:p>
    <w:p w14:paraId="0DE52908">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单位负责人为同一人或者存在控股、管理关系的不同单位，不得同时参加本次</w:t>
      </w:r>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w:t>
      </w:r>
    </w:p>
    <w:p w14:paraId="6E168CF7">
      <w:pPr>
        <w:spacing w:line="440" w:lineRule="exact"/>
        <w:jc w:val="left"/>
        <w:outlineLvl w:val="0"/>
        <w:rPr>
          <w:rFonts w:ascii="宋体" w:hAnsi="宋体"/>
          <w:b/>
          <w:snapToGrid w:val="0"/>
          <w:color w:val="auto"/>
          <w:kern w:val="0"/>
          <w:szCs w:val="21"/>
          <w:highlight w:val="none"/>
        </w:rPr>
      </w:pPr>
      <w:bookmarkStart w:id="78" w:name="_Toc11677"/>
      <w:bookmarkStart w:id="79" w:name="_Toc4445"/>
      <w:bookmarkStart w:id="80" w:name="_Toc29627"/>
      <w:bookmarkStart w:id="81" w:name="_Toc30129"/>
      <w:r>
        <w:rPr>
          <w:rFonts w:hint="eastAsia" w:ascii="宋体" w:hAnsi="宋体"/>
          <w:b/>
          <w:snapToGrid w:val="0"/>
          <w:color w:val="auto"/>
          <w:kern w:val="0"/>
          <w:szCs w:val="21"/>
          <w:highlight w:val="none"/>
        </w:rPr>
        <w:t>10. 联系方式</w:t>
      </w:r>
      <w:bookmarkEnd w:id="72"/>
      <w:bookmarkEnd w:id="73"/>
      <w:bookmarkEnd w:id="74"/>
      <w:bookmarkEnd w:id="75"/>
      <w:bookmarkEnd w:id="76"/>
      <w:bookmarkEnd w:id="77"/>
      <w:bookmarkEnd w:id="78"/>
      <w:bookmarkEnd w:id="79"/>
      <w:bookmarkEnd w:id="80"/>
      <w:bookmarkEnd w:id="81"/>
    </w:p>
    <w:p w14:paraId="6EDD7DF0">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采购</w:t>
      </w:r>
      <w:r>
        <w:rPr>
          <w:rFonts w:ascii="宋体" w:hAnsi="宋体"/>
          <w:color w:val="auto"/>
          <w:szCs w:val="21"/>
          <w:highlight w:val="none"/>
        </w:rPr>
        <w:t>人：</w:t>
      </w:r>
      <w:r>
        <w:rPr>
          <w:rFonts w:hint="eastAsia" w:ascii="宋体" w:hAnsi="宋体"/>
          <w:color w:val="auto"/>
          <w:szCs w:val="21"/>
          <w:highlight w:val="none"/>
        </w:rPr>
        <w:t>重庆国际复合材料股份有限公司</w:t>
      </w:r>
    </w:p>
    <w:p w14:paraId="7FB6F250">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办公地址</w:t>
      </w:r>
      <w:r>
        <w:rPr>
          <w:rFonts w:ascii="宋体" w:hAnsi="宋体"/>
          <w:color w:val="auto"/>
          <w:szCs w:val="21"/>
          <w:highlight w:val="none"/>
        </w:rPr>
        <w:t>：</w:t>
      </w:r>
      <w:r>
        <w:rPr>
          <w:rFonts w:hint="eastAsia" w:ascii="宋体" w:hAnsi="宋体"/>
          <w:color w:val="auto"/>
          <w:szCs w:val="21"/>
          <w:highlight w:val="none"/>
        </w:rPr>
        <w:t>重庆市大渡口区建桥工业园</w:t>
      </w:r>
      <w:r>
        <w:rPr>
          <w:rFonts w:ascii="宋体" w:hAnsi="宋体"/>
          <w:color w:val="auto"/>
          <w:szCs w:val="21"/>
          <w:highlight w:val="none"/>
        </w:rPr>
        <w:t>B</w:t>
      </w:r>
      <w:r>
        <w:rPr>
          <w:rFonts w:hint="eastAsia" w:ascii="宋体" w:hAnsi="宋体"/>
          <w:color w:val="auto"/>
          <w:szCs w:val="21"/>
          <w:highlight w:val="none"/>
        </w:rPr>
        <w:t>区</w:t>
      </w:r>
    </w:p>
    <w:p w14:paraId="4FBB4F81">
      <w:pPr>
        <w:spacing w:line="440" w:lineRule="exact"/>
        <w:ind w:firstLine="424" w:firstLineChars="202"/>
        <w:rPr>
          <w:rFonts w:ascii="宋体" w:hAnsi="宋体"/>
          <w:color w:val="auto"/>
          <w:szCs w:val="21"/>
          <w:highlight w:val="none"/>
        </w:rPr>
      </w:pPr>
      <w:r>
        <w:rPr>
          <w:rFonts w:ascii="宋体" w:hAnsi="宋体"/>
          <w:color w:val="auto"/>
          <w:szCs w:val="21"/>
          <w:highlight w:val="none"/>
        </w:rPr>
        <w:t>联系人：</w:t>
      </w:r>
      <w:bookmarkEnd w:id="6"/>
      <w:bookmarkEnd w:id="7"/>
      <w:bookmarkEnd w:id="8"/>
      <w:bookmarkEnd w:id="9"/>
      <w:bookmarkEnd w:id="10"/>
      <w:bookmarkEnd w:id="11"/>
      <w:r>
        <w:rPr>
          <w:rFonts w:hint="eastAsia" w:ascii="宋体" w:hAnsi="宋体"/>
          <w:color w:val="auto"/>
          <w:szCs w:val="21"/>
          <w:highlight w:val="none"/>
        </w:rPr>
        <w:t>杨老师</w:t>
      </w:r>
    </w:p>
    <w:p w14:paraId="6D24A099">
      <w:pPr>
        <w:spacing w:line="440" w:lineRule="exact"/>
        <w:ind w:firstLine="424" w:firstLineChars="202"/>
        <w:rPr>
          <w:rFonts w:ascii="宋体" w:hAnsi="宋体"/>
          <w:color w:val="auto"/>
          <w:szCs w:val="21"/>
          <w:highlight w:val="none"/>
        </w:rPr>
      </w:pPr>
      <w:r>
        <w:rPr>
          <w:rFonts w:ascii="宋体" w:hAnsi="宋体"/>
          <w:color w:val="auto"/>
          <w:szCs w:val="21"/>
          <w:highlight w:val="none"/>
        </w:rPr>
        <w:t>联系电话：</w:t>
      </w:r>
      <w:r>
        <w:rPr>
          <w:rFonts w:hint="eastAsia" w:ascii="宋体" w:hAnsi="宋体"/>
          <w:color w:val="auto"/>
          <w:szCs w:val="21"/>
          <w:highlight w:val="none"/>
        </w:rPr>
        <w:t>18983993055</w:t>
      </w:r>
    </w:p>
    <w:p w14:paraId="34147A76">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监督人：重庆国际复合材料股份有限公司</w:t>
      </w:r>
    </w:p>
    <w:p w14:paraId="37BDA335">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地址：重庆市大渡口区建桥工业园B区</w:t>
      </w:r>
    </w:p>
    <w:p w14:paraId="2F7011B0">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联系人：付老师</w:t>
      </w:r>
    </w:p>
    <w:p w14:paraId="2B90B5D1">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联系电话：023-68536643</w:t>
      </w:r>
    </w:p>
    <w:p w14:paraId="35FA03F8">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邮箱：fuwei4253@cpicfiber.com</w:t>
      </w:r>
    </w:p>
    <w:p w14:paraId="36A5A082">
      <w:pPr>
        <w:rPr>
          <w:rFonts w:ascii="宋体" w:hAnsi="宋体"/>
          <w:color w:val="auto"/>
          <w:highlight w:val="none"/>
        </w:rPr>
      </w:pPr>
      <w:r>
        <w:rPr>
          <w:rFonts w:hint="eastAsia" w:ascii="宋体" w:hAnsi="宋体"/>
          <w:color w:val="auto"/>
          <w:highlight w:val="none"/>
        </w:rPr>
        <w:br w:type="page"/>
      </w:r>
    </w:p>
    <w:bookmarkEnd w:id="583"/>
    <w:p w14:paraId="7413D4A7">
      <w:pPr>
        <w:pStyle w:val="2"/>
        <w:spacing w:before="240" w:beforeLines="100" w:after="360" w:afterLines="150" w:line="276" w:lineRule="auto"/>
        <w:jc w:val="center"/>
        <w:rPr>
          <w:rFonts w:ascii="宋体" w:hAnsi="宋体"/>
          <w:color w:val="auto"/>
          <w:highlight w:val="none"/>
        </w:rPr>
      </w:pPr>
      <w:r>
        <w:rPr>
          <w:rFonts w:hint="eastAsia" w:ascii="宋体" w:hAnsi="宋体"/>
          <w:color w:val="auto"/>
          <w:highlight w:val="none"/>
        </w:rPr>
        <w:t>第二章  采购内容</w:t>
      </w:r>
    </w:p>
    <w:p w14:paraId="5632AC41">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1．项目概况</w:t>
      </w:r>
    </w:p>
    <w:p w14:paraId="73A888E6">
      <w:pPr>
        <w:spacing w:line="360" w:lineRule="auto"/>
        <w:ind w:firstLine="480" w:firstLineChars="200"/>
        <w:rPr>
          <w:rFonts w:hint="eastAsia" w:ascii="宋体" w:hAnsi="宋体"/>
          <w:color w:val="auto"/>
          <w:kern w:val="0"/>
          <w:sz w:val="24"/>
          <w:highlight w:val="none"/>
          <w:lang w:val="en-US" w:eastAsia="zh-CN"/>
        </w:rPr>
      </w:pPr>
      <w:r>
        <w:rPr>
          <w:rFonts w:hint="eastAsia" w:ascii="宋体" w:hAnsi="宋体"/>
          <w:color w:val="auto"/>
          <w:kern w:val="0"/>
          <w:sz w:val="24"/>
          <w:highlight w:val="none"/>
          <w:lang w:val="en-US" w:eastAsia="zh-CN"/>
        </w:rPr>
        <w:t>见谈判采购公告</w:t>
      </w:r>
    </w:p>
    <w:p w14:paraId="31EAEEF8">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w:t>
      </w:r>
      <w:r>
        <w:rPr>
          <w:rFonts w:ascii="宋体" w:hAnsi="宋体"/>
          <w:color w:val="auto"/>
          <w:kern w:val="0"/>
          <w:sz w:val="24"/>
          <w:highlight w:val="none"/>
        </w:rPr>
        <w:t xml:space="preserve">. </w:t>
      </w:r>
      <w:r>
        <w:rPr>
          <w:rFonts w:hint="eastAsia" w:ascii="宋体" w:hAnsi="宋体"/>
          <w:color w:val="auto"/>
          <w:kern w:val="0"/>
          <w:sz w:val="24"/>
          <w:highlight w:val="none"/>
        </w:rPr>
        <w:t>项目建设地点</w:t>
      </w:r>
    </w:p>
    <w:p w14:paraId="245A367B">
      <w:pPr>
        <w:spacing w:line="360" w:lineRule="auto"/>
        <w:ind w:firstLine="480" w:firstLineChars="200"/>
        <w:rPr>
          <w:rFonts w:hint="eastAsia" w:ascii="宋体" w:hAnsi="宋体"/>
          <w:color w:val="auto"/>
          <w:kern w:val="0"/>
          <w:sz w:val="24"/>
          <w:highlight w:val="none"/>
          <w:lang w:val="en-US" w:eastAsia="zh-CN"/>
        </w:rPr>
      </w:pPr>
      <w:r>
        <w:rPr>
          <w:rFonts w:hint="eastAsia" w:ascii="宋体" w:hAnsi="宋体"/>
          <w:color w:val="auto"/>
          <w:kern w:val="0"/>
          <w:sz w:val="24"/>
          <w:highlight w:val="none"/>
        </w:rPr>
        <w:t>重庆市</w:t>
      </w:r>
      <w:r>
        <w:rPr>
          <w:rFonts w:hint="eastAsia" w:ascii="宋体" w:hAnsi="宋体"/>
          <w:color w:val="auto"/>
          <w:kern w:val="0"/>
          <w:sz w:val="24"/>
          <w:highlight w:val="none"/>
          <w:lang w:val="en-US" w:eastAsia="zh-CN"/>
        </w:rPr>
        <w:t>大渡口区建桥工业园B区重庆国际复合材料股份有限公司长寿生产基地</w:t>
      </w:r>
    </w:p>
    <w:p w14:paraId="472D754B">
      <w:pPr>
        <w:rPr>
          <w:rFonts w:ascii="宋体" w:hAnsi="宋体"/>
          <w:color w:val="auto"/>
          <w:sz w:val="24"/>
          <w:highlight w:val="none"/>
        </w:rPr>
      </w:pPr>
    </w:p>
    <w:p w14:paraId="39865F28">
      <w:pPr>
        <w:rPr>
          <w:rFonts w:ascii="宋体" w:hAnsi="宋体"/>
          <w:color w:val="auto"/>
          <w:sz w:val="24"/>
          <w:highlight w:val="none"/>
        </w:rPr>
      </w:pPr>
    </w:p>
    <w:p w14:paraId="36F4448C">
      <w:pPr>
        <w:rPr>
          <w:rFonts w:ascii="宋体" w:hAnsi="宋体"/>
          <w:color w:val="auto"/>
          <w:sz w:val="24"/>
          <w:highlight w:val="none"/>
        </w:rPr>
      </w:pPr>
    </w:p>
    <w:p w14:paraId="68C99D8E">
      <w:pPr>
        <w:rPr>
          <w:rFonts w:ascii="宋体" w:hAnsi="宋体"/>
          <w:color w:val="auto"/>
          <w:sz w:val="24"/>
          <w:highlight w:val="none"/>
        </w:rPr>
      </w:pPr>
    </w:p>
    <w:p w14:paraId="5D774356">
      <w:pPr>
        <w:rPr>
          <w:rFonts w:ascii="宋体" w:hAnsi="宋体"/>
          <w:color w:val="auto"/>
          <w:sz w:val="24"/>
          <w:highlight w:val="none"/>
        </w:rPr>
      </w:pPr>
    </w:p>
    <w:p w14:paraId="165560BB">
      <w:pPr>
        <w:rPr>
          <w:rFonts w:ascii="宋体" w:hAnsi="宋体"/>
          <w:color w:val="auto"/>
          <w:sz w:val="24"/>
          <w:highlight w:val="none"/>
        </w:rPr>
      </w:pPr>
    </w:p>
    <w:p w14:paraId="0AB9C8E1">
      <w:pPr>
        <w:rPr>
          <w:rFonts w:ascii="宋体" w:hAnsi="宋体"/>
          <w:color w:val="auto"/>
          <w:sz w:val="24"/>
          <w:highlight w:val="none"/>
        </w:rPr>
      </w:pPr>
    </w:p>
    <w:p w14:paraId="041C580D">
      <w:pPr>
        <w:rPr>
          <w:rFonts w:ascii="宋体" w:hAnsi="宋体"/>
          <w:color w:val="auto"/>
          <w:sz w:val="24"/>
          <w:highlight w:val="none"/>
        </w:rPr>
      </w:pPr>
    </w:p>
    <w:p w14:paraId="7041E1D0">
      <w:pPr>
        <w:rPr>
          <w:rFonts w:ascii="宋体" w:hAnsi="宋体"/>
          <w:color w:val="auto"/>
          <w:sz w:val="24"/>
          <w:highlight w:val="none"/>
        </w:rPr>
      </w:pPr>
    </w:p>
    <w:p w14:paraId="028A060E">
      <w:pPr>
        <w:rPr>
          <w:rFonts w:ascii="宋体" w:hAnsi="宋体"/>
          <w:color w:val="auto"/>
          <w:sz w:val="24"/>
          <w:highlight w:val="none"/>
        </w:rPr>
      </w:pPr>
    </w:p>
    <w:p w14:paraId="75E8F212">
      <w:pPr>
        <w:rPr>
          <w:rFonts w:ascii="宋体" w:hAnsi="宋体"/>
          <w:color w:val="auto"/>
          <w:sz w:val="24"/>
          <w:highlight w:val="none"/>
        </w:rPr>
      </w:pPr>
    </w:p>
    <w:p w14:paraId="0B86A774">
      <w:pPr>
        <w:rPr>
          <w:rFonts w:ascii="宋体" w:hAnsi="宋体"/>
          <w:color w:val="auto"/>
          <w:sz w:val="24"/>
          <w:highlight w:val="none"/>
        </w:rPr>
      </w:pPr>
    </w:p>
    <w:p w14:paraId="3AF67D5B">
      <w:pPr>
        <w:rPr>
          <w:rFonts w:ascii="宋体" w:hAnsi="宋体"/>
          <w:color w:val="auto"/>
          <w:sz w:val="24"/>
          <w:highlight w:val="none"/>
        </w:rPr>
      </w:pPr>
    </w:p>
    <w:p w14:paraId="7D377AC3">
      <w:pPr>
        <w:rPr>
          <w:rFonts w:ascii="宋体" w:hAnsi="宋体"/>
          <w:color w:val="auto"/>
          <w:sz w:val="24"/>
          <w:highlight w:val="none"/>
        </w:rPr>
      </w:pPr>
    </w:p>
    <w:p w14:paraId="21742AEC">
      <w:pPr>
        <w:rPr>
          <w:rFonts w:ascii="宋体" w:hAnsi="宋体"/>
          <w:color w:val="auto"/>
          <w:sz w:val="24"/>
          <w:highlight w:val="none"/>
        </w:rPr>
      </w:pPr>
    </w:p>
    <w:p w14:paraId="350A533A">
      <w:pPr>
        <w:rPr>
          <w:rFonts w:ascii="宋体" w:hAnsi="宋体"/>
          <w:color w:val="auto"/>
          <w:sz w:val="24"/>
          <w:highlight w:val="none"/>
        </w:rPr>
      </w:pPr>
    </w:p>
    <w:p w14:paraId="54EA93CB">
      <w:pPr>
        <w:rPr>
          <w:rFonts w:ascii="宋体" w:hAnsi="宋体"/>
          <w:color w:val="auto"/>
          <w:sz w:val="24"/>
          <w:highlight w:val="none"/>
        </w:rPr>
      </w:pPr>
    </w:p>
    <w:p w14:paraId="7AEDBB91">
      <w:pPr>
        <w:rPr>
          <w:rFonts w:ascii="宋体" w:hAnsi="宋体"/>
          <w:color w:val="auto"/>
          <w:sz w:val="24"/>
          <w:highlight w:val="none"/>
        </w:rPr>
      </w:pPr>
    </w:p>
    <w:p w14:paraId="66817496">
      <w:pPr>
        <w:rPr>
          <w:rFonts w:ascii="宋体" w:hAnsi="宋体"/>
          <w:color w:val="auto"/>
          <w:sz w:val="24"/>
          <w:highlight w:val="none"/>
        </w:rPr>
      </w:pPr>
    </w:p>
    <w:p w14:paraId="5FA7543A">
      <w:pPr>
        <w:rPr>
          <w:rFonts w:ascii="宋体" w:hAnsi="宋体"/>
          <w:color w:val="auto"/>
          <w:sz w:val="24"/>
          <w:highlight w:val="none"/>
        </w:rPr>
      </w:pPr>
    </w:p>
    <w:p w14:paraId="1C8A14C7">
      <w:pPr>
        <w:rPr>
          <w:rFonts w:ascii="宋体" w:hAnsi="宋体"/>
          <w:color w:val="auto"/>
          <w:sz w:val="24"/>
          <w:highlight w:val="none"/>
        </w:rPr>
      </w:pPr>
    </w:p>
    <w:p w14:paraId="5167322F">
      <w:pPr>
        <w:rPr>
          <w:rFonts w:ascii="宋体" w:hAnsi="宋体"/>
          <w:color w:val="auto"/>
          <w:sz w:val="24"/>
          <w:highlight w:val="none"/>
        </w:rPr>
      </w:pPr>
    </w:p>
    <w:p w14:paraId="4C26C692">
      <w:pPr>
        <w:rPr>
          <w:rFonts w:ascii="宋体" w:hAnsi="宋体"/>
          <w:color w:val="auto"/>
          <w:sz w:val="24"/>
          <w:highlight w:val="none"/>
        </w:rPr>
      </w:pPr>
    </w:p>
    <w:p w14:paraId="1E40E19B">
      <w:pPr>
        <w:rPr>
          <w:rFonts w:ascii="宋体" w:hAnsi="宋体"/>
          <w:color w:val="auto"/>
          <w:sz w:val="24"/>
          <w:highlight w:val="none"/>
        </w:rPr>
      </w:pPr>
    </w:p>
    <w:p w14:paraId="7B923EA1">
      <w:pPr>
        <w:rPr>
          <w:rFonts w:ascii="宋体" w:hAnsi="宋体"/>
          <w:color w:val="auto"/>
          <w:sz w:val="24"/>
          <w:highlight w:val="none"/>
        </w:rPr>
      </w:pPr>
    </w:p>
    <w:p w14:paraId="0D551F35">
      <w:pPr>
        <w:rPr>
          <w:rFonts w:ascii="宋体" w:hAnsi="宋体"/>
          <w:color w:val="auto"/>
          <w:sz w:val="24"/>
          <w:highlight w:val="none"/>
        </w:rPr>
      </w:pPr>
    </w:p>
    <w:p w14:paraId="091CE74C">
      <w:pPr>
        <w:rPr>
          <w:rFonts w:ascii="宋体" w:hAnsi="宋体"/>
          <w:color w:val="auto"/>
          <w:sz w:val="24"/>
          <w:highlight w:val="none"/>
        </w:rPr>
      </w:pPr>
    </w:p>
    <w:p w14:paraId="4C2F8B4C">
      <w:pPr>
        <w:rPr>
          <w:rFonts w:ascii="宋体" w:hAnsi="宋体"/>
          <w:color w:val="auto"/>
          <w:sz w:val="24"/>
          <w:highlight w:val="none"/>
        </w:rPr>
      </w:pPr>
    </w:p>
    <w:p w14:paraId="2B1E3CF5">
      <w:pPr>
        <w:rPr>
          <w:rFonts w:ascii="宋体" w:hAnsi="宋体"/>
          <w:color w:val="auto"/>
          <w:sz w:val="24"/>
          <w:highlight w:val="none"/>
        </w:rPr>
      </w:pPr>
    </w:p>
    <w:p w14:paraId="0BFEC870">
      <w:pPr>
        <w:rPr>
          <w:rFonts w:ascii="宋体" w:hAnsi="宋体"/>
          <w:color w:val="auto"/>
          <w:sz w:val="24"/>
          <w:highlight w:val="none"/>
        </w:rPr>
      </w:pPr>
    </w:p>
    <w:p w14:paraId="17B3927F">
      <w:pPr>
        <w:rPr>
          <w:rFonts w:ascii="宋体" w:hAnsi="宋体"/>
          <w:color w:val="auto"/>
          <w:sz w:val="24"/>
          <w:highlight w:val="none"/>
        </w:rPr>
      </w:pPr>
    </w:p>
    <w:p w14:paraId="546EFA11">
      <w:pPr>
        <w:pStyle w:val="2"/>
        <w:spacing w:before="240" w:beforeLines="100" w:after="360" w:afterLines="150" w:line="276" w:lineRule="auto"/>
        <w:jc w:val="center"/>
        <w:rPr>
          <w:rFonts w:ascii="宋体" w:hAnsi="宋体"/>
          <w:color w:val="auto"/>
          <w:highlight w:val="none"/>
        </w:rPr>
      </w:pPr>
      <w:r>
        <w:rPr>
          <w:rFonts w:hint="eastAsia" w:ascii="宋体" w:hAnsi="宋体"/>
          <w:color w:val="auto"/>
          <w:highlight w:val="none"/>
        </w:rPr>
        <w:t xml:space="preserve">第三章  </w:t>
      </w:r>
      <w:r>
        <w:rPr>
          <w:rFonts w:hint="eastAsia" w:ascii="宋体" w:hAnsi="宋体"/>
          <w:color w:val="auto"/>
          <w:highlight w:val="none"/>
          <w:lang w:eastAsia="zh-CN"/>
        </w:rPr>
        <w:t>报价人</w:t>
      </w:r>
      <w:r>
        <w:rPr>
          <w:rFonts w:ascii="宋体" w:hAnsi="宋体"/>
          <w:color w:val="auto"/>
          <w:highlight w:val="none"/>
        </w:rPr>
        <w:t>须知</w:t>
      </w:r>
    </w:p>
    <w:p w14:paraId="32D043A5">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一</w:t>
      </w:r>
      <w:r>
        <w:rPr>
          <w:rFonts w:ascii="宋体" w:hAnsi="宋体"/>
          <w:b/>
          <w:color w:val="auto"/>
          <w:kern w:val="0"/>
          <w:sz w:val="24"/>
          <w:highlight w:val="none"/>
        </w:rPr>
        <w:t>、总则</w:t>
      </w:r>
    </w:p>
    <w:p w14:paraId="736EA9FA">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适用</w:t>
      </w:r>
      <w:r>
        <w:rPr>
          <w:rFonts w:ascii="宋体" w:hAnsi="宋体"/>
          <w:b/>
          <w:color w:val="auto"/>
          <w:kern w:val="0"/>
          <w:sz w:val="24"/>
          <w:highlight w:val="none"/>
        </w:rPr>
        <w:t>范围</w:t>
      </w:r>
    </w:p>
    <w:p w14:paraId="71FCCAF1">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1.1 本</w:t>
      </w:r>
      <w:r>
        <w:rPr>
          <w:rFonts w:hint="eastAsia" w:ascii="宋体" w:hAnsi="宋体"/>
          <w:color w:val="auto"/>
          <w:kern w:val="0"/>
          <w:sz w:val="24"/>
          <w:highlight w:val="none"/>
          <w:lang w:eastAsia="zh-CN"/>
        </w:rPr>
        <w:t>谈判采购文件</w:t>
      </w:r>
      <w:r>
        <w:rPr>
          <w:rFonts w:hint="eastAsia" w:ascii="宋体" w:hAnsi="宋体"/>
          <w:color w:val="auto"/>
          <w:kern w:val="0"/>
          <w:sz w:val="24"/>
          <w:highlight w:val="none"/>
        </w:rPr>
        <w:t>仅</w:t>
      </w:r>
      <w:r>
        <w:rPr>
          <w:rFonts w:ascii="宋体" w:hAnsi="宋体"/>
          <w:color w:val="auto"/>
          <w:kern w:val="0"/>
          <w:sz w:val="24"/>
          <w:highlight w:val="none"/>
        </w:rPr>
        <w:t>适用于本</w:t>
      </w:r>
      <w:r>
        <w:rPr>
          <w:rFonts w:hint="eastAsia" w:ascii="宋体" w:hAnsi="宋体"/>
          <w:color w:val="auto"/>
          <w:kern w:val="0"/>
          <w:sz w:val="24"/>
          <w:highlight w:val="none"/>
          <w:lang w:eastAsia="zh-CN"/>
        </w:rPr>
        <w:t>谈判采购</w:t>
      </w:r>
      <w:r>
        <w:rPr>
          <w:rFonts w:ascii="宋体" w:hAnsi="宋体"/>
          <w:color w:val="auto"/>
          <w:kern w:val="0"/>
          <w:sz w:val="24"/>
          <w:highlight w:val="none"/>
        </w:rPr>
        <w:t>中所叙述项目下的采购</w:t>
      </w:r>
      <w:r>
        <w:rPr>
          <w:rFonts w:hint="eastAsia" w:ascii="宋体" w:hAnsi="宋体"/>
          <w:color w:val="auto"/>
          <w:sz w:val="24"/>
          <w:highlight w:val="none"/>
        </w:rPr>
        <w:t>，是</w:t>
      </w:r>
      <w:r>
        <w:rPr>
          <w:rFonts w:hint="eastAsia" w:ascii="宋体" w:hAnsi="宋体"/>
          <w:color w:val="auto"/>
          <w:sz w:val="24"/>
          <w:highlight w:val="none"/>
          <w:lang w:eastAsia="zh-CN"/>
        </w:rPr>
        <w:t>报价人</w:t>
      </w:r>
      <w:r>
        <w:rPr>
          <w:rFonts w:hint="eastAsia" w:ascii="宋体" w:hAnsi="宋体"/>
          <w:color w:val="auto"/>
          <w:sz w:val="24"/>
          <w:highlight w:val="none"/>
        </w:rPr>
        <w:t>编制</w:t>
      </w:r>
      <w:r>
        <w:rPr>
          <w:rFonts w:hint="eastAsia" w:ascii="宋体" w:hAnsi="宋体"/>
          <w:color w:val="auto"/>
          <w:sz w:val="24"/>
          <w:highlight w:val="none"/>
          <w:lang w:eastAsia="zh-CN"/>
        </w:rPr>
        <w:t>谈判文件</w:t>
      </w:r>
      <w:r>
        <w:rPr>
          <w:rFonts w:hint="eastAsia" w:ascii="宋体" w:hAnsi="宋体"/>
          <w:color w:val="auto"/>
          <w:sz w:val="24"/>
          <w:highlight w:val="none"/>
        </w:rPr>
        <w:t>的依据</w:t>
      </w:r>
      <w:r>
        <w:rPr>
          <w:rFonts w:ascii="宋体" w:hAnsi="宋体"/>
          <w:color w:val="auto"/>
          <w:kern w:val="0"/>
          <w:sz w:val="24"/>
          <w:highlight w:val="none"/>
        </w:rPr>
        <w:t>。</w:t>
      </w:r>
    </w:p>
    <w:p w14:paraId="63160AB1">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1.2</w:t>
      </w:r>
      <w:r>
        <w:rPr>
          <w:rFonts w:ascii="宋体" w:hAnsi="宋体"/>
          <w:color w:val="auto"/>
          <w:kern w:val="0"/>
          <w:sz w:val="24"/>
          <w:highlight w:val="none"/>
        </w:rPr>
        <w:t xml:space="preserve"> </w:t>
      </w:r>
      <w:r>
        <w:rPr>
          <w:rFonts w:hint="eastAsia" w:ascii="宋体" w:hAnsi="宋体"/>
          <w:color w:val="auto"/>
          <w:sz w:val="24"/>
          <w:highlight w:val="none"/>
        </w:rPr>
        <w:t>本</w:t>
      </w:r>
      <w:r>
        <w:rPr>
          <w:rFonts w:hint="eastAsia" w:ascii="宋体" w:hAnsi="宋体"/>
          <w:color w:val="auto"/>
          <w:sz w:val="24"/>
          <w:highlight w:val="none"/>
          <w:lang w:eastAsia="zh-CN"/>
        </w:rPr>
        <w:t>谈判采购文件</w:t>
      </w:r>
      <w:r>
        <w:rPr>
          <w:rFonts w:hint="eastAsia" w:ascii="宋体" w:hAnsi="宋体"/>
          <w:color w:val="auto"/>
          <w:sz w:val="24"/>
          <w:highlight w:val="none"/>
        </w:rPr>
        <w:t>及由本次</w:t>
      </w:r>
      <w:r>
        <w:rPr>
          <w:rFonts w:hint="eastAsia" w:ascii="宋体" w:hAnsi="宋体"/>
          <w:color w:val="auto"/>
          <w:sz w:val="24"/>
          <w:highlight w:val="none"/>
          <w:lang w:val="en-US" w:eastAsia="zh-CN"/>
        </w:rPr>
        <w:t>谈判采购</w:t>
      </w:r>
      <w:r>
        <w:rPr>
          <w:rFonts w:hint="eastAsia" w:ascii="宋体" w:hAnsi="宋体"/>
          <w:color w:val="auto"/>
          <w:sz w:val="24"/>
          <w:highlight w:val="none"/>
        </w:rPr>
        <w:t>所形成的合同适用中华人民共和国法律。</w:t>
      </w:r>
    </w:p>
    <w:p w14:paraId="00F77FDC">
      <w:pPr>
        <w:spacing w:line="360" w:lineRule="auto"/>
        <w:ind w:firstLine="482" w:firstLineChars="200"/>
        <w:rPr>
          <w:rFonts w:hint="eastAsia" w:ascii="宋体" w:hAnsi="宋体" w:eastAsia="宋体"/>
          <w:b/>
          <w:color w:val="auto"/>
          <w:kern w:val="0"/>
          <w:sz w:val="24"/>
          <w:highlight w:val="none"/>
          <w:lang w:eastAsia="zh-CN"/>
        </w:rPr>
      </w:pPr>
      <w:r>
        <w:rPr>
          <w:rFonts w:ascii="宋体" w:hAnsi="宋体"/>
          <w:b/>
          <w:color w:val="auto"/>
          <w:kern w:val="0"/>
          <w:sz w:val="24"/>
          <w:highlight w:val="none"/>
        </w:rPr>
        <w:t>2.</w:t>
      </w:r>
      <w:r>
        <w:rPr>
          <w:rFonts w:hint="eastAsia" w:ascii="宋体" w:hAnsi="宋体"/>
          <w:b/>
          <w:color w:val="auto"/>
          <w:kern w:val="0"/>
          <w:sz w:val="24"/>
          <w:highlight w:val="none"/>
        </w:rPr>
        <w:t>合格</w:t>
      </w:r>
      <w:r>
        <w:rPr>
          <w:rFonts w:ascii="宋体" w:hAnsi="宋体"/>
          <w:b/>
          <w:color w:val="auto"/>
          <w:kern w:val="0"/>
          <w:sz w:val="24"/>
          <w:highlight w:val="none"/>
        </w:rPr>
        <w:t>的</w:t>
      </w:r>
      <w:r>
        <w:rPr>
          <w:rFonts w:hint="eastAsia" w:ascii="宋体" w:hAnsi="宋体"/>
          <w:b/>
          <w:color w:val="auto"/>
          <w:kern w:val="0"/>
          <w:sz w:val="24"/>
          <w:highlight w:val="none"/>
          <w:lang w:eastAsia="zh-CN"/>
        </w:rPr>
        <w:t>报价人</w:t>
      </w:r>
    </w:p>
    <w:p w14:paraId="417644E4">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凡在</w:t>
      </w:r>
      <w:r>
        <w:rPr>
          <w:rFonts w:ascii="宋体" w:hAnsi="宋体"/>
          <w:color w:val="auto"/>
          <w:kern w:val="0"/>
          <w:sz w:val="24"/>
          <w:highlight w:val="none"/>
        </w:rPr>
        <w:t>中华人民共和国注册的、具有法人资格的、具备资质要求的公司均可</w:t>
      </w:r>
      <w:r>
        <w:rPr>
          <w:rFonts w:hint="eastAsia" w:ascii="宋体" w:hAnsi="宋体"/>
          <w:color w:val="auto"/>
          <w:kern w:val="0"/>
          <w:sz w:val="24"/>
          <w:highlight w:val="none"/>
        </w:rPr>
        <w:t>参与</w:t>
      </w:r>
      <w:r>
        <w:rPr>
          <w:rFonts w:hint="eastAsia" w:ascii="宋体" w:hAnsi="宋体"/>
          <w:color w:val="auto"/>
          <w:kern w:val="0"/>
          <w:sz w:val="24"/>
          <w:highlight w:val="none"/>
          <w:lang w:eastAsia="zh-CN"/>
        </w:rPr>
        <w:t>谈判采购</w:t>
      </w:r>
      <w:r>
        <w:rPr>
          <w:rFonts w:ascii="宋体" w:hAnsi="宋体"/>
          <w:color w:val="auto"/>
          <w:kern w:val="0"/>
          <w:sz w:val="24"/>
          <w:highlight w:val="none"/>
        </w:rPr>
        <w:t>。</w:t>
      </w:r>
    </w:p>
    <w:p w14:paraId="59B0A77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2.2 </w:t>
      </w:r>
      <w:r>
        <w:rPr>
          <w:rFonts w:hint="eastAsia" w:ascii="宋体" w:hAnsi="宋体"/>
          <w:color w:val="auto"/>
          <w:sz w:val="24"/>
          <w:highlight w:val="none"/>
        </w:rPr>
        <w:t>本次</w:t>
      </w:r>
      <w:r>
        <w:rPr>
          <w:rFonts w:hint="eastAsia" w:ascii="宋体" w:hAnsi="宋体"/>
          <w:color w:val="auto"/>
          <w:sz w:val="24"/>
          <w:highlight w:val="none"/>
          <w:lang w:eastAsia="zh-CN"/>
        </w:rPr>
        <w:t>谈判采购</w:t>
      </w:r>
      <w:r>
        <w:rPr>
          <w:rFonts w:hint="eastAsia" w:ascii="宋体" w:hAnsi="宋体"/>
          <w:color w:val="auto"/>
          <w:sz w:val="24"/>
          <w:highlight w:val="none"/>
        </w:rPr>
        <w:t>对</w:t>
      </w:r>
      <w:r>
        <w:rPr>
          <w:rFonts w:hint="eastAsia" w:ascii="宋体" w:hAnsi="宋体"/>
          <w:color w:val="auto"/>
          <w:sz w:val="24"/>
          <w:highlight w:val="none"/>
          <w:lang w:eastAsia="zh-CN"/>
        </w:rPr>
        <w:t>报价人</w:t>
      </w:r>
      <w:r>
        <w:rPr>
          <w:rFonts w:hint="eastAsia" w:ascii="宋体" w:hAnsi="宋体"/>
          <w:color w:val="auto"/>
          <w:sz w:val="24"/>
          <w:highlight w:val="none"/>
        </w:rPr>
        <w:t>的资格审查采用资格后审。</w:t>
      </w:r>
    </w:p>
    <w:p w14:paraId="6651DA7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 xml:space="preserve">.3 </w:t>
      </w:r>
      <w:r>
        <w:rPr>
          <w:rFonts w:hint="eastAsia" w:ascii="宋体" w:hAnsi="宋体"/>
          <w:color w:val="auto"/>
          <w:kern w:val="0"/>
          <w:sz w:val="24"/>
          <w:highlight w:val="none"/>
          <w:lang w:eastAsia="zh-CN"/>
        </w:rPr>
        <w:t>报价人</w:t>
      </w:r>
      <w:r>
        <w:rPr>
          <w:rFonts w:ascii="宋体" w:hAnsi="宋体"/>
          <w:color w:val="auto"/>
          <w:kern w:val="0"/>
          <w:sz w:val="24"/>
          <w:highlight w:val="none"/>
        </w:rPr>
        <w:t>应遵守中国法律和法规。</w:t>
      </w:r>
    </w:p>
    <w:p w14:paraId="26E1438E">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w:t>
      </w:r>
      <w:r>
        <w:rPr>
          <w:rFonts w:hint="eastAsia" w:ascii="宋体" w:hAnsi="宋体"/>
          <w:b/>
          <w:color w:val="auto"/>
          <w:kern w:val="0"/>
          <w:sz w:val="24"/>
          <w:highlight w:val="none"/>
          <w:lang w:eastAsia="zh-CN"/>
        </w:rPr>
        <w:t>谈判采购</w:t>
      </w:r>
      <w:r>
        <w:rPr>
          <w:rFonts w:ascii="宋体" w:hAnsi="宋体"/>
          <w:b/>
          <w:color w:val="auto"/>
          <w:kern w:val="0"/>
          <w:sz w:val="24"/>
          <w:highlight w:val="none"/>
        </w:rPr>
        <w:t>费用</w:t>
      </w:r>
    </w:p>
    <w:p w14:paraId="20A80A15">
      <w:pPr>
        <w:spacing w:line="360" w:lineRule="auto"/>
        <w:ind w:firstLine="480" w:firstLineChars="200"/>
        <w:rPr>
          <w:rFonts w:ascii="宋体" w:hAnsi="宋体"/>
          <w:color w:val="auto"/>
          <w:sz w:val="24"/>
          <w:highlight w:val="none"/>
        </w:rPr>
      </w:pPr>
      <w:r>
        <w:rPr>
          <w:rFonts w:ascii="宋体" w:hAnsi="宋体"/>
          <w:color w:val="auto"/>
          <w:kern w:val="0"/>
          <w:sz w:val="24"/>
          <w:highlight w:val="none"/>
        </w:rPr>
        <w:t>3</w:t>
      </w:r>
      <w:r>
        <w:rPr>
          <w:rFonts w:hint="eastAsia" w:ascii="宋体" w:hAnsi="宋体"/>
          <w:color w:val="auto"/>
          <w:kern w:val="0"/>
          <w:sz w:val="24"/>
          <w:highlight w:val="none"/>
        </w:rPr>
        <w:t>.1</w:t>
      </w:r>
      <w:r>
        <w:rPr>
          <w:rFonts w:hint="eastAsia" w:ascii="宋体" w:hAnsi="宋体"/>
          <w:color w:val="auto"/>
          <w:sz w:val="24"/>
          <w:highlight w:val="none"/>
          <w:lang w:eastAsia="zh-CN"/>
        </w:rPr>
        <w:t>报价人</w:t>
      </w:r>
      <w:r>
        <w:rPr>
          <w:rFonts w:ascii="宋体" w:hAnsi="宋体"/>
          <w:color w:val="auto"/>
          <w:sz w:val="24"/>
          <w:highlight w:val="none"/>
        </w:rPr>
        <w:t>应承担其参与本次</w:t>
      </w:r>
      <w:r>
        <w:rPr>
          <w:rFonts w:hint="eastAsia" w:ascii="宋体" w:hAnsi="宋体"/>
          <w:color w:val="auto"/>
          <w:kern w:val="0"/>
          <w:sz w:val="24"/>
          <w:highlight w:val="none"/>
          <w:lang w:eastAsia="zh-CN"/>
        </w:rPr>
        <w:t>谈判采购</w:t>
      </w:r>
      <w:r>
        <w:rPr>
          <w:rFonts w:ascii="宋体" w:hAnsi="宋体"/>
          <w:color w:val="auto"/>
          <w:sz w:val="24"/>
          <w:highlight w:val="none"/>
        </w:rPr>
        <w:t>所涉及的一切费用。不论</w:t>
      </w:r>
      <w:r>
        <w:rPr>
          <w:rFonts w:hint="eastAsia" w:ascii="宋体" w:hAnsi="宋体"/>
          <w:color w:val="auto"/>
          <w:sz w:val="24"/>
          <w:highlight w:val="none"/>
          <w:lang w:val="en-US" w:eastAsia="zh-CN"/>
        </w:rPr>
        <w:t>谈判采购</w:t>
      </w:r>
      <w:r>
        <w:rPr>
          <w:rFonts w:ascii="宋体" w:hAnsi="宋体"/>
          <w:color w:val="auto"/>
          <w:sz w:val="24"/>
          <w:highlight w:val="none"/>
        </w:rPr>
        <w:t>结果如何，</w:t>
      </w:r>
      <w:r>
        <w:rPr>
          <w:rFonts w:hint="eastAsia" w:ascii="宋体" w:hAnsi="宋体"/>
          <w:color w:val="auto"/>
          <w:sz w:val="24"/>
          <w:highlight w:val="none"/>
        </w:rPr>
        <w:t>采购人均无</w:t>
      </w:r>
      <w:r>
        <w:rPr>
          <w:rFonts w:ascii="宋体" w:hAnsi="宋体"/>
          <w:color w:val="auto"/>
          <w:sz w:val="24"/>
          <w:highlight w:val="none"/>
        </w:rPr>
        <w:t>义务</w:t>
      </w:r>
      <w:r>
        <w:rPr>
          <w:rFonts w:hint="eastAsia" w:ascii="宋体" w:hAnsi="宋体"/>
          <w:color w:val="auto"/>
          <w:sz w:val="24"/>
          <w:highlight w:val="none"/>
        </w:rPr>
        <w:t>和</w:t>
      </w:r>
      <w:r>
        <w:rPr>
          <w:rFonts w:ascii="宋体" w:hAnsi="宋体"/>
          <w:color w:val="auto"/>
          <w:sz w:val="24"/>
          <w:highlight w:val="none"/>
        </w:rPr>
        <w:t>责任承担这些费用</w:t>
      </w:r>
      <w:r>
        <w:rPr>
          <w:rFonts w:hint="eastAsia" w:ascii="宋体" w:hAnsi="宋体"/>
          <w:color w:val="auto"/>
          <w:sz w:val="24"/>
          <w:highlight w:val="none"/>
        </w:rPr>
        <w:t>。</w:t>
      </w:r>
    </w:p>
    <w:p w14:paraId="46260431">
      <w:pPr>
        <w:spacing w:line="360" w:lineRule="auto"/>
        <w:ind w:firstLine="482" w:firstLineChars="200"/>
        <w:rPr>
          <w:rFonts w:ascii="宋体" w:hAnsi="宋体"/>
          <w:b/>
          <w:color w:val="auto"/>
          <w:sz w:val="24"/>
          <w:highlight w:val="none"/>
        </w:rPr>
      </w:pPr>
      <w:r>
        <w:rPr>
          <w:rFonts w:ascii="宋体" w:hAnsi="宋体"/>
          <w:b/>
          <w:color w:val="auto"/>
          <w:sz w:val="24"/>
          <w:highlight w:val="none"/>
        </w:rPr>
        <w:t>4.特别注意</w:t>
      </w:r>
    </w:p>
    <w:p w14:paraId="76841A14">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单位负责人为同一人或者存在控股、管理关系的不同单位，不得同时参加本次</w:t>
      </w:r>
      <w:r>
        <w:rPr>
          <w:rFonts w:hint="eastAsia" w:ascii="宋体" w:hAnsi="宋体"/>
          <w:color w:val="auto"/>
          <w:sz w:val="24"/>
          <w:highlight w:val="none"/>
          <w:lang w:eastAsia="zh-CN"/>
        </w:rPr>
        <w:t>谈判采购</w:t>
      </w:r>
      <w:r>
        <w:rPr>
          <w:rFonts w:hint="eastAsia" w:ascii="宋体" w:hAnsi="宋体"/>
          <w:color w:val="auto"/>
          <w:sz w:val="24"/>
          <w:highlight w:val="none"/>
        </w:rPr>
        <w:t>。</w:t>
      </w:r>
    </w:p>
    <w:p w14:paraId="27E839A6">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二</w:t>
      </w:r>
      <w:r>
        <w:rPr>
          <w:rFonts w:ascii="宋体" w:hAnsi="宋体"/>
          <w:b/>
          <w:color w:val="auto"/>
          <w:kern w:val="0"/>
          <w:sz w:val="24"/>
          <w:highlight w:val="none"/>
        </w:rPr>
        <w:t>、</w:t>
      </w:r>
      <w:r>
        <w:rPr>
          <w:rFonts w:hint="eastAsia" w:ascii="宋体" w:hAnsi="宋体"/>
          <w:b/>
          <w:color w:val="auto"/>
          <w:kern w:val="0"/>
          <w:sz w:val="24"/>
          <w:highlight w:val="none"/>
          <w:lang w:eastAsia="zh-CN"/>
        </w:rPr>
        <w:t>谈判采购文件</w:t>
      </w:r>
      <w:r>
        <w:rPr>
          <w:rFonts w:ascii="宋体" w:hAnsi="宋体"/>
          <w:b/>
          <w:color w:val="auto"/>
          <w:kern w:val="0"/>
          <w:sz w:val="24"/>
          <w:highlight w:val="none"/>
        </w:rPr>
        <w:t>说明</w:t>
      </w:r>
    </w:p>
    <w:p w14:paraId="5CD1F189">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w:t>
      </w:r>
      <w:r>
        <w:rPr>
          <w:rFonts w:hint="eastAsia" w:ascii="宋体" w:hAnsi="宋体"/>
          <w:b/>
          <w:color w:val="auto"/>
          <w:kern w:val="0"/>
          <w:sz w:val="24"/>
          <w:highlight w:val="none"/>
          <w:lang w:eastAsia="zh-CN"/>
        </w:rPr>
        <w:t>谈判采购文件</w:t>
      </w:r>
      <w:r>
        <w:rPr>
          <w:rFonts w:ascii="宋体" w:hAnsi="宋体"/>
          <w:b/>
          <w:color w:val="auto"/>
          <w:kern w:val="0"/>
          <w:sz w:val="24"/>
          <w:highlight w:val="none"/>
        </w:rPr>
        <w:t>的构成</w:t>
      </w:r>
    </w:p>
    <w:p w14:paraId="46F7FE3D">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1.1 </w:t>
      </w:r>
      <w:r>
        <w:rPr>
          <w:rFonts w:hint="eastAsia" w:ascii="宋体" w:hAnsi="宋体"/>
          <w:color w:val="auto"/>
          <w:kern w:val="0"/>
          <w:sz w:val="24"/>
          <w:highlight w:val="none"/>
          <w:lang w:eastAsia="zh-CN"/>
        </w:rPr>
        <w:t>谈判采购文件</w:t>
      </w:r>
      <w:r>
        <w:rPr>
          <w:rFonts w:hint="eastAsia" w:ascii="宋体" w:hAnsi="宋体"/>
          <w:color w:val="auto"/>
          <w:kern w:val="0"/>
          <w:sz w:val="24"/>
          <w:highlight w:val="none"/>
        </w:rPr>
        <w:t>用</w:t>
      </w:r>
      <w:r>
        <w:rPr>
          <w:rFonts w:ascii="宋体" w:hAnsi="宋体"/>
          <w:color w:val="auto"/>
          <w:kern w:val="0"/>
          <w:sz w:val="24"/>
          <w:highlight w:val="none"/>
        </w:rPr>
        <w:t>以阐明所需提供的服务内容和范围及</w:t>
      </w:r>
      <w:r>
        <w:rPr>
          <w:rFonts w:hint="eastAsia" w:ascii="宋体" w:hAnsi="宋体"/>
          <w:color w:val="auto"/>
          <w:kern w:val="0"/>
          <w:sz w:val="24"/>
          <w:highlight w:val="none"/>
          <w:lang w:eastAsia="zh-CN"/>
        </w:rPr>
        <w:t>谈判采购</w:t>
      </w:r>
      <w:r>
        <w:rPr>
          <w:rFonts w:ascii="宋体" w:hAnsi="宋体"/>
          <w:color w:val="auto"/>
          <w:kern w:val="0"/>
          <w:sz w:val="24"/>
          <w:highlight w:val="none"/>
        </w:rPr>
        <w:t>程序。</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包括以下内容：</w:t>
      </w:r>
    </w:p>
    <w:p w14:paraId="542B4A05">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w:t>
      </w:r>
      <w:r>
        <w:rPr>
          <w:rFonts w:hint="eastAsia" w:ascii="宋体" w:hAnsi="宋体"/>
          <w:color w:val="auto"/>
          <w:kern w:val="0"/>
          <w:sz w:val="24"/>
          <w:highlight w:val="none"/>
          <w:lang w:val="en-US" w:eastAsia="zh-CN"/>
        </w:rPr>
        <w:t>谈判采购</w:t>
      </w:r>
      <w:r>
        <w:rPr>
          <w:rFonts w:hint="eastAsia" w:ascii="宋体" w:hAnsi="宋体"/>
          <w:color w:val="auto"/>
          <w:kern w:val="0"/>
          <w:sz w:val="24"/>
          <w:highlight w:val="none"/>
        </w:rPr>
        <w:t>公告</w:t>
      </w:r>
    </w:p>
    <w:p w14:paraId="218E6390">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w:t>
      </w:r>
      <w:r>
        <w:rPr>
          <w:rFonts w:hint="eastAsia" w:ascii="宋体" w:hAnsi="宋体"/>
          <w:color w:val="auto"/>
          <w:kern w:val="0"/>
          <w:sz w:val="24"/>
          <w:highlight w:val="none"/>
          <w:lang w:eastAsia="zh-CN"/>
        </w:rPr>
        <w:t>报价人</w:t>
      </w:r>
      <w:r>
        <w:rPr>
          <w:rFonts w:ascii="宋体" w:hAnsi="宋体"/>
          <w:color w:val="auto"/>
          <w:kern w:val="0"/>
          <w:sz w:val="24"/>
          <w:highlight w:val="none"/>
        </w:rPr>
        <w:t>须知</w:t>
      </w:r>
    </w:p>
    <w:p w14:paraId="52D4AEF8">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（3）项目</w:t>
      </w:r>
      <w:r>
        <w:rPr>
          <w:rFonts w:ascii="宋体" w:hAnsi="宋体"/>
          <w:color w:val="auto"/>
          <w:kern w:val="0"/>
          <w:sz w:val="24"/>
          <w:highlight w:val="none"/>
        </w:rPr>
        <w:t>内容</w:t>
      </w:r>
    </w:p>
    <w:p w14:paraId="3557531A">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4</w:t>
      </w:r>
      <w:r>
        <w:rPr>
          <w:rFonts w:hint="eastAsia" w:ascii="宋体" w:hAnsi="宋体"/>
          <w:color w:val="auto"/>
          <w:kern w:val="0"/>
          <w:sz w:val="24"/>
          <w:highlight w:val="none"/>
        </w:rPr>
        <w:t>）附件－</w:t>
      </w:r>
      <w:r>
        <w:rPr>
          <w:rFonts w:hint="eastAsia" w:ascii="宋体" w:hAnsi="宋体"/>
          <w:color w:val="auto"/>
          <w:kern w:val="0"/>
          <w:sz w:val="24"/>
          <w:highlight w:val="none"/>
          <w:lang w:eastAsia="zh-CN"/>
        </w:rPr>
        <w:t>谈判文件</w:t>
      </w:r>
      <w:r>
        <w:rPr>
          <w:rFonts w:ascii="宋体" w:hAnsi="宋体"/>
          <w:color w:val="auto"/>
          <w:kern w:val="0"/>
          <w:sz w:val="24"/>
          <w:highlight w:val="none"/>
        </w:rPr>
        <w:t>格式</w:t>
      </w:r>
    </w:p>
    <w:p w14:paraId="7C539E6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 xml:space="preserve">.2 </w:t>
      </w:r>
      <w:r>
        <w:rPr>
          <w:rFonts w:hint="eastAsia" w:ascii="宋体" w:hAnsi="宋体"/>
          <w:color w:val="auto"/>
          <w:kern w:val="0"/>
          <w:sz w:val="24"/>
          <w:highlight w:val="none"/>
          <w:lang w:eastAsia="zh-CN"/>
        </w:rPr>
        <w:t>报价人</w:t>
      </w:r>
      <w:r>
        <w:rPr>
          <w:rFonts w:ascii="宋体" w:hAnsi="宋体"/>
          <w:color w:val="auto"/>
          <w:kern w:val="0"/>
          <w:sz w:val="24"/>
          <w:highlight w:val="none"/>
        </w:rPr>
        <w:t>应认真阅读</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中的所有条款、格式和服务要求等。</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没有</w:t>
      </w:r>
      <w:r>
        <w:rPr>
          <w:rFonts w:ascii="宋体" w:hAnsi="宋体"/>
          <w:color w:val="auto"/>
          <w:kern w:val="0"/>
          <w:sz w:val="24"/>
          <w:highlight w:val="none"/>
        </w:rPr>
        <w:t>按照</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要求提交全部资料，或其</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没有对</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全面做出实质性</w:t>
      </w:r>
      <w:r>
        <w:rPr>
          <w:rFonts w:hint="eastAsia" w:ascii="宋体" w:hAnsi="宋体"/>
          <w:color w:val="auto"/>
          <w:kern w:val="0"/>
          <w:sz w:val="24"/>
          <w:highlight w:val="none"/>
        </w:rPr>
        <w:t>响应</w:t>
      </w:r>
      <w:r>
        <w:rPr>
          <w:rFonts w:ascii="宋体" w:hAnsi="宋体"/>
          <w:color w:val="auto"/>
          <w:kern w:val="0"/>
          <w:sz w:val="24"/>
          <w:highlight w:val="none"/>
        </w:rPr>
        <w:t>，都可能导致被拒绝。</w:t>
      </w:r>
    </w:p>
    <w:p w14:paraId="2202DCC1">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lang w:eastAsia="zh-CN"/>
        </w:rPr>
        <w:t>谈判采购文件</w:t>
      </w:r>
      <w:r>
        <w:rPr>
          <w:rFonts w:ascii="宋体" w:hAnsi="宋体"/>
          <w:b/>
          <w:color w:val="auto"/>
          <w:kern w:val="0"/>
          <w:sz w:val="24"/>
          <w:highlight w:val="none"/>
        </w:rPr>
        <w:t>的澄清</w:t>
      </w:r>
    </w:p>
    <w:p w14:paraId="0E84888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任何</w:t>
      </w:r>
      <w:r>
        <w:rPr>
          <w:rFonts w:ascii="宋体" w:hAnsi="宋体"/>
          <w:color w:val="auto"/>
          <w:kern w:val="0"/>
          <w:sz w:val="24"/>
          <w:highlight w:val="none"/>
        </w:rPr>
        <w:t>要求采购人对</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进行澄清的</w:t>
      </w:r>
      <w:r>
        <w:rPr>
          <w:rFonts w:hint="eastAsia" w:ascii="宋体" w:hAnsi="宋体"/>
          <w:color w:val="auto"/>
          <w:kern w:val="0"/>
          <w:sz w:val="24"/>
          <w:highlight w:val="none"/>
          <w:lang w:eastAsia="zh-CN"/>
        </w:rPr>
        <w:t>报价人</w:t>
      </w:r>
      <w:r>
        <w:rPr>
          <w:rFonts w:ascii="宋体" w:hAnsi="宋体"/>
          <w:color w:val="auto"/>
          <w:kern w:val="0"/>
          <w:sz w:val="24"/>
          <w:highlight w:val="none"/>
        </w:rPr>
        <w:t>，均应以</w:t>
      </w:r>
      <w:r>
        <w:rPr>
          <w:rFonts w:hint="eastAsia" w:ascii="宋体" w:hAnsi="宋体"/>
          <w:color w:val="auto"/>
          <w:kern w:val="0"/>
          <w:sz w:val="24"/>
          <w:highlight w:val="none"/>
        </w:rPr>
        <w:t>书面</w:t>
      </w:r>
      <w:r>
        <w:rPr>
          <w:rFonts w:ascii="宋体" w:hAnsi="宋体"/>
          <w:color w:val="auto"/>
          <w:kern w:val="0"/>
          <w:sz w:val="24"/>
          <w:highlight w:val="none"/>
        </w:rPr>
        <w:t>形式（</w:t>
      </w:r>
      <w:r>
        <w:rPr>
          <w:rFonts w:hint="eastAsia" w:ascii="宋体" w:hAnsi="宋体"/>
          <w:color w:val="auto"/>
          <w:kern w:val="0"/>
          <w:sz w:val="24"/>
          <w:highlight w:val="none"/>
        </w:rPr>
        <w:t>包括</w:t>
      </w:r>
      <w:r>
        <w:rPr>
          <w:rFonts w:ascii="宋体" w:hAnsi="宋体"/>
          <w:color w:val="auto"/>
          <w:kern w:val="0"/>
          <w:sz w:val="24"/>
          <w:highlight w:val="none"/>
        </w:rPr>
        <w:t>传真）</w:t>
      </w:r>
      <w:r>
        <w:rPr>
          <w:rFonts w:hint="eastAsia" w:ascii="宋体" w:hAnsi="宋体"/>
          <w:color w:val="auto"/>
          <w:kern w:val="0"/>
          <w:sz w:val="24"/>
          <w:highlight w:val="none"/>
        </w:rPr>
        <w:t>通知</w:t>
      </w:r>
      <w:r>
        <w:rPr>
          <w:rFonts w:ascii="宋体" w:hAnsi="宋体"/>
          <w:color w:val="auto"/>
          <w:kern w:val="0"/>
          <w:sz w:val="24"/>
          <w:highlight w:val="none"/>
        </w:rPr>
        <w:t>采购人。采购人</w:t>
      </w:r>
      <w:r>
        <w:rPr>
          <w:rFonts w:hint="eastAsia" w:ascii="宋体" w:hAnsi="宋体"/>
          <w:color w:val="auto"/>
          <w:kern w:val="0"/>
          <w:sz w:val="24"/>
          <w:highlight w:val="none"/>
        </w:rPr>
        <w:t>将视情况确定</w:t>
      </w:r>
      <w:r>
        <w:rPr>
          <w:rFonts w:ascii="宋体" w:hAnsi="宋体"/>
          <w:color w:val="auto"/>
          <w:kern w:val="0"/>
          <w:sz w:val="24"/>
          <w:highlight w:val="none"/>
        </w:rPr>
        <w:t>采用适当方式予以澄清</w:t>
      </w:r>
      <w:r>
        <w:rPr>
          <w:rFonts w:hint="eastAsia" w:ascii="宋体" w:hAnsi="宋体"/>
          <w:color w:val="auto"/>
          <w:kern w:val="0"/>
          <w:sz w:val="24"/>
          <w:highlight w:val="none"/>
        </w:rPr>
        <w:t>或以</w:t>
      </w:r>
      <w:r>
        <w:rPr>
          <w:rFonts w:ascii="宋体" w:hAnsi="宋体"/>
          <w:color w:val="auto"/>
          <w:kern w:val="0"/>
          <w:sz w:val="24"/>
          <w:highlight w:val="none"/>
        </w:rPr>
        <w:t>书面形式予以答复，并在其认为必要时，</w:t>
      </w:r>
      <w:r>
        <w:rPr>
          <w:rFonts w:hint="eastAsia" w:ascii="宋体" w:hAnsi="宋体"/>
          <w:color w:val="auto"/>
          <w:kern w:val="0"/>
          <w:sz w:val="24"/>
          <w:highlight w:val="none"/>
        </w:rPr>
        <w:t>将</w:t>
      </w:r>
      <w:r>
        <w:rPr>
          <w:rFonts w:ascii="宋体" w:hAnsi="宋体"/>
          <w:color w:val="auto"/>
          <w:kern w:val="0"/>
          <w:sz w:val="24"/>
          <w:highlight w:val="none"/>
        </w:rPr>
        <w:t>不</w:t>
      </w:r>
      <w:r>
        <w:rPr>
          <w:rFonts w:hint="eastAsia" w:ascii="宋体" w:hAnsi="宋体"/>
          <w:color w:val="auto"/>
          <w:kern w:val="0"/>
          <w:sz w:val="24"/>
          <w:highlight w:val="none"/>
        </w:rPr>
        <w:t>标明</w:t>
      </w:r>
      <w:r>
        <w:rPr>
          <w:rFonts w:ascii="宋体" w:hAnsi="宋体"/>
          <w:color w:val="auto"/>
          <w:kern w:val="0"/>
          <w:sz w:val="24"/>
          <w:highlight w:val="none"/>
        </w:rPr>
        <w:t>询问来源的书面答复发送给每个</w:t>
      </w:r>
      <w:r>
        <w:rPr>
          <w:rFonts w:hint="eastAsia" w:ascii="宋体" w:hAnsi="宋体"/>
          <w:color w:val="auto"/>
          <w:kern w:val="0"/>
          <w:sz w:val="24"/>
          <w:highlight w:val="none"/>
        </w:rPr>
        <w:t>获取</w:t>
      </w:r>
      <w:r>
        <w:rPr>
          <w:rFonts w:hint="eastAsia" w:ascii="宋体" w:hAnsi="宋体"/>
          <w:color w:val="auto"/>
          <w:kern w:val="0"/>
          <w:sz w:val="24"/>
          <w:highlight w:val="none"/>
          <w:lang w:eastAsia="zh-CN"/>
        </w:rPr>
        <w:t>谈判文件</w:t>
      </w:r>
      <w:r>
        <w:rPr>
          <w:rFonts w:ascii="宋体" w:hAnsi="宋体"/>
          <w:color w:val="auto"/>
          <w:kern w:val="0"/>
          <w:sz w:val="24"/>
          <w:highlight w:val="none"/>
        </w:rPr>
        <w:t>的</w:t>
      </w:r>
      <w:r>
        <w:rPr>
          <w:rFonts w:hint="eastAsia" w:ascii="宋体" w:hAnsi="宋体"/>
          <w:color w:val="auto"/>
          <w:kern w:val="0"/>
          <w:sz w:val="24"/>
          <w:highlight w:val="none"/>
          <w:lang w:eastAsia="zh-CN"/>
        </w:rPr>
        <w:t>报价人</w:t>
      </w:r>
      <w:r>
        <w:rPr>
          <w:rFonts w:ascii="宋体" w:hAnsi="宋体"/>
          <w:color w:val="auto"/>
          <w:kern w:val="0"/>
          <w:sz w:val="24"/>
          <w:highlight w:val="none"/>
        </w:rPr>
        <w:t>。</w:t>
      </w:r>
    </w:p>
    <w:p w14:paraId="7E21ADEB">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三</w:t>
      </w:r>
      <w:r>
        <w:rPr>
          <w:rFonts w:ascii="宋体" w:hAnsi="宋体"/>
          <w:b/>
          <w:color w:val="auto"/>
          <w:kern w:val="0"/>
          <w:sz w:val="24"/>
          <w:highlight w:val="none"/>
        </w:rPr>
        <w:t>、</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的编写</w:t>
      </w:r>
    </w:p>
    <w:p w14:paraId="72AF172B">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.文件</w:t>
      </w:r>
      <w:r>
        <w:rPr>
          <w:rFonts w:ascii="宋体" w:hAnsi="宋体"/>
          <w:b/>
          <w:color w:val="auto"/>
          <w:kern w:val="0"/>
          <w:sz w:val="24"/>
          <w:highlight w:val="none"/>
        </w:rPr>
        <w:t>语言</w:t>
      </w:r>
    </w:p>
    <w:p w14:paraId="2161F0D1">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1.1 </w:t>
      </w:r>
      <w:r>
        <w:rPr>
          <w:rFonts w:hint="eastAsia" w:ascii="宋体" w:hAnsi="宋体"/>
          <w:color w:val="auto"/>
          <w:kern w:val="0"/>
          <w:sz w:val="24"/>
          <w:highlight w:val="none"/>
        </w:rPr>
        <w:t>由</w:t>
      </w:r>
      <w:r>
        <w:rPr>
          <w:rFonts w:hint="eastAsia" w:ascii="宋体" w:hAnsi="宋体"/>
          <w:color w:val="auto"/>
          <w:kern w:val="0"/>
          <w:sz w:val="24"/>
          <w:highlight w:val="none"/>
          <w:lang w:eastAsia="zh-CN"/>
        </w:rPr>
        <w:t>报价人</w:t>
      </w:r>
      <w:r>
        <w:rPr>
          <w:rFonts w:ascii="宋体" w:hAnsi="宋体"/>
          <w:color w:val="auto"/>
          <w:kern w:val="0"/>
          <w:sz w:val="24"/>
          <w:highlight w:val="none"/>
        </w:rPr>
        <w:t>编写的</w:t>
      </w:r>
      <w:r>
        <w:rPr>
          <w:rFonts w:hint="eastAsia" w:ascii="宋体" w:hAnsi="宋体"/>
          <w:color w:val="auto"/>
          <w:kern w:val="0"/>
          <w:sz w:val="24"/>
          <w:highlight w:val="none"/>
          <w:lang w:eastAsia="zh-CN"/>
        </w:rPr>
        <w:t>谈判文件</w:t>
      </w:r>
      <w:r>
        <w:rPr>
          <w:rFonts w:ascii="宋体" w:hAnsi="宋体"/>
          <w:color w:val="auto"/>
          <w:kern w:val="0"/>
          <w:sz w:val="24"/>
          <w:highlight w:val="none"/>
        </w:rPr>
        <w:t>和往来信件应以</w:t>
      </w:r>
      <w:r>
        <w:rPr>
          <w:rFonts w:hint="eastAsia" w:ascii="宋体" w:hAnsi="宋体"/>
          <w:color w:val="auto"/>
          <w:kern w:val="0"/>
          <w:sz w:val="24"/>
          <w:highlight w:val="none"/>
        </w:rPr>
        <w:t>简体</w:t>
      </w:r>
      <w:r>
        <w:rPr>
          <w:rFonts w:ascii="宋体" w:hAnsi="宋体"/>
          <w:color w:val="auto"/>
          <w:kern w:val="0"/>
          <w:sz w:val="24"/>
          <w:highlight w:val="none"/>
        </w:rPr>
        <w:t>中文书写。</w:t>
      </w:r>
    </w:p>
    <w:p w14:paraId="76F5D049">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计量单位</w:t>
      </w:r>
    </w:p>
    <w:p w14:paraId="28C8DA0A">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除</w:t>
      </w:r>
      <w:r>
        <w:rPr>
          <w:rFonts w:ascii="宋体" w:hAnsi="宋体"/>
          <w:color w:val="auto"/>
          <w:kern w:val="0"/>
          <w:sz w:val="24"/>
          <w:highlight w:val="none"/>
        </w:rPr>
        <w:t>在</w:t>
      </w:r>
      <w:r>
        <w:rPr>
          <w:rFonts w:hint="eastAsia" w:ascii="宋体" w:hAnsi="宋体"/>
          <w:color w:val="auto"/>
          <w:kern w:val="0"/>
          <w:sz w:val="24"/>
          <w:highlight w:val="none"/>
          <w:lang w:eastAsia="zh-CN"/>
        </w:rPr>
        <w:t>谈判文件</w:t>
      </w:r>
      <w:r>
        <w:rPr>
          <w:rFonts w:ascii="宋体" w:hAnsi="宋体"/>
          <w:color w:val="auto"/>
          <w:kern w:val="0"/>
          <w:sz w:val="24"/>
          <w:highlight w:val="none"/>
        </w:rPr>
        <w:t>中</w:t>
      </w:r>
      <w:r>
        <w:rPr>
          <w:rFonts w:hint="eastAsia" w:ascii="宋体" w:hAnsi="宋体"/>
          <w:color w:val="auto"/>
          <w:kern w:val="0"/>
          <w:sz w:val="24"/>
          <w:highlight w:val="none"/>
        </w:rPr>
        <w:t>有</w:t>
      </w:r>
      <w:r>
        <w:rPr>
          <w:rFonts w:ascii="宋体" w:hAnsi="宋体"/>
          <w:color w:val="auto"/>
          <w:kern w:val="0"/>
          <w:sz w:val="24"/>
          <w:highlight w:val="none"/>
        </w:rPr>
        <w:t>特殊要求外，</w:t>
      </w:r>
      <w:r>
        <w:rPr>
          <w:rFonts w:hint="eastAsia" w:ascii="宋体" w:hAnsi="宋体"/>
          <w:color w:val="auto"/>
          <w:kern w:val="0"/>
          <w:sz w:val="24"/>
          <w:highlight w:val="none"/>
          <w:lang w:eastAsia="zh-CN"/>
        </w:rPr>
        <w:t>谈判文件</w:t>
      </w:r>
      <w:r>
        <w:rPr>
          <w:rFonts w:ascii="宋体" w:hAnsi="宋体"/>
          <w:color w:val="auto"/>
          <w:kern w:val="0"/>
          <w:sz w:val="24"/>
          <w:highlight w:val="none"/>
        </w:rPr>
        <w:t>中所使用的计量单位应为中华人民共和国法定计量单位。</w:t>
      </w:r>
    </w:p>
    <w:p w14:paraId="6C2533B7">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的组成</w:t>
      </w:r>
    </w:p>
    <w:p w14:paraId="05519369">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报价人</w:t>
      </w:r>
      <w:r>
        <w:rPr>
          <w:rFonts w:ascii="宋体" w:hAnsi="宋体"/>
          <w:color w:val="auto"/>
          <w:kern w:val="0"/>
          <w:sz w:val="24"/>
          <w:highlight w:val="none"/>
        </w:rPr>
        <w:t>编写的</w:t>
      </w:r>
      <w:r>
        <w:rPr>
          <w:rFonts w:hint="eastAsia" w:ascii="宋体" w:hAnsi="宋体"/>
          <w:color w:val="auto"/>
          <w:kern w:val="0"/>
          <w:sz w:val="24"/>
          <w:highlight w:val="none"/>
          <w:lang w:eastAsia="zh-CN"/>
        </w:rPr>
        <w:t>谈判文件</w:t>
      </w:r>
      <w:r>
        <w:rPr>
          <w:rFonts w:ascii="宋体" w:hAnsi="宋体"/>
          <w:color w:val="auto"/>
          <w:kern w:val="0"/>
          <w:sz w:val="24"/>
          <w:highlight w:val="none"/>
        </w:rPr>
        <w:t>应包括下列部分：</w:t>
      </w:r>
    </w:p>
    <w:p w14:paraId="5B366873">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1）</w:t>
      </w:r>
      <w:r>
        <w:rPr>
          <w:rFonts w:hint="eastAsia" w:ascii="宋体" w:hAnsi="宋体"/>
          <w:color w:val="auto"/>
          <w:kern w:val="0"/>
          <w:sz w:val="24"/>
          <w:highlight w:val="none"/>
          <w:lang w:val="en-US" w:eastAsia="zh-CN"/>
        </w:rPr>
        <w:t>谈判采购</w:t>
      </w:r>
      <w:r>
        <w:rPr>
          <w:rFonts w:hint="eastAsia" w:ascii="宋体" w:hAnsi="宋体"/>
          <w:color w:val="auto"/>
          <w:kern w:val="0"/>
          <w:sz w:val="24"/>
          <w:highlight w:val="none"/>
        </w:rPr>
        <w:t>响应书</w:t>
      </w:r>
    </w:p>
    <w:p w14:paraId="023D6F8C">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w:t>
      </w:r>
      <w:r>
        <w:rPr>
          <w:rFonts w:hint="eastAsia" w:ascii="宋体" w:hAnsi="宋体"/>
          <w:color w:val="auto"/>
          <w:kern w:val="0"/>
          <w:sz w:val="24"/>
          <w:highlight w:val="none"/>
          <w:lang w:eastAsia="zh-CN"/>
        </w:rPr>
        <w:t>报价人</w:t>
      </w:r>
      <w:r>
        <w:rPr>
          <w:rFonts w:ascii="宋体" w:hAnsi="宋体"/>
          <w:color w:val="auto"/>
          <w:kern w:val="0"/>
          <w:sz w:val="24"/>
          <w:highlight w:val="none"/>
        </w:rPr>
        <w:t>基本情况表</w:t>
      </w:r>
    </w:p>
    <w:p w14:paraId="3B9F4320">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（3）项目</w:t>
      </w:r>
      <w:r>
        <w:rPr>
          <w:rFonts w:ascii="宋体" w:hAnsi="宋体"/>
          <w:color w:val="auto"/>
          <w:kern w:val="0"/>
          <w:sz w:val="24"/>
          <w:highlight w:val="none"/>
        </w:rPr>
        <w:t>方案及有关承诺。</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必须</w:t>
      </w:r>
      <w:r>
        <w:rPr>
          <w:rFonts w:ascii="宋体" w:hAnsi="宋体"/>
          <w:color w:val="auto"/>
          <w:kern w:val="0"/>
          <w:sz w:val="24"/>
          <w:highlight w:val="none"/>
        </w:rPr>
        <w:t>提出明确的用于本项目方案，方案应包括但不限于以下内容：</w:t>
      </w:r>
    </w:p>
    <w:p w14:paraId="57690050">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（4）按照</w:t>
      </w:r>
      <w:r>
        <w:rPr>
          <w:rFonts w:hint="eastAsia" w:ascii="宋体" w:hAnsi="宋体"/>
          <w:color w:val="auto"/>
          <w:kern w:val="0"/>
          <w:sz w:val="24"/>
          <w:highlight w:val="none"/>
          <w:lang w:eastAsia="zh-CN"/>
        </w:rPr>
        <w:t>报价人</w:t>
      </w:r>
      <w:r>
        <w:rPr>
          <w:rFonts w:ascii="宋体" w:hAnsi="宋体"/>
          <w:color w:val="auto"/>
          <w:kern w:val="0"/>
          <w:sz w:val="24"/>
          <w:highlight w:val="none"/>
        </w:rPr>
        <w:t>须知出具的</w:t>
      </w:r>
      <w:r>
        <w:rPr>
          <w:rFonts w:hint="eastAsia" w:ascii="宋体" w:hAnsi="宋体"/>
          <w:color w:val="auto"/>
          <w:kern w:val="0"/>
          <w:sz w:val="24"/>
          <w:highlight w:val="none"/>
          <w:lang w:eastAsia="zh-CN"/>
        </w:rPr>
        <w:t>报价人</w:t>
      </w:r>
      <w:r>
        <w:rPr>
          <w:rFonts w:ascii="宋体" w:hAnsi="宋体"/>
          <w:color w:val="auto"/>
          <w:kern w:val="0"/>
          <w:sz w:val="24"/>
          <w:highlight w:val="none"/>
        </w:rPr>
        <w:t>资格证明文件</w:t>
      </w:r>
      <w:r>
        <w:rPr>
          <w:rFonts w:hint="eastAsia" w:ascii="宋体" w:hAnsi="宋体"/>
          <w:color w:val="auto"/>
          <w:kern w:val="0"/>
          <w:sz w:val="24"/>
          <w:highlight w:val="none"/>
        </w:rPr>
        <w:t>；</w:t>
      </w:r>
    </w:p>
    <w:p w14:paraId="086D5F98">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rPr>
        <w:t>．</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格式</w:t>
      </w:r>
    </w:p>
    <w:p w14:paraId="51A197E1">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报价人</w:t>
      </w:r>
      <w:r>
        <w:rPr>
          <w:rFonts w:ascii="宋体" w:hAnsi="宋体"/>
          <w:color w:val="auto"/>
          <w:kern w:val="0"/>
          <w:sz w:val="24"/>
          <w:highlight w:val="none"/>
        </w:rPr>
        <w:t>应</w:t>
      </w:r>
      <w:r>
        <w:rPr>
          <w:rFonts w:hint="eastAsia" w:ascii="宋体" w:hAnsi="宋体"/>
          <w:color w:val="auto"/>
          <w:kern w:val="0"/>
          <w:sz w:val="24"/>
          <w:highlight w:val="none"/>
        </w:rPr>
        <w:t>按</w:t>
      </w:r>
      <w:r>
        <w:rPr>
          <w:rFonts w:hint="eastAsia" w:ascii="宋体" w:hAnsi="宋体"/>
          <w:color w:val="auto"/>
          <w:kern w:val="0"/>
          <w:sz w:val="24"/>
          <w:highlight w:val="none"/>
          <w:lang w:eastAsia="zh-CN"/>
        </w:rPr>
        <w:t>谈判文件</w:t>
      </w:r>
      <w:r>
        <w:rPr>
          <w:rFonts w:ascii="宋体" w:hAnsi="宋体"/>
          <w:color w:val="auto"/>
          <w:kern w:val="0"/>
          <w:sz w:val="24"/>
          <w:highlight w:val="none"/>
        </w:rPr>
        <w:t>中提供的</w:t>
      </w:r>
      <w:r>
        <w:rPr>
          <w:rFonts w:hint="eastAsia" w:ascii="宋体" w:hAnsi="宋体"/>
          <w:color w:val="auto"/>
          <w:kern w:val="0"/>
          <w:sz w:val="24"/>
          <w:highlight w:val="none"/>
          <w:lang w:eastAsia="zh-CN"/>
        </w:rPr>
        <w:t>谈判文件</w:t>
      </w:r>
      <w:r>
        <w:rPr>
          <w:rFonts w:ascii="宋体" w:hAnsi="宋体"/>
          <w:color w:val="auto"/>
          <w:kern w:val="0"/>
          <w:sz w:val="24"/>
          <w:highlight w:val="none"/>
        </w:rPr>
        <w:t>格式填写“</w:t>
      </w:r>
      <w:r>
        <w:rPr>
          <w:rFonts w:hint="eastAsia" w:ascii="宋体" w:hAnsi="宋体"/>
          <w:color w:val="auto"/>
          <w:kern w:val="0"/>
          <w:sz w:val="24"/>
          <w:highlight w:val="none"/>
        </w:rPr>
        <w:t>响应书</w:t>
      </w:r>
      <w:r>
        <w:rPr>
          <w:rFonts w:ascii="宋体" w:hAnsi="宋体"/>
          <w:color w:val="auto"/>
          <w:kern w:val="0"/>
          <w:sz w:val="24"/>
          <w:highlight w:val="none"/>
        </w:rPr>
        <w:t>”</w:t>
      </w:r>
      <w:r>
        <w:rPr>
          <w:rFonts w:hint="eastAsia" w:ascii="宋体" w:hAnsi="宋体"/>
          <w:color w:val="auto"/>
          <w:kern w:val="0"/>
          <w:sz w:val="24"/>
          <w:highlight w:val="none"/>
        </w:rPr>
        <w:t>、</w:t>
      </w:r>
      <w:r>
        <w:rPr>
          <w:rFonts w:ascii="宋体" w:hAnsi="宋体"/>
          <w:color w:val="auto"/>
          <w:kern w:val="0"/>
          <w:sz w:val="24"/>
          <w:highlight w:val="none"/>
        </w:rPr>
        <w:t>“</w:t>
      </w:r>
      <w:r>
        <w:rPr>
          <w:rFonts w:hint="eastAsia" w:ascii="宋体" w:hAnsi="宋体"/>
          <w:color w:val="auto"/>
          <w:kern w:val="0"/>
          <w:sz w:val="24"/>
          <w:highlight w:val="none"/>
          <w:lang w:eastAsia="zh-CN"/>
        </w:rPr>
        <w:t>报价人</w:t>
      </w:r>
      <w:r>
        <w:rPr>
          <w:rFonts w:ascii="宋体" w:hAnsi="宋体"/>
          <w:color w:val="auto"/>
          <w:kern w:val="0"/>
          <w:sz w:val="24"/>
          <w:highlight w:val="none"/>
        </w:rPr>
        <w:t>资格证明文件”</w:t>
      </w:r>
      <w:r>
        <w:rPr>
          <w:rFonts w:hint="eastAsia" w:ascii="宋体" w:hAnsi="宋体"/>
          <w:color w:val="auto"/>
          <w:kern w:val="0"/>
          <w:sz w:val="24"/>
          <w:highlight w:val="none"/>
        </w:rPr>
        <w:t>以及</w:t>
      </w:r>
      <w:r>
        <w:rPr>
          <w:rFonts w:ascii="宋体" w:hAnsi="宋体"/>
          <w:color w:val="auto"/>
          <w:kern w:val="0"/>
          <w:sz w:val="24"/>
          <w:highlight w:val="none"/>
        </w:rPr>
        <w:t>其他注明提供的相关文件。</w:t>
      </w:r>
    </w:p>
    <w:p w14:paraId="30B1EF36">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5</w:t>
      </w:r>
      <w:r>
        <w:rPr>
          <w:rFonts w:hint="eastAsia" w:ascii="宋体" w:hAnsi="宋体"/>
          <w:b/>
          <w:color w:val="auto"/>
          <w:kern w:val="0"/>
          <w:sz w:val="24"/>
          <w:highlight w:val="none"/>
        </w:rPr>
        <w:t>．</w:t>
      </w:r>
      <w:r>
        <w:rPr>
          <w:rFonts w:ascii="宋体" w:hAnsi="宋体"/>
          <w:b/>
          <w:color w:val="auto"/>
          <w:kern w:val="0"/>
          <w:sz w:val="24"/>
          <w:highlight w:val="none"/>
        </w:rPr>
        <w:t>报价</w:t>
      </w:r>
    </w:p>
    <w:p w14:paraId="3B10F12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5</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报价人</w:t>
      </w:r>
      <w:r>
        <w:rPr>
          <w:rFonts w:ascii="宋体" w:hAnsi="宋体"/>
          <w:color w:val="auto"/>
          <w:kern w:val="0"/>
          <w:sz w:val="24"/>
          <w:highlight w:val="none"/>
        </w:rPr>
        <w:t>必须按照本</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所要求的</w:t>
      </w:r>
      <w:r>
        <w:rPr>
          <w:rFonts w:hint="eastAsia" w:ascii="宋体" w:hAnsi="宋体"/>
          <w:color w:val="auto"/>
          <w:kern w:val="0"/>
          <w:sz w:val="24"/>
          <w:highlight w:val="none"/>
          <w:lang w:eastAsia="zh-CN"/>
        </w:rPr>
        <w:t>报价人</w:t>
      </w:r>
      <w:r>
        <w:rPr>
          <w:rFonts w:ascii="宋体" w:hAnsi="宋体"/>
          <w:color w:val="auto"/>
          <w:kern w:val="0"/>
          <w:sz w:val="24"/>
          <w:highlight w:val="none"/>
        </w:rPr>
        <w:t>应提供的所有</w:t>
      </w:r>
      <w:r>
        <w:rPr>
          <w:rFonts w:hint="eastAsia" w:ascii="宋体" w:hAnsi="宋体"/>
          <w:color w:val="auto"/>
          <w:kern w:val="0"/>
          <w:sz w:val="24"/>
          <w:highlight w:val="none"/>
        </w:rPr>
        <w:t>项目</w:t>
      </w:r>
      <w:r>
        <w:rPr>
          <w:rFonts w:ascii="宋体" w:hAnsi="宋体"/>
          <w:color w:val="auto"/>
          <w:kern w:val="0"/>
          <w:sz w:val="24"/>
          <w:highlight w:val="none"/>
        </w:rPr>
        <w:t>进行报价</w:t>
      </w:r>
      <w:r>
        <w:rPr>
          <w:rFonts w:hint="eastAsia" w:ascii="宋体" w:hAnsi="宋体"/>
          <w:color w:val="auto"/>
          <w:kern w:val="0"/>
          <w:sz w:val="24"/>
          <w:highlight w:val="none"/>
        </w:rPr>
        <w:t>；</w:t>
      </w:r>
    </w:p>
    <w:p w14:paraId="55EA0340">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 xml:space="preserve">5.2 </w:t>
      </w:r>
      <w:r>
        <w:rPr>
          <w:rFonts w:hint="eastAsia" w:ascii="宋体" w:hAnsi="宋体"/>
          <w:b/>
          <w:color w:val="auto"/>
          <w:kern w:val="0"/>
          <w:sz w:val="24"/>
          <w:highlight w:val="none"/>
          <w:lang w:eastAsia="zh-CN"/>
        </w:rPr>
        <w:t>报价人</w:t>
      </w:r>
      <w:r>
        <w:rPr>
          <w:rFonts w:ascii="宋体" w:hAnsi="宋体"/>
          <w:b/>
          <w:color w:val="auto"/>
          <w:kern w:val="0"/>
          <w:sz w:val="24"/>
          <w:highlight w:val="none"/>
        </w:rPr>
        <w:t>必须对</w:t>
      </w:r>
      <w:r>
        <w:rPr>
          <w:rFonts w:hint="eastAsia" w:ascii="宋体" w:hAnsi="宋体"/>
          <w:b/>
          <w:color w:val="auto"/>
          <w:kern w:val="0"/>
          <w:sz w:val="24"/>
          <w:highlight w:val="none"/>
        </w:rPr>
        <w:t>承诺</w:t>
      </w:r>
      <w:r>
        <w:rPr>
          <w:rFonts w:ascii="宋体" w:hAnsi="宋体"/>
          <w:b/>
          <w:color w:val="auto"/>
          <w:kern w:val="0"/>
          <w:sz w:val="24"/>
          <w:highlight w:val="none"/>
        </w:rPr>
        <w:t>期限内的服务做出承诺</w:t>
      </w:r>
      <w:r>
        <w:rPr>
          <w:rFonts w:hint="eastAsia" w:ascii="宋体" w:hAnsi="宋体"/>
          <w:b/>
          <w:color w:val="auto"/>
          <w:kern w:val="0"/>
          <w:sz w:val="24"/>
          <w:highlight w:val="none"/>
        </w:rPr>
        <w:t>。</w:t>
      </w:r>
    </w:p>
    <w:p w14:paraId="11E94DA8">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6</w:t>
      </w:r>
      <w:r>
        <w:rPr>
          <w:rFonts w:hint="eastAsia" w:ascii="宋体" w:hAnsi="宋体"/>
          <w:b/>
          <w:color w:val="auto"/>
          <w:kern w:val="0"/>
          <w:sz w:val="24"/>
          <w:highlight w:val="none"/>
        </w:rPr>
        <w:t>. 报价</w:t>
      </w:r>
      <w:r>
        <w:rPr>
          <w:rFonts w:ascii="宋体" w:hAnsi="宋体"/>
          <w:b/>
          <w:color w:val="auto"/>
          <w:kern w:val="0"/>
          <w:sz w:val="24"/>
          <w:highlight w:val="none"/>
        </w:rPr>
        <w:t>货币</w:t>
      </w:r>
    </w:p>
    <w:p w14:paraId="607B3A0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谈判文件</w:t>
      </w:r>
      <w:r>
        <w:rPr>
          <w:rFonts w:ascii="宋体" w:hAnsi="宋体"/>
          <w:color w:val="auto"/>
          <w:kern w:val="0"/>
          <w:sz w:val="24"/>
          <w:highlight w:val="none"/>
        </w:rPr>
        <w:t>中的</w:t>
      </w:r>
      <w:r>
        <w:rPr>
          <w:rFonts w:hint="eastAsia" w:ascii="宋体" w:hAnsi="宋体"/>
          <w:color w:val="auto"/>
          <w:kern w:val="0"/>
          <w:sz w:val="24"/>
          <w:highlight w:val="none"/>
        </w:rPr>
        <w:t>报价</w:t>
      </w:r>
      <w:r>
        <w:rPr>
          <w:rFonts w:ascii="宋体" w:hAnsi="宋体"/>
          <w:color w:val="auto"/>
          <w:kern w:val="0"/>
          <w:sz w:val="24"/>
          <w:highlight w:val="none"/>
        </w:rPr>
        <w:t>一律用人民币币种填报。</w:t>
      </w:r>
    </w:p>
    <w:p w14:paraId="37A31478">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7.</w:t>
      </w:r>
      <w:r>
        <w:rPr>
          <w:rFonts w:hint="eastAsia" w:ascii="宋体" w:hAnsi="宋体"/>
          <w:b/>
          <w:color w:val="auto"/>
          <w:kern w:val="0"/>
          <w:sz w:val="24"/>
          <w:highlight w:val="none"/>
        </w:rPr>
        <w:t>证明</w:t>
      </w:r>
      <w:r>
        <w:rPr>
          <w:rFonts w:hint="eastAsia" w:ascii="宋体" w:hAnsi="宋体"/>
          <w:b/>
          <w:color w:val="auto"/>
          <w:kern w:val="0"/>
          <w:sz w:val="24"/>
          <w:highlight w:val="none"/>
          <w:lang w:eastAsia="zh-CN"/>
        </w:rPr>
        <w:t>报价人</w:t>
      </w:r>
      <w:r>
        <w:rPr>
          <w:rFonts w:ascii="宋体" w:hAnsi="宋体"/>
          <w:b/>
          <w:color w:val="auto"/>
          <w:kern w:val="0"/>
          <w:sz w:val="24"/>
          <w:highlight w:val="none"/>
        </w:rPr>
        <w:t>资格的证明文件</w:t>
      </w:r>
    </w:p>
    <w:p w14:paraId="394906E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7.1 </w:t>
      </w:r>
      <w:r>
        <w:rPr>
          <w:rFonts w:hint="eastAsia" w:ascii="宋体" w:hAnsi="宋体"/>
          <w:color w:val="auto"/>
          <w:kern w:val="0"/>
          <w:sz w:val="24"/>
          <w:highlight w:val="none"/>
          <w:lang w:eastAsia="zh-CN"/>
        </w:rPr>
        <w:t>报价人</w:t>
      </w:r>
      <w:r>
        <w:rPr>
          <w:rFonts w:ascii="宋体" w:hAnsi="宋体"/>
          <w:color w:val="auto"/>
          <w:kern w:val="0"/>
          <w:sz w:val="24"/>
          <w:highlight w:val="none"/>
        </w:rPr>
        <w:t>必须</w:t>
      </w:r>
      <w:r>
        <w:rPr>
          <w:rFonts w:hint="eastAsia" w:ascii="宋体" w:hAnsi="宋体"/>
          <w:color w:val="auto"/>
          <w:kern w:val="0"/>
          <w:sz w:val="24"/>
          <w:highlight w:val="none"/>
        </w:rPr>
        <w:t>按</w:t>
      </w:r>
      <w:r>
        <w:rPr>
          <w:rFonts w:ascii="宋体" w:hAnsi="宋体"/>
          <w:color w:val="auto"/>
          <w:kern w:val="0"/>
          <w:sz w:val="24"/>
          <w:highlight w:val="none"/>
        </w:rPr>
        <w:t>附件</w:t>
      </w:r>
      <w:r>
        <w:rPr>
          <w:rFonts w:hint="eastAsia" w:ascii="宋体" w:hAnsi="宋体"/>
          <w:color w:val="auto"/>
          <w:kern w:val="0"/>
          <w:sz w:val="24"/>
          <w:highlight w:val="none"/>
        </w:rPr>
        <w:t>3的</w:t>
      </w:r>
      <w:r>
        <w:rPr>
          <w:rFonts w:ascii="宋体" w:hAnsi="宋体"/>
          <w:color w:val="auto"/>
          <w:kern w:val="0"/>
          <w:sz w:val="24"/>
          <w:highlight w:val="none"/>
        </w:rPr>
        <w:t>要求提交证明文件，以证明其有资格参加</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和成交</w:t>
      </w:r>
      <w:r>
        <w:rPr>
          <w:rFonts w:ascii="宋体" w:hAnsi="宋体"/>
          <w:color w:val="auto"/>
          <w:kern w:val="0"/>
          <w:sz w:val="24"/>
          <w:highlight w:val="none"/>
        </w:rPr>
        <w:t>后有履行合同的能力，并作为其</w:t>
      </w:r>
      <w:r>
        <w:rPr>
          <w:rFonts w:hint="eastAsia" w:ascii="宋体" w:hAnsi="宋体"/>
          <w:color w:val="auto"/>
          <w:kern w:val="0"/>
          <w:sz w:val="24"/>
          <w:highlight w:val="none"/>
          <w:lang w:eastAsia="zh-CN"/>
        </w:rPr>
        <w:t>谈判文件</w:t>
      </w:r>
      <w:r>
        <w:rPr>
          <w:rFonts w:ascii="宋体" w:hAnsi="宋体"/>
          <w:color w:val="auto"/>
          <w:kern w:val="0"/>
          <w:sz w:val="24"/>
          <w:highlight w:val="none"/>
        </w:rPr>
        <w:t>的一部分</w:t>
      </w:r>
      <w:r>
        <w:rPr>
          <w:rFonts w:hint="eastAsia" w:ascii="宋体" w:hAnsi="宋体"/>
          <w:color w:val="auto"/>
          <w:kern w:val="0"/>
          <w:sz w:val="24"/>
          <w:highlight w:val="none"/>
        </w:rPr>
        <w:t>；</w:t>
      </w:r>
    </w:p>
    <w:p w14:paraId="3EEFB2D8">
      <w:pPr>
        <w:widowControl/>
        <w:spacing w:line="360" w:lineRule="auto"/>
        <w:ind w:firstLine="480" w:firstLineChars="200"/>
        <w:jc w:val="left"/>
        <w:rPr>
          <w:rFonts w:ascii="宋体" w:hAnsi="宋体"/>
          <w:color w:val="auto"/>
          <w:kern w:val="0"/>
          <w:sz w:val="24"/>
          <w:highlight w:val="none"/>
        </w:rPr>
      </w:pPr>
      <w:r>
        <w:rPr>
          <w:rFonts w:ascii="宋体" w:hAnsi="宋体" w:cs="宋体"/>
          <w:color w:val="auto"/>
          <w:kern w:val="0"/>
          <w:sz w:val="24"/>
          <w:highlight w:val="none"/>
        </w:rPr>
        <w:t xml:space="preserve">7.2 </w:t>
      </w:r>
      <w:r>
        <w:rPr>
          <w:rFonts w:hint="eastAsia" w:ascii="宋体" w:hAnsi="宋体"/>
          <w:color w:val="auto"/>
          <w:kern w:val="0"/>
          <w:sz w:val="24"/>
          <w:highlight w:val="none"/>
          <w:lang w:eastAsia="zh-CN"/>
        </w:rPr>
        <w:t>报价人</w:t>
      </w:r>
      <w:r>
        <w:rPr>
          <w:rFonts w:ascii="宋体" w:hAnsi="宋体"/>
          <w:color w:val="auto"/>
          <w:kern w:val="0"/>
          <w:sz w:val="24"/>
          <w:highlight w:val="none"/>
        </w:rPr>
        <w:t>应具有</w:t>
      </w:r>
      <w:r>
        <w:rPr>
          <w:rFonts w:hint="eastAsia" w:ascii="宋体" w:hAnsi="宋体"/>
          <w:color w:val="auto"/>
          <w:kern w:val="0"/>
          <w:sz w:val="24"/>
          <w:highlight w:val="none"/>
        </w:rPr>
        <w:t>独立</w:t>
      </w:r>
      <w:r>
        <w:rPr>
          <w:rFonts w:ascii="宋体" w:hAnsi="宋体"/>
          <w:color w:val="auto"/>
          <w:kern w:val="0"/>
          <w:sz w:val="24"/>
          <w:highlight w:val="none"/>
        </w:rPr>
        <w:t>履行合同所需的财务、业务和管理能力。</w:t>
      </w:r>
    </w:p>
    <w:p w14:paraId="3F644470">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8.</w:t>
      </w:r>
      <w:r>
        <w:rPr>
          <w:rFonts w:hint="eastAsia" w:ascii="宋体" w:hAnsi="宋体"/>
          <w:b/>
          <w:color w:val="auto"/>
          <w:kern w:val="0"/>
          <w:sz w:val="24"/>
          <w:highlight w:val="none"/>
        </w:rPr>
        <w:t xml:space="preserve"> </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的签署及规定</w:t>
      </w:r>
    </w:p>
    <w:p w14:paraId="48B0244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谈判文件</w:t>
      </w:r>
      <w:r>
        <w:rPr>
          <w:rFonts w:ascii="宋体" w:hAnsi="宋体"/>
          <w:color w:val="auto"/>
          <w:kern w:val="0"/>
          <w:sz w:val="24"/>
          <w:highlight w:val="none"/>
        </w:rPr>
        <w:t>签署人系指法定代表人或法定代表人针对本次项目正式授权的</w:t>
      </w:r>
      <w:r>
        <w:rPr>
          <w:rFonts w:hint="eastAsia" w:ascii="宋体" w:hAnsi="宋体"/>
          <w:color w:val="auto"/>
          <w:kern w:val="0"/>
          <w:sz w:val="24"/>
          <w:highlight w:val="none"/>
          <w:lang w:eastAsia="zh-CN"/>
        </w:rPr>
        <w:t>报价人</w:t>
      </w:r>
      <w:r>
        <w:rPr>
          <w:rFonts w:ascii="宋体" w:hAnsi="宋体"/>
          <w:color w:val="auto"/>
          <w:kern w:val="0"/>
          <w:sz w:val="24"/>
          <w:highlight w:val="none"/>
        </w:rPr>
        <w:t>代表</w:t>
      </w:r>
      <w:r>
        <w:rPr>
          <w:rFonts w:hint="eastAsia" w:ascii="宋体" w:hAnsi="宋体"/>
          <w:color w:val="auto"/>
          <w:kern w:val="0"/>
          <w:sz w:val="24"/>
          <w:highlight w:val="none"/>
        </w:rPr>
        <w:t>；</w:t>
      </w:r>
    </w:p>
    <w:p w14:paraId="68B6429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 xml:space="preserve">.2 </w:t>
      </w:r>
      <w:r>
        <w:rPr>
          <w:rFonts w:hint="eastAsia" w:ascii="宋体" w:hAnsi="宋体"/>
          <w:color w:val="auto"/>
          <w:kern w:val="0"/>
          <w:sz w:val="24"/>
          <w:highlight w:val="none"/>
          <w:lang w:eastAsia="zh-CN"/>
        </w:rPr>
        <w:t>谈判文件</w:t>
      </w:r>
      <w:r>
        <w:rPr>
          <w:rFonts w:ascii="宋体" w:hAnsi="宋体"/>
          <w:color w:val="auto"/>
          <w:kern w:val="0"/>
          <w:sz w:val="24"/>
          <w:highlight w:val="none"/>
        </w:rPr>
        <w:t>须是打印文件。</w:t>
      </w:r>
      <w:r>
        <w:rPr>
          <w:rFonts w:hint="eastAsia" w:ascii="宋体" w:hAnsi="宋体"/>
          <w:color w:val="auto"/>
          <w:kern w:val="0"/>
          <w:sz w:val="24"/>
          <w:highlight w:val="none"/>
          <w:lang w:eastAsia="zh-CN"/>
        </w:rPr>
        <w:t>谈判文件</w:t>
      </w:r>
      <w:r>
        <w:rPr>
          <w:rFonts w:ascii="宋体" w:hAnsi="宋体"/>
          <w:color w:val="auto"/>
          <w:kern w:val="0"/>
          <w:sz w:val="24"/>
          <w:highlight w:val="none"/>
        </w:rPr>
        <w:t>应由</w:t>
      </w:r>
      <w:r>
        <w:rPr>
          <w:rFonts w:hint="eastAsia" w:ascii="宋体" w:hAnsi="宋体"/>
          <w:color w:val="auto"/>
          <w:kern w:val="0"/>
          <w:sz w:val="24"/>
          <w:highlight w:val="none"/>
          <w:lang w:eastAsia="zh-CN"/>
        </w:rPr>
        <w:t>谈判文件</w:t>
      </w:r>
      <w:r>
        <w:rPr>
          <w:rFonts w:ascii="宋体" w:hAnsi="宋体"/>
          <w:color w:val="auto"/>
          <w:kern w:val="0"/>
          <w:sz w:val="24"/>
          <w:highlight w:val="none"/>
        </w:rPr>
        <w:t>签署人在</w:t>
      </w:r>
      <w:r>
        <w:rPr>
          <w:rFonts w:hint="eastAsia" w:ascii="宋体" w:hAnsi="宋体"/>
          <w:color w:val="auto"/>
          <w:kern w:val="0"/>
          <w:sz w:val="24"/>
          <w:highlight w:val="none"/>
        </w:rPr>
        <w:t>“</w:t>
      </w:r>
      <w:r>
        <w:rPr>
          <w:rFonts w:hint="eastAsia" w:ascii="宋体" w:hAnsi="宋体"/>
          <w:color w:val="auto"/>
          <w:kern w:val="0"/>
          <w:sz w:val="24"/>
          <w:highlight w:val="none"/>
          <w:lang w:eastAsia="zh-CN"/>
        </w:rPr>
        <w:t>谈判文件</w:t>
      </w:r>
      <w:r>
        <w:rPr>
          <w:rFonts w:hint="eastAsia" w:ascii="宋体" w:hAnsi="宋体"/>
          <w:color w:val="auto"/>
          <w:kern w:val="0"/>
          <w:sz w:val="24"/>
          <w:highlight w:val="none"/>
        </w:rPr>
        <w:t>”要求</w:t>
      </w:r>
      <w:r>
        <w:rPr>
          <w:rFonts w:ascii="宋体" w:hAnsi="宋体"/>
          <w:color w:val="auto"/>
          <w:kern w:val="0"/>
          <w:sz w:val="24"/>
          <w:highlight w:val="none"/>
        </w:rPr>
        <w:t>的地方签字并加盖</w:t>
      </w:r>
      <w:r>
        <w:rPr>
          <w:rFonts w:hint="eastAsia" w:ascii="宋体" w:hAnsi="宋体"/>
          <w:color w:val="auto"/>
          <w:kern w:val="0"/>
          <w:sz w:val="24"/>
          <w:highlight w:val="none"/>
          <w:lang w:eastAsia="zh-CN"/>
        </w:rPr>
        <w:t>报价人</w:t>
      </w:r>
      <w:r>
        <w:rPr>
          <w:rFonts w:ascii="宋体" w:hAnsi="宋体"/>
          <w:color w:val="auto"/>
          <w:kern w:val="0"/>
          <w:sz w:val="24"/>
          <w:highlight w:val="none"/>
        </w:rPr>
        <w:t>单位公章。</w:t>
      </w:r>
    </w:p>
    <w:p w14:paraId="2DAC487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.3 除</w:t>
      </w:r>
      <w:r>
        <w:rPr>
          <w:rFonts w:hint="eastAsia" w:ascii="宋体" w:hAnsi="宋体"/>
          <w:color w:val="auto"/>
          <w:kern w:val="0"/>
          <w:sz w:val="24"/>
          <w:highlight w:val="none"/>
          <w:lang w:eastAsia="zh-CN"/>
        </w:rPr>
        <w:t>报价人</w:t>
      </w:r>
      <w:r>
        <w:rPr>
          <w:rFonts w:ascii="宋体" w:hAnsi="宋体"/>
          <w:color w:val="auto"/>
          <w:kern w:val="0"/>
          <w:sz w:val="24"/>
          <w:highlight w:val="none"/>
        </w:rPr>
        <w:t>对错误处做必要修改外，</w:t>
      </w:r>
      <w:r>
        <w:rPr>
          <w:rFonts w:hint="eastAsia" w:ascii="宋体" w:hAnsi="宋体"/>
          <w:color w:val="auto"/>
          <w:kern w:val="0"/>
          <w:sz w:val="24"/>
          <w:highlight w:val="none"/>
          <w:lang w:eastAsia="zh-CN"/>
        </w:rPr>
        <w:t>谈判文件</w:t>
      </w:r>
      <w:r>
        <w:rPr>
          <w:rFonts w:ascii="宋体" w:hAnsi="宋体"/>
          <w:color w:val="auto"/>
          <w:kern w:val="0"/>
          <w:sz w:val="24"/>
          <w:highlight w:val="none"/>
        </w:rPr>
        <w:t>中不许有加行、涂抹</w:t>
      </w:r>
      <w:r>
        <w:rPr>
          <w:rFonts w:hint="eastAsia" w:ascii="宋体" w:hAnsi="宋体"/>
          <w:color w:val="auto"/>
          <w:kern w:val="0"/>
          <w:sz w:val="24"/>
          <w:highlight w:val="none"/>
        </w:rPr>
        <w:t>或</w:t>
      </w:r>
      <w:r>
        <w:rPr>
          <w:rFonts w:ascii="宋体" w:hAnsi="宋体"/>
          <w:color w:val="auto"/>
          <w:kern w:val="0"/>
          <w:sz w:val="24"/>
          <w:highlight w:val="none"/>
        </w:rPr>
        <w:t>改写。若有</w:t>
      </w:r>
      <w:r>
        <w:rPr>
          <w:rFonts w:hint="eastAsia" w:ascii="宋体" w:hAnsi="宋体"/>
          <w:color w:val="auto"/>
          <w:kern w:val="0"/>
          <w:sz w:val="24"/>
          <w:highlight w:val="none"/>
        </w:rPr>
        <w:t>修改</w:t>
      </w:r>
      <w:r>
        <w:rPr>
          <w:rFonts w:ascii="宋体" w:hAnsi="宋体"/>
          <w:color w:val="auto"/>
          <w:kern w:val="0"/>
          <w:sz w:val="24"/>
          <w:highlight w:val="none"/>
        </w:rPr>
        <w:t>内容，须由</w:t>
      </w:r>
      <w:r>
        <w:rPr>
          <w:rFonts w:hint="eastAsia" w:ascii="宋体" w:hAnsi="宋体"/>
          <w:color w:val="auto"/>
          <w:kern w:val="0"/>
          <w:sz w:val="24"/>
          <w:highlight w:val="none"/>
          <w:lang w:eastAsia="zh-CN"/>
        </w:rPr>
        <w:t>谈判文件</w:t>
      </w:r>
      <w:r>
        <w:rPr>
          <w:rFonts w:ascii="宋体" w:hAnsi="宋体"/>
          <w:color w:val="auto"/>
          <w:kern w:val="0"/>
          <w:sz w:val="24"/>
          <w:highlight w:val="none"/>
        </w:rPr>
        <w:t>签署人在修改处签字为有效。</w:t>
      </w:r>
    </w:p>
    <w:p w14:paraId="217438F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 xml:space="preserve">.4 </w:t>
      </w:r>
      <w:r>
        <w:rPr>
          <w:rFonts w:hint="eastAsia" w:ascii="宋体" w:hAnsi="宋体"/>
          <w:color w:val="auto"/>
          <w:kern w:val="0"/>
          <w:sz w:val="24"/>
          <w:highlight w:val="none"/>
          <w:lang w:eastAsia="zh-CN"/>
        </w:rPr>
        <w:t>谈判文件</w:t>
      </w:r>
      <w:r>
        <w:rPr>
          <w:rFonts w:ascii="宋体" w:hAnsi="宋体"/>
          <w:color w:val="auto"/>
          <w:kern w:val="0"/>
          <w:sz w:val="24"/>
          <w:highlight w:val="none"/>
        </w:rPr>
        <w:t>因字迹潦草或表达不清所引起的后果由</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自己</w:t>
      </w:r>
      <w:r>
        <w:rPr>
          <w:rFonts w:ascii="宋体" w:hAnsi="宋体"/>
          <w:color w:val="auto"/>
          <w:kern w:val="0"/>
          <w:sz w:val="24"/>
          <w:highlight w:val="none"/>
        </w:rPr>
        <w:t>承担。</w:t>
      </w:r>
    </w:p>
    <w:p w14:paraId="11E58C4B">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8.5 </w:t>
      </w:r>
      <w:r>
        <w:rPr>
          <w:rFonts w:hint="eastAsia" w:ascii="宋体" w:hAnsi="宋体"/>
          <w:color w:val="auto"/>
          <w:kern w:val="0"/>
          <w:sz w:val="24"/>
          <w:highlight w:val="none"/>
        </w:rPr>
        <w:t>采购人</w:t>
      </w:r>
      <w:r>
        <w:rPr>
          <w:rFonts w:ascii="宋体" w:hAnsi="宋体"/>
          <w:color w:val="auto"/>
          <w:kern w:val="0"/>
          <w:sz w:val="24"/>
          <w:highlight w:val="none"/>
        </w:rPr>
        <w:t>拒绝接受以电话、传真或电子邮件形式的</w:t>
      </w:r>
      <w:r>
        <w:rPr>
          <w:rFonts w:hint="eastAsia" w:ascii="宋体" w:hAnsi="宋体"/>
          <w:color w:val="auto"/>
          <w:kern w:val="0"/>
          <w:sz w:val="24"/>
          <w:highlight w:val="none"/>
        </w:rPr>
        <w:t>投递</w:t>
      </w:r>
      <w:r>
        <w:rPr>
          <w:rFonts w:ascii="宋体" w:hAnsi="宋体"/>
          <w:color w:val="auto"/>
          <w:kern w:val="0"/>
          <w:sz w:val="24"/>
          <w:highlight w:val="none"/>
        </w:rPr>
        <w:t>。</w:t>
      </w:r>
    </w:p>
    <w:p w14:paraId="406A8A59">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9.</w:t>
      </w:r>
      <w:r>
        <w:rPr>
          <w:rFonts w:hint="eastAsia" w:ascii="宋体" w:hAnsi="宋体"/>
          <w:b/>
          <w:color w:val="auto"/>
          <w:kern w:val="0"/>
          <w:sz w:val="24"/>
          <w:highlight w:val="none"/>
        </w:rPr>
        <w:t xml:space="preserve">  参与</w:t>
      </w:r>
      <w:r>
        <w:rPr>
          <w:rFonts w:hint="eastAsia" w:ascii="宋体" w:hAnsi="宋体"/>
          <w:b/>
          <w:color w:val="auto"/>
          <w:kern w:val="0"/>
          <w:sz w:val="24"/>
          <w:highlight w:val="none"/>
          <w:lang w:eastAsia="zh-CN"/>
        </w:rPr>
        <w:t>谈判采购</w:t>
      </w:r>
      <w:r>
        <w:rPr>
          <w:rFonts w:hint="eastAsia" w:ascii="宋体" w:hAnsi="宋体"/>
          <w:b/>
          <w:color w:val="auto"/>
          <w:kern w:val="0"/>
          <w:sz w:val="24"/>
          <w:highlight w:val="none"/>
        </w:rPr>
        <w:t>保证金</w:t>
      </w:r>
    </w:p>
    <w:p w14:paraId="17A138D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9</w:t>
      </w:r>
      <w:r>
        <w:rPr>
          <w:rFonts w:hint="eastAsia" w:ascii="宋体" w:hAnsi="宋体"/>
          <w:color w:val="auto"/>
          <w:kern w:val="0"/>
          <w:sz w:val="24"/>
          <w:highlight w:val="none"/>
        </w:rPr>
        <w:t>.1本项目不设置</w:t>
      </w:r>
      <w:r>
        <w:rPr>
          <w:rFonts w:hint="eastAsia" w:ascii="宋体" w:hAnsi="宋体"/>
          <w:color w:val="auto"/>
          <w:kern w:val="0"/>
          <w:sz w:val="24"/>
          <w:highlight w:val="none"/>
          <w:lang w:val="en-US" w:eastAsia="zh-CN"/>
        </w:rPr>
        <w:t>竞价</w:t>
      </w:r>
      <w:r>
        <w:rPr>
          <w:rFonts w:hint="eastAsia" w:ascii="宋体" w:hAnsi="宋体"/>
          <w:color w:val="auto"/>
          <w:kern w:val="0"/>
          <w:sz w:val="24"/>
          <w:highlight w:val="none"/>
        </w:rPr>
        <w:t>保证金</w:t>
      </w:r>
    </w:p>
    <w:p w14:paraId="1665B2F9">
      <w:pPr>
        <w:widowControl/>
        <w:spacing w:line="36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四</w:t>
      </w:r>
      <w:r>
        <w:rPr>
          <w:rFonts w:ascii="宋体" w:hAnsi="宋体" w:cs="宋体"/>
          <w:b/>
          <w:color w:val="auto"/>
          <w:kern w:val="0"/>
          <w:sz w:val="24"/>
          <w:highlight w:val="none"/>
        </w:rPr>
        <w:t>、</w:t>
      </w:r>
      <w:r>
        <w:rPr>
          <w:rFonts w:hint="eastAsia" w:ascii="宋体" w:hAnsi="宋体" w:cs="宋体"/>
          <w:b/>
          <w:color w:val="auto"/>
          <w:kern w:val="0"/>
          <w:sz w:val="24"/>
          <w:highlight w:val="none"/>
          <w:lang w:eastAsia="zh-CN"/>
        </w:rPr>
        <w:t>谈判文件</w:t>
      </w:r>
      <w:r>
        <w:rPr>
          <w:rFonts w:ascii="宋体" w:hAnsi="宋体" w:cs="宋体"/>
          <w:b/>
          <w:color w:val="auto"/>
          <w:kern w:val="0"/>
          <w:sz w:val="24"/>
          <w:highlight w:val="none"/>
        </w:rPr>
        <w:t>的递交</w:t>
      </w:r>
    </w:p>
    <w:p w14:paraId="4041162C">
      <w:pPr>
        <w:widowControl/>
        <w:spacing w:line="360" w:lineRule="auto"/>
        <w:ind w:firstLine="482" w:firstLineChars="200"/>
        <w:jc w:val="left"/>
        <w:rPr>
          <w:rFonts w:ascii="宋体" w:hAnsi="宋体" w:cs="宋体"/>
          <w:b/>
          <w:color w:val="auto"/>
          <w:kern w:val="0"/>
          <w:sz w:val="24"/>
          <w:highlight w:val="none"/>
        </w:rPr>
      </w:pPr>
      <w:r>
        <w:rPr>
          <w:rFonts w:ascii="宋体" w:hAnsi="宋体" w:cs="宋体"/>
          <w:b/>
          <w:color w:val="auto"/>
          <w:kern w:val="0"/>
          <w:sz w:val="24"/>
          <w:highlight w:val="none"/>
        </w:rPr>
        <w:t>1</w:t>
      </w:r>
      <w:r>
        <w:rPr>
          <w:rFonts w:hint="eastAsia" w:ascii="宋体" w:hAnsi="宋体" w:cs="宋体"/>
          <w:b/>
          <w:color w:val="auto"/>
          <w:kern w:val="0"/>
          <w:sz w:val="24"/>
          <w:highlight w:val="none"/>
        </w:rPr>
        <w:t>.</w:t>
      </w:r>
      <w:r>
        <w:rPr>
          <w:rFonts w:hint="eastAsia" w:ascii="宋体" w:hAnsi="宋体" w:cs="宋体"/>
          <w:b/>
          <w:color w:val="auto"/>
          <w:kern w:val="0"/>
          <w:sz w:val="24"/>
          <w:highlight w:val="none"/>
          <w:lang w:eastAsia="zh-CN"/>
        </w:rPr>
        <w:t>谈判文件</w:t>
      </w:r>
      <w:r>
        <w:rPr>
          <w:rFonts w:ascii="宋体" w:hAnsi="宋体" w:cs="宋体"/>
          <w:b/>
          <w:color w:val="auto"/>
          <w:kern w:val="0"/>
          <w:sz w:val="24"/>
          <w:highlight w:val="none"/>
        </w:rPr>
        <w:t>的数量、包装</w:t>
      </w:r>
      <w:r>
        <w:rPr>
          <w:rFonts w:hint="eastAsia" w:ascii="宋体" w:hAnsi="宋体" w:cs="宋体"/>
          <w:b/>
          <w:color w:val="auto"/>
          <w:kern w:val="0"/>
          <w:sz w:val="24"/>
          <w:highlight w:val="none"/>
        </w:rPr>
        <w:t>和</w:t>
      </w:r>
      <w:r>
        <w:rPr>
          <w:rFonts w:ascii="宋体" w:hAnsi="宋体" w:cs="宋体"/>
          <w:b/>
          <w:color w:val="auto"/>
          <w:kern w:val="0"/>
          <w:sz w:val="24"/>
          <w:highlight w:val="none"/>
        </w:rPr>
        <w:t>标记</w:t>
      </w:r>
    </w:p>
    <w:p w14:paraId="52EFDCFB">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1.1 </w:t>
      </w:r>
      <w:r>
        <w:rPr>
          <w:rFonts w:hint="eastAsia" w:ascii="宋体" w:hAnsi="宋体" w:cs="宋体"/>
          <w:color w:val="auto"/>
          <w:kern w:val="0"/>
          <w:sz w:val="24"/>
          <w:highlight w:val="none"/>
          <w:lang w:eastAsia="zh-CN"/>
        </w:rPr>
        <w:t>报价人</w:t>
      </w:r>
      <w:r>
        <w:rPr>
          <w:rFonts w:ascii="宋体" w:hAnsi="宋体" w:cs="宋体"/>
          <w:color w:val="auto"/>
          <w:kern w:val="0"/>
          <w:sz w:val="24"/>
          <w:highlight w:val="none"/>
        </w:rPr>
        <w:t>应提交“</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”一套</w:t>
      </w:r>
      <w:r>
        <w:rPr>
          <w:rFonts w:hint="eastAsia" w:ascii="宋体" w:hAnsi="宋体" w:cs="宋体"/>
          <w:color w:val="auto"/>
          <w:kern w:val="0"/>
          <w:sz w:val="24"/>
          <w:highlight w:val="none"/>
        </w:rPr>
        <w:t>。电子版文件（盖鲜章的PDF扫描件）一套（提供形式：U盘）</w:t>
      </w:r>
    </w:p>
    <w:p w14:paraId="1A4CBA65">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1.2 </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的包装、标记要求</w:t>
      </w:r>
    </w:p>
    <w:p w14:paraId="47BC00DD">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1.2.1 </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应单独封装</w:t>
      </w:r>
      <w:r>
        <w:rPr>
          <w:rFonts w:hint="eastAsia" w:ascii="宋体" w:hAnsi="宋体" w:cs="宋体"/>
          <w:color w:val="auto"/>
          <w:kern w:val="0"/>
          <w:sz w:val="24"/>
          <w:highlight w:val="none"/>
        </w:rPr>
        <w:t>。</w:t>
      </w:r>
    </w:p>
    <w:p w14:paraId="0531E4B6">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1</w:t>
      </w:r>
      <w:r>
        <w:rPr>
          <w:rFonts w:hint="eastAsia" w:ascii="宋体" w:hAnsi="宋体" w:cs="宋体"/>
          <w:color w:val="auto"/>
          <w:kern w:val="0"/>
          <w:sz w:val="24"/>
          <w:highlight w:val="none"/>
        </w:rPr>
        <w:t xml:space="preserve">.2.2 </w:t>
      </w:r>
      <w:r>
        <w:rPr>
          <w:rFonts w:hint="eastAsia" w:ascii="宋体" w:hAnsi="宋体" w:cs="宋体"/>
          <w:color w:val="auto"/>
          <w:kern w:val="0"/>
          <w:sz w:val="24"/>
          <w:highlight w:val="none"/>
          <w:lang w:eastAsia="zh-CN"/>
        </w:rPr>
        <w:t>报价人</w:t>
      </w:r>
      <w:r>
        <w:rPr>
          <w:rFonts w:ascii="宋体" w:hAnsi="宋体" w:cs="宋体"/>
          <w:color w:val="auto"/>
          <w:kern w:val="0"/>
          <w:sz w:val="24"/>
          <w:highlight w:val="none"/>
        </w:rPr>
        <w:t>应将</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封装，并标明</w:t>
      </w:r>
      <w:r>
        <w:rPr>
          <w:rFonts w:hint="eastAsia" w:ascii="宋体" w:hAnsi="宋体" w:cs="宋体"/>
          <w:color w:val="auto"/>
          <w:kern w:val="0"/>
          <w:sz w:val="24"/>
          <w:highlight w:val="none"/>
        </w:rPr>
        <w:t>采购</w:t>
      </w:r>
      <w:r>
        <w:rPr>
          <w:rFonts w:ascii="宋体" w:hAnsi="宋体" w:cs="宋体"/>
          <w:color w:val="auto"/>
          <w:kern w:val="0"/>
          <w:sz w:val="24"/>
          <w:highlight w:val="none"/>
        </w:rPr>
        <w:t>项目名称、</w:t>
      </w:r>
      <w:r>
        <w:rPr>
          <w:rFonts w:hint="eastAsia" w:ascii="宋体" w:hAnsi="宋体" w:cs="宋体"/>
          <w:color w:val="auto"/>
          <w:kern w:val="0"/>
          <w:sz w:val="24"/>
          <w:highlight w:val="none"/>
          <w:lang w:eastAsia="zh-CN"/>
        </w:rPr>
        <w:t>报价人</w:t>
      </w:r>
      <w:r>
        <w:rPr>
          <w:rFonts w:ascii="宋体" w:hAnsi="宋体" w:cs="宋体"/>
          <w:color w:val="auto"/>
          <w:kern w:val="0"/>
          <w:sz w:val="24"/>
          <w:highlight w:val="none"/>
        </w:rPr>
        <w:t>名称、地址、邮政编码。</w:t>
      </w:r>
    </w:p>
    <w:p w14:paraId="74E29D1F">
      <w:pPr>
        <w:spacing w:line="360" w:lineRule="auto"/>
        <w:ind w:firstLine="480" w:firstLineChars="200"/>
        <w:rPr>
          <w:rFonts w:ascii="宋体" w:hAnsi="宋体" w:cs="宋体"/>
          <w:color w:val="auto"/>
          <w:kern w:val="0"/>
          <w:sz w:val="24"/>
          <w:highlight w:val="none"/>
        </w:rPr>
      </w:pPr>
      <w:r>
        <w:rPr>
          <w:rFonts w:ascii="宋体" w:hAnsi="宋体" w:cs="宋体"/>
          <w:color w:val="auto"/>
          <w:kern w:val="0"/>
          <w:sz w:val="24"/>
          <w:highlight w:val="none"/>
        </w:rPr>
        <w:t>1.2.3 每一密封</w:t>
      </w:r>
      <w:r>
        <w:rPr>
          <w:rFonts w:hint="eastAsia" w:ascii="宋体" w:hAnsi="宋体" w:cs="宋体"/>
          <w:color w:val="auto"/>
          <w:kern w:val="0"/>
          <w:sz w:val="24"/>
          <w:highlight w:val="none"/>
        </w:rPr>
        <w:t>袋的封口处均应加盖密封章或</w:t>
      </w:r>
      <w:r>
        <w:rPr>
          <w:rFonts w:hint="eastAsia" w:ascii="宋体" w:hAnsi="宋体" w:cs="宋体"/>
          <w:color w:val="auto"/>
          <w:kern w:val="0"/>
          <w:sz w:val="24"/>
          <w:highlight w:val="none"/>
          <w:lang w:eastAsia="zh-CN"/>
        </w:rPr>
        <w:t>报价人</w:t>
      </w:r>
      <w:r>
        <w:rPr>
          <w:rFonts w:hint="eastAsia" w:ascii="宋体" w:hAnsi="宋体" w:cs="宋体"/>
          <w:color w:val="auto"/>
          <w:kern w:val="0"/>
          <w:sz w:val="24"/>
          <w:highlight w:val="none"/>
        </w:rPr>
        <w:t>公章，</w:t>
      </w:r>
      <w:r>
        <w:rPr>
          <w:rFonts w:ascii="宋体" w:hAnsi="宋体" w:cs="宋体"/>
          <w:color w:val="auto"/>
          <w:kern w:val="0"/>
          <w:sz w:val="24"/>
          <w:highlight w:val="none"/>
        </w:rPr>
        <w:t>并在封面上标明</w:t>
      </w:r>
      <w:r>
        <w:rPr>
          <w:rFonts w:hint="eastAsia" w:ascii="宋体" w:hAnsi="宋体" w:cs="宋体"/>
          <w:color w:val="auto"/>
          <w:kern w:val="0"/>
          <w:sz w:val="24"/>
          <w:highlight w:val="none"/>
        </w:rPr>
        <w:t>采购项目名称、</w:t>
      </w:r>
      <w:r>
        <w:rPr>
          <w:rFonts w:hint="eastAsia" w:ascii="宋体" w:hAnsi="宋体" w:cs="宋体"/>
          <w:color w:val="auto"/>
          <w:kern w:val="0"/>
          <w:sz w:val="24"/>
          <w:highlight w:val="none"/>
          <w:lang w:eastAsia="zh-CN"/>
        </w:rPr>
        <w:t>报价人</w:t>
      </w:r>
      <w:r>
        <w:rPr>
          <w:rFonts w:hint="eastAsia" w:ascii="宋体" w:hAnsi="宋体" w:cs="宋体"/>
          <w:color w:val="auto"/>
          <w:kern w:val="0"/>
          <w:sz w:val="24"/>
          <w:highlight w:val="none"/>
        </w:rPr>
        <w:t>名称及</w:t>
      </w:r>
      <w:r>
        <w:rPr>
          <w:rFonts w:hint="eastAsia" w:ascii="宋体" w:hAnsi="宋体" w:cs="宋体"/>
          <w:color w:val="auto"/>
          <w:kern w:val="0"/>
          <w:sz w:val="24"/>
          <w:highlight w:val="none"/>
          <w:u w:val="single"/>
        </w:rPr>
        <w:t>“在</w:t>
      </w:r>
      <w:r>
        <w:rPr>
          <w:rFonts w:ascii="宋体" w:hAnsi="宋体" w:cs="宋体"/>
          <w:color w:val="auto"/>
          <w:kern w:val="0"/>
          <w:sz w:val="24"/>
          <w:highlight w:val="none"/>
          <w:u w:val="single"/>
        </w:rPr>
        <w:t>202</w:t>
      </w:r>
      <w:r>
        <w:rPr>
          <w:rFonts w:hint="eastAsia" w:ascii="宋体" w:hAnsi="宋体" w:cs="宋体"/>
          <w:color w:val="auto"/>
          <w:kern w:val="0"/>
          <w:sz w:val="24"/>
          <w:highlight w:val="none"/>
          <w:u w:val="single"/>
          <w:lang w:val="en-US" w:eastAsia="zh-CN"/>
        </w:rPr>
        <w:t>6</w:t>
      </w:r>
      <w:r>
        <w:rPr>
          <w:rFonts w:hint="eastAsia" w:ascii="宋体" w:hAnsi="宋体" w:cs="宋体"/>
          <w:color w:val="auto"/>
          <w:kern w:val="0"/>
          <w:sz w:val="24"/>
          <w:highlight w:val="none"/>
          <w:u w:val="single"/>
        </w:rPr>
        <w:t>年</w:t>
      </w:r>
      <w:r>
        <w:rPr>
          <w:rFonts w:hint="eastAsia" w:ascii="宋体" w:hAnsi="宋体" w:cs="宋体"/>
          <w:color w:val="auto"/>
          <w:kern w:val="0"/>
          <w:sz w:val="24"/>
          <w:highlight w:val="none"/>
          <w:u w:val="single"/>
          <w:lang w:val="en-US" w:eastAsia="zh-CN"/>
        </w:rPr>
        <w:t>9</w:t>
      </w:r>
      <w:r>
        <w:rPr>
          <w:rFonts w:hint="eastAsia" w:ascii="宋体" w:hAnsi="宋体" w:cs="宋体"/>
          <w:color w:val="auto"/>
          <w:kern w:val="0"/>
          <w:sz w:val="24"/>
          <w:highlight w:val="none"/>
          <w:u w:val="single"/>
        </w:rPr>
        <w:t>月</w:t>
      </w:r>
      <w:r>
        <w:rPr>
          <w:rFonts w:hint="eastAsia" w:ascii="宋体" w:hAnsi="宋体" w:cs="宋体"/>
          <w:color w:val="auto"/>
          <w:kern w:val="0"/>
          <w:sz w:val="24"/>
          <w:highlight w:val="none"/>
          <w:u w:val="single"/>
          <w:lang w:val="en-US" w:eastAsia="zh-CN"/>
        </w:rPr>
        <w:t>20</w:t>
      </w:r>
      <w:r>
        <w:rPr>
          <w:rFonts w:hint="eastAsia" w:ascii="宋体" w:hAnsi="宋体" w:cs="宋体"/>
          <w:color w:val="auto"/>
          <w:kern w:val="0"/>
          <w:sz w:val="24"/>
          <w:highlight w:val="none"/>
          <w:u w:val="single"/>
        </w:rPr>
        <w:t>日</w:t>
      </w:r>
      <w:r>
        <w:rPr>
          <w:rFonts w:hint="eastAsia" w:ascii="宋体" w:hAnsi="宋体" w:cs="宋体"/>
          <w:color w:val="auto"/>
          <w:kern w:val="0"/>
          <w:sz w:val="24"/>
          <w:highlight w:val="none"/>
          <w:u w:val="single"/>
          <w:lang w:val="en-US" w:eastAsia="zh-CN"/>
        </w:rPr>
        <w:t>10点</w:t>
      </w:r>
      <w:r>
        <w:rPr>
          <w:rFonts w:ascii="宋体" w:hAnsi="宋体" w:cs="宋体"/>
          <w:color w:val="auto"/>
          <w:kern w:val="0"/>
          <w:sz w:val="24"/>
          <w:highlight w:val="none"/>
          <w:u w:val="single"/>
        </w:rPr>
        <w:t>之前不准启封</w:t>
      </w:r>
      <w:r>
        <w:rPr>
          <w:rFonts w:hint="eastAsia" w:ascii="宋体" w:hAnsi="宋体" w:cs="宋体"/>
          <w:color w:val="auto"/>
          <w:kern w:val="0"/>
          <w:sz w:val="24"/>
          <w:highlight w:val="none"/>
          <w:u w:val="single"/>
        </w:rPr>
        <w:t>”</w:t>
      </w:r>
      <w:r>
        <w:rPr>
          <w:rFonts w:hint="eastAsia" w:ascii="宋体" w:hAnsi="宋体" w:cs="宋体"/>
          <w:color w:val="auto"/>
          <w:kern w:val="0"/>
          <w:sz w:val="24"/>
          <w:highlight w:val="none"/>
        </w:rPr>
        <w:t>的</w:t>
      </w:r>
      <w:r>
        <w:rPr>
          <w:rFonts w:ascii="宋体" w:hAnsi="宋体" w:cs="宋体"/>
          <w:color w:val="auto"/>
          <w:kern w:val="0"/>
          <w:sz w:val="24"/>
          <w:highlight w:val="none"/>
        </w:rPr>
        <w:t>字样。</w:t>
      </w:r>
    </w:p>
    <w:p w14:paraId="3883918A">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1.3 </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的提交：</w:t>
      </w:r>
      <w:r>
        <w:rPr>
          <w:rFonts w:hint="eastAsia" w:ascii="宋体" w:hAnsi="宋体" w:cs="宋体"/>
          <w:color w:val="auto"/>
          <w:kern w:val="0"/>
          <w:sz w:val="24"/>
          <w:highlight w:val="none"/>
          <w:lang w:eastAsia="zh-CN"/>
        </w:rPr>
        <w:t>报价人</w:t>
      </w:r>
      <w:r>
        <w:rPr>
          <w:rFonts w:ascii="宋体" w:hAnsi="宋体" w:cs="宋体"/>
          <w:color w:val="auto"/>
          <w:kern w:val="0"/>
          <w:sz w:val="24"/>
          <w:highlight w:val="none"/>
        </w:rPr>
        <w:t>应</w:t>
      </w:r>
      <w:r>
        <w:rPr>
          <w:rFonts w:hint="eastAsia" w:ascii="宋体" w:hAnsi="宋体" w:cs="宋体"/>
          <w:color w:val="auto"/>
          <w:kern w:val="0"/>
          <w:sz w:val="24"/>
          <w:highlight w:val="none"/>
        </w:rPr>
        <w:t>于</w:t>
      </w:r>
      <w:r>
        <w:rPr>
          <w:rFonts w:hint="eastAsia" w:ascii="宋体" w:hAnsi="宋体" w:cs="宋体"/>
          <w:color w:val="auto"/>
          <w:kern w:val="0"/>
          <w:sz w:val="24"/>
          <w:highlight w:val="none"/>
          <w:lang w:eastAsia="zh-CN"/>
        </w:rPr>
        <w:t>谈判文件</w:t>
      </w:r>
      <w:r>
        <w:rPr>
          <w:rFonts w:hint="eastAsia" w:ascii="宋体" w:hAnsi="宋体" w:cs="宋体"/>
          <w:color w:val="auto"/>
          <w:kern w:val="0"/>
          <w:sz w:val="24"/>
          <w:highlight w:val="none"/>
        </w:rPr>
        <w:t>递交</w:t>
      </w:r>
      <w:r>
        <w:rPr>
          <w:rFonts w:ascii="宋体" w:hAnsi="宋体" w:cs="宋体"/>
          <w:color w:val="auto"/>
          <w:kern w:val="0"/>
          <w:sz w:val="24"/>
          <w:highlight w:val="none"/>
        </w:rPr>
        <w:t>截止时间前由专人将</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送至</w:t>
      </w:r>
      <w:r>
        <w:rPr>
          <w:rFonts w:hint="eastAsia" w:ascii="宋体" w:hAnsi="宋体" w:cs="宋体"/>
          <w:color w:val="auto"/>
          <w:kern w:val="0"/>
          <w:sz w:val="24"/>
          <w:highlight w:val="none"/>
        </w:rPr>
        <w:t>指定地点</w:t>
      </w:r>
      <w:r>
        <w:rPr>
          <w:rFonts w:ascii="宋体" w:hAnsi="宋体" w:cs="宋体"/>
          <w:color w:val="auto"/>
          <w:kern w:val="0"/>
          <w:sz w:val="24"/>
          <w:highlight w:val="none"/>
        </w:rPr>
        <w:t>。</w:t>
      </w:r>
    </w:p>
    <w:p w14:paraId="6A6C8845">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1.4 </w:t>
      </w:r>
      <w:r>
        <w:rPr>
          <w:rFonts w:hint="eastAsia" w:ascii="宋体" w:hAnsi="宋体" w:cs="宋体"/>
          <w:color w:val="auto"/>
          <w:kern w:val="0"/>
          <w:sz w:val="24"/>
          <w:highlight w:val="none"/>
          <w:lang w:eastAsia="zh-CN"/>
        </w:rPr>
        <w:t>报价人</w:t>
      </w:r>
      <w:r>
        <w:rPr>
          <w:rFonts w:ascii="宋体" w:hAnsi="宋体" w:cs="宋体"/>
          <w:color w:val="auto"/>
          <w:kern w:val="0"/>
          <w:sz w:val="24"/>
          <w:highlight w:val="none"/>
        </w:rPr>
        <w:t>在递交</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时，应同时出示</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要求的资质证明文件的复印件</w:t>
      </w:r>
      <w:r>
        <w:rPr>
          <w:rFonts w:ascii="宋体" w:hAnsi="宋体" w:cs="宋体"/>
          <w:color w:val="auto"/>
          <w:spacing w:val="-6"/>
          <w:kern w:val="0"/>
          <w:sz w:val="24"/>
          <w:highlight w:val="none"/>
        </w:rPr>
        <w:t>并加盖有效公章，并按目录排列</w:t>
      </w:r>
      <w:r>
        <w:rPr>
          <w:rFonts w:hint="eastAsia" w:ascii="宋体" w:hAnsi="宋体" w:cs="宋体"/>
          <w:color w:val="auto"/>
          <w:kern w:val="0"/>
          <w:sz w:val="24"/>
          <w:highlight w:val="none"/>
        </w:rPr>
        <w:t>。</w:t>
      </w:r>
    </w:p>
    <w:p w14:paraId="70CD0D4F">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.递交</w:t>
      </w:r>
      <w:r>
        <w:rPr>
          <w:rFonts w:ascii="宋体" w:hAnsi="宋体"/>
          <w:b/>
          <w:color w:val="auto"/>
          <w:kern w:val="0"/>
          <w:sz w:val="24"/>
          <w:highlight w:val="none"/>
        </w:rPr>
        <w:t>截止时间</w:t>
      </w:r>
    </w:p>
    <w:p w14:paraId="61D5C7E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2.1 </w:t>
      </w:r>
      <w:r>
        <w:rPr>
          <w:rFonts w:hint="eastAsia" w:ascii="宋体" w:hAnsi="宋体"/>
          <w:color w:val="auto"/>
          <w:kern w:val="0"/>
          <w:sz w:val="24"/>
          <w:highlight w:val="none"/>
          <w:lang w:eastAsia="zh-CN"/>
        </w:rPr>
        <w:t>谈判文件</w:t>
      </w:r>
      <w:r>
        <w:rPr>
          <w:rFonts w:hint="eastAsia" w:ascii="宋体" w:hAnsi="宋体"/>
          <w:color w:val="auto"/>
          <w:kern w:val="0"/>
          <w:sz w:val="24"/>
          <w:highlight w:val="none"/>
        </w:rPr>
        <w:t>递交截止时间</w:t>
      </w:r>
      <w:r>
        <w:rPr>
          <w:rFonts w:ascii="宋体" w:hAnsi="宋体"/>
          <w:color w:val="auto"/>
          <w:kern w:val="0"/>
          <w:sz w:val="24"/>
          <w:highlight w:val="none"/>
        </w:rPr>
        <w:t>见</w:t>
      </w:r>
      <w:r>
        <w:rPr>
          <w:rFonts w:hint="eastAsia" w:ascii="宋体" w:hAnsi="宋体"/>
          <w:color w:val="auto"/>
          <w:kern w:val="0"/>
          <w:sz w:val="24"/>
          <w:highlight w:val="none"/>
        </w:rPr>
        <w:t>本次</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公告的规定。</w:t>
      </w:r>
    </w:p>
    <w:p w14:paraId="1AF26516">
      <w:pPr>
        <w:spacing w:line="360" w:lineRule="auto"/>
        <w:ind w:firstLine="482" w:firstLineChars="200"/>
        <w:rPr>
          <w:rFonts w:hint="eastAsia" w:ascii="宋体" w:hAnsi="宋体" w:eastAsia="宋体"/>
          <w:b/>
          <w:color w:val="auto"/>
          <w:kern w:val="0"/>
          <w:sz w:val="24"/>
          <w:highlight w:val="none"/>
          <w:lang w:eastAsia="zh-CN"/>
        </w:rPr>
      </w:pPr>
      <w:r>
        <w:rPr>
          <w:rFonts w:ascii="宋体" w:hAnsi="宋体"/>
          <w:b/>
          <w:color w:val="auto"/>
          <w:kern w:val="0"/>
          <w:sz w:val="24"/>
          <w:highlight w:val="none"/>
        </w:rPr>
        <w:t xml:space="preserve">3. </w:t>
      </w:r>
      <w:r>
        <w:rPr>
          <w:rFonts w:hint="eastAsia" w:ascii="宋体" w:hAnsi="宋体"/>
          <w:b/>
          <w:color w:val="auto"/>
          <w:kern w:val="0"/>
          <w:sz w:val="24"/>
          <w:highlight w:val="none"/>
        </w:rPr>
        <w:t>迟交</w:t>
      </w:r>
      <w:r>
        <w:rPr>
          <w:rFonts w:ascii="宋体" w:hAnsi="宋体"/>
          <w:b/>
          <w:color w:val="auto"/>
          <w:kern w:val="0"/>
          <w:sz w:val="24"/>
          <w:highlight w:val="none"/>
        </w:rPr>
        <w:t>的</w:t>
      </w:r>
      <w:r>
        <w:rPr>
          <w:rFonts w:hint="eastAsia" w:ascii="宋体" w:hAnsi="宋体"/>
          <w:b/>
          <w:color w:val="auto"/>
          <w:kern w:val="0"/>
          <w:sz w:val="24"/>
          <w:highlight w:val="none"/>
          <w:lang w:eastAsia="zh-CN"/>
        </w:rPr>
        <w:t>谈判文件</w:t>
      </w:r>
    </w:p>
    <w:p w14:paraId="58A2DF41">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.1 采购人</w:t>
      </w:r>
      <w:r>
        <w:rPr>
          <w:rFonts w:ascii="宋体" w:hAnsi="宋体"/>
          <w:color w:val="auto"/>
          <w:kern w:val="0"/>
          <w:sz w:val="24"/>
          <w:highlight w:val="none"/>
        </w:rPr>
        <w:t>将拒绝</w:t>
      </w:r>
      <w:r>
        <w:rPr>
          <w:rFonts w:hint="eastAsia" w:ascii="宋体" w:hAnsi="宋体"/>
          <w:color w:val="auto"/>
          <w:kern w:val="0"/>
          <w:sz w:val="24"/>
          <w:highlight w:val="none"/>
        </w:rPr>
        <w:t>接收</w:t>
      </w:r>
      <w:r>
        <w:rPr>
          <w:rFonts w:ascii="宋体" w:hAnsi="宋体"/>
          <w:color w:val="auto"/>
          <w:kern w:val="0"/>
          <w:sz w:val="24"/>
          <w:highlight w:val="none"/>
        </w:rPr>
        <w:t>并原封退回在</w:t>
      </w:r>
      <w:r>
        <w:rPr>
          <w:rFonts w:hint="eastAsia" w:ascii="宋体" w:hAnsi="宋体"/>
          <w:color w:val="auto"/>
          <w:kern w:val="0"/>
          <w:sz w:val="24"/>
          <w:highlight w:val="none"/>
        </w:rPr>
        <w:t>递交</w:t>
      </w:r>
      <w:r>
        <w:rPr>
          <w:rFonts w:ascii="宋体" w:hAnsi="宋体"/>
          <w:color w:val="auto"/>
          <w:kern w:val="0"/>
          <w:sz w:val="24"/>
          <w:highlight w:val="none"/>
        </w:rPr>
        <w:t>截止时间</w:t>
      </w:r>
      <w:r>
        <w:rPr>
          <w:rFonts w:hint="eastAsia" w:ascii="宋体" w:hAnsi="宋体"/>
          <w:color w:val="auto"/>
          <w:kern w:val="0"/>
          <w:sz w:val="24"/>
          <w:highlight w:val="none"/>
        </w:rPr>
        <w:t>后</w:t>
      </w:r>
      <w:r>
        <w:rPr>
          <w:rFonts w:ascii="宋体" w:hAnsi="宋体"/>
          <w:color w:val="auto"/>
          <w:kern w:val="0"/>
          <w:sz w:val="24"/>
          <w:highlight w:val="none"/>
        </w:rPr>
        <w:t>收到的任何</w:t>
      </w:r>
      <w:r>
        <w:rPr>
          <w:rFonts w:hint="eastAsia" w:ascii="宋体" w:hAnsi="宋体"/>
          <w:color w:val="auto"/>
          <w:kern w:val="0"/>
          <w:sz w:val="24"/>
          <w:highlight w:val="none"/>
          <w:lang w:eastAsia="zh-CN"/>
        </w:rPr>
        <w:t>谈判文件</w:t>
      </w:r>
      <w:r>
        <w:rPr>
          <w:rFonts w:ascii="宋体" w:hAnsi="宋体"/>
          <w:color w:val="auto"/>
          <w:kern w:val="0"/>
          <w:sz w:val="24"/>
          <w:highlight w:val="none"/>
        </w:rPr>
        <w:t>。</w:t>
      </w:r>
    </w:p>
    <w:p w14:paraId="3047E044">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的修改和撤回</w:t>
      </w:r>
    </w:p>
    <w:p w14:paraId="18C9ACC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报价人</w:t>
      </w:r>
      <w:r>
        <w:rPr>
          <w:rFonts w:ascii="宋体" w:hAnsi="宋体"/>
          <w:color w:val="auto"/>
          <w:kern w:val="0"/>
          <w:sz w:val="24"/>
          <w:highlight w:val="none"/>
        </w:rPr>
        <w:t>在提交</w:t>
      </w:r>
      <w:r>
        <w:rPr>
          <w:rFonts w:hint="eastAsia" w:ascii="宋体" w:hAnsi="宋体"/>
          <w:color w:val="auto"/>
          <w:kern w:val="0"/>
          <w:sz w:val="24"/>
          <w:highlight w:val="none"/>
          <w:lang w:eastAsia="zh-CN"/>
        </w:rPr>
        <w:t>谈判文件</w:t>
      </w:r>
      <w:r>
        <w:rPr>
          <w:rFonts w:ascii="宋体" w:hAnsi="宋体"/>
          <w:color w:val="auto"/>
          <w:kern w:val="0"/>
          <w:sz w:val="24"/>
          <w:highlight w:val="none"/>
        </w:rPr>
        <w:t>后可对其</w:t>
      </w:r>
      <w:r>
        <w:rPr>
          <w:rFonts w:hint="eastAsia" w:ascii="宋体" w:hAnsi="宋体"/>
          <w:color w:val="auto"/>
          <w:kern w:val="0"/>
          <w:sz w:val="24"/>
          <w:highlight w:val="none"/>
          <w:lang w:eastAsia="zh-CN"/>
        </w:rPr>
        <w:t>谈判文件</w:t>
      </w:r>
      <w:r>
        <w:rPr>
          <w:rFonts w:ascii="宋体" w:hAnsi="宋体"/>
          <w:color w:val="auto"/>
          <w:kern w:val="0"/>
          <w:sz w:val="24"/>
          <w:highlight w:val="none"/>
        </w:rPr>
        <w:t>进行修改或撤回</w:t>
      </w:r>
      <w:r>
        <w:rPr>
          <w:rFonts w:hint="eastAsia" w:ascii="宋体" w:hAnsi="宋体"/>
          <w:color w:val="auto"/>
          <w:kern w:val="0"/>
          <w:sz w:val="24"/>
          <w:highlight w:val="none"/>
        </w:rPr>
        <w:t>，</w:t>
      </w:r>
      <w:r>
        <w:rPr>
          <w:rFonts w:ascii="宋体" w:hAnsi="宋体"/>
          <w:color w:val="auto"/>
          <w:kern w:val="0"/>
          <w:sz w:val="24"/>
          <w:highlight w:val="none"/>
        </w:rPr>
        <w:t>但该修改或撤回的书面通知需经</w:t>
      </w:r>
      <w:r>
        <w:rPr>
          <w:rFonts w:hint="eastAsia" w:ascii="宋体" w:hAnsi="宋体"/>
          <w:color w:val="auto"/>
          <w:kern w:val="0"/>
          <w:sz w:val="24"/>
          <w:highlight w:val="none"/>
          <w:lang w:eastAsia="zh-CN"/>
        </w:rPr>
        <w:t>谈判文件</w:t>
      </w:r>
      <w:r>
        <w:rPr>
          <w:rFonts w:ascii="宋体" w:hAnsi="宋体"/>
          <w:color w:val="auto"/>
          <w:kern w:val="0"/>
          <w:sz w:val="24"/>
          <w:highlight w:val="none"/>
        </w:rPr>
        <w:t>签署人签字，并在</w:t>
      </w:r>
      <w:r>
        <w:rPr>
          <w:rFonts w:hint="eastAsia" w:ascii="宋体" w:hAnsi="宋体"/>
          <w:color w:val="auto"/>
          <w:kern w:val="0"/>
          <w:sz w:val="24"/>
          <w:highlight w:val="none"/>
        </w:rPr>
        <w:t>递交</w:t>
      </w:r>
      <w:r>
        <w:rPr>
          <w:rFonts w:ascii="宋体" w:hAnsi="宋体"/>
          <w:color w:val="auto"/>
          <w:kern w:val="0"/>
          <w:sz w:val="24"/>
          <w:highlight w:val="none"/>
        </w:rPr>
        <w:t>截止</w:t>
      </w:r>
      <w:r>
        <w:rPr>
          <w:rFonts w:hint="eastAsia" w:ascii="宋体" w:hAnsi="宋体"/>
          <w:color w:val="auto"/>
          <w:kern w:val="0"/>
          <w:sz w:val="24"/>
          <w:highlight w:val="none"/>
        </w:rPr>
        <w:t>时间</w:t>
      </w:r>
      <w:r>
        <w:rPr>
          <w:rFonts w:ascii="宋体" w:hAnsi="宋体"/>
          <w:color w:val="auto"/>
          <w:kern w:val="0"/>
          <w:sz w:val="24"/>
          <w:highlight w:val="none"/>
        </w:rPr>
        <w:t>之前送达采购人。</w:t>
      </w:r>
    </w:p>
    <w:p w14:paraId="176C7BE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4.2 </w:t>
      </w:r>
      <w:r>
        <w:rPr>
          <w:rFonts w:hint="eastAsia" w:ascii="宋体" w:hAnsi="宋体"/>
          <w:color w:val="auto"/>
          <w:kern w:val="0"/>
          <w:sz w:val="24"/>
          <w:highlight w:val="none"/>
          <w:lang w:eastAsia="zh-CN"/>
        </w:rPr>
        <w:t>报价人</w:t>
      </w:r>
      <w:r>
        <w:rPr>
          <w:rFonts w:ascii="宋体" w:hAnsi="宋体"/>
          <w:color w:val="auto"/>
          <w:kern w:val="0"/>
          <w:sz w:val="24"/>
          <w:highlight w:val="none"/>
        </w:rPr>
        <w:t>对</w:t>
      </w:r>
      <w:r>
        <w:rPr>
          <w:rFonts w:hint="eastAsia" w:ascii="宋体" w:hAnsi="宋体"/>
          <w:color w:val="auto"/>
          <w:kern w:val="0"/>
          <w:sz w:val="24"/>
          <w:highlight w:val="none"/>
          <w:lang w:eastAsia="zh-CN"/>
        </w:rPr>
        <w:t>谈判文件</w:t>
      </w:r>
      <w:r>
        <w:rPr>
          <w:rFonts w:ascii="宋体" w:hAnsi="宋体"/>
          <w:color w:val="auto"/>
          <w:kern w:val="0"/>
          <w:sz w:val="24"/>
          <w:highlight w:val="none"/>
        </w:rPr>
        <w:t>修改的书面材料或撤回的</w:t>
      </w:r>
      <w:r>
        <w:rPr>
          <w:rFonts w:hint="eastAsia" w:ascii="宋体" w:hAnsi="宋体"/>
          <w:color w:val="auto"/>
          <w:kern w:val="0"/>
          <w:sz w:val="24"/>
          <w:highlight w:val="none"/>
        </w:rPr>
        <w:t>通知</w:t>
      </w:r>
      <w:r>
        <w:rPr>
          <w:rFonts w:ascii="宋体" w:hAnsi="宋体"/>
          <w:color w:val="auto"/>
          <w:kern w:val="0"/>
          <w:sz w:val="24"/>
          <w:highlight w:val="none"/>
        </w:rPr>
        <w:t>应按</w:t>
      </w:r>
      <w:r>
        <w:rPr>
          <w:rFonts w:hint="eastAsia" w:ascii="宋体" w:hAnsi="宋体"/>
          <w:color w:val="auto"/>
          <w:kern w:val="0"/>
          <w:sz w:val="24"/>
          <w:highlight w:val="none"/>
        </w:rPr>
        <w:t>规定</w:t>
      </w:r>
      <w:r>
        <w:rPr>
          <w:rFonts w:ascii="宋体" w:hAnsi="宋体"/>
          <w:color w:val="auto"/>
          <w:kern w:val="0"/>
          <w:sz w:val="24"/>
          <w:highlight w:val="none"/>
        </w:rPr>
        <w:t>进行编写、密封、标注和递送，并注明“</w:t>
      </w:r>
      <w:r>
        <w:rPr>
          <w:rFonts w:hint="eastAsia" w:ascii="宋体" w:hAnsi="宋体"/>
          <w:color w:val="auto"/>
          <w:kern w:val="0"/>
          <w:sz w:val="24"/>
          <w:highlight w:val="none"/>
        </w:rPr>
        <w:t>修改</w:t>
      </w:r>
      <w:r>
        <w:rPr>
          <w:rFonts w:hint="eastAsia" w:ascii="宋体" w:hAnsi="宋体"/>
          <w:color w:val="auto"/>
          <w:kern w:val="0"/>
          <w:sz w:val="24"/>
          <w:highlight w:val="none"/>
          <w:lang w:eastAsia="zh-CN"/>
        </w:rPr>
        <w:t>谈判文件</w:t>
      </w:r>
      <w:r>
        <w:rPr>
          <w:rFonts w:ascii="宋体" w:hAnsi="宋体"/>
          <w:color w:val="auto"/>
          <w:kern w:val="0"/>
          <w:sz w:val="24"/>
          <w:highlight w:val="none"/>
        </w:rPr>
        <w:t>”</w:t>
      </w:r>
      <w:r>
        <w:rPr>
          <w:rFonts w:hint="eastAsia" w:ascii="宋体" w:hAnsi="宋体"/>
          <w:color w:val="auto"/>
          <w:kern w:val="0"/>
          <w:sz w:val="24"/>
          <w:highlight w:val="none"/>
        </w:rPr>
        <w:t>或</w:t>
      </w:r>
      <w:r>
        <w:rPr>
          <w:rFonts w:ascii="宋体" w:hAnsi="宋体"/>
          <w:color w:val="auto"/>
          <w:kern w:val="0"/>
          <w:sz w:val="24"/>
          <w:highlight w:val="none"/>
        </w:rPr>
        <w:t>“</w:t>
      </w:r>
      <w:r>
        <w:rPr>
          <w:rFonts w:hint="eastAsia" w:ascii="宋体" w:hAnsi="宋体"/>
          <w:color w:val="auto"/>
          <w:kern w:val="0"/>
          <w:sz w:val="24"/>
          <w:highlight w:val="none"/>
        </w:rPr>
        <w:t>撤回</w:t>
      </w:r>
      <w:r>
        <w:rPr>
          <w:rFonts w:hint="eastAsia" w:ascii="宋体" w:hAnsi="宋体"/>
          <w:color w:val="auto"/>
          <w:kern w:val="0"/>
          <w:sz w:val="24"/>
          <w:highlight w:val="none"/>
          <w:lang w:eastAsia="zh-CN"/>
        </w:rPr>
        <w:t>谈判采购</w:t>
      </w:r>
      <w:r>
        <w:rPr>
          <w:rFonts w:ascii="宋体" w:hAnsi="宋体"/>
          <w:color w:val="auto"/>
          <w:kern w:val="0"/>
          <w:sz w:val="24"/>
          <w:highlight w:val="none"/>
        </w:rPr>
        <w:t>”</w:t>
      </w:r>
      <w:r>
        <w:rPr>
          <w:rFonts w:hint="eastAsia" w:ascii="宋体" w:hAnsi="宋体"/>
          <w:color w:val="auto"/>
          <w:kern w:val="0"/>
          <w:sz w:val="24"/>
          <w:highlight w:val="none"/>
        </w:rPr>
        <w:t>字样</w:t>
      </w:r>
      <w:r>
        <w:rPr>
          <w:rFonts w:ascii="宋体" w:hAnsi="宋体"/>
          <w:color w:val="auto"/>
          <w:kern w:val="0"/>
          <w:sz w:val="24"/>
          <w:highlight w:val="none"/>
        </w:rPr>
        <w:t>。</w:t>
      </w:r>
    </w:p>
    <w:p w14:paraId="240EB78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4.3</w:t>
      </w:r>
      <w:r>
        <w:rPr>
          <w:rFonts w:hint="eastAsia" w:ascii="宋体" w:hAnsi="宋体"/>
          <w:color w:val="auto"/>
          <w:kern w:val="0"/>
          <w:sz w:val="24"/>
          <w:highlight w:val="none"/>
        </w:rPr>
        <w:t xml:space="preserve"> 在</w:t>
      </w:r>
      <w:r>
        <w:rPr>
          <w:rFonts w:hint="eastAsia" w:ascii="宋体" w:hAnsi="宋体"/>
          <w:color w:val="auto"/>
          <w:kern w:val="0"/>
          <w:sz w:val="24"/>
          <w:highlight w:val="none"/>
          <w:lang w:eastAsia="zh-CN"/>
        </w:rPr>
        <w:t>谈判文件</w:t>
      </w:r>
      <w:r>
        <w:rPr>
          <w:rFonts w:hint="eastAsia" w:ascii="宋体" w:hAnsi="宋体"/>
          <w:color w:val="auto"/>
          <w:kern w:val="0"/>
          <w:sz w:val="24"/>
          <w:highlight w:val="none"/>
        </w:rPr>
        <w:t>递交截止时间</w:t>
      </w:r>
      <w:r>
        <w:rPr>
          <w:rFonts w:ascii="宋体" w:hAnsi="宋体"/>
          <w:color w:val="auto"/>
          <w:kern w:val="0"/>
          <w:sz w:val="24"/>
          <w:highlight w:val="none"/>
        </w:rPr>
        <w:t>之后，</w:t>
      </w:r>
      <w:r>
        <w:rPr>
          <w:rFonts w:hint="eastAsia" w:ascii="宋体" w:hAnsi="宋体"/>
          <w:color w:val="auto"/>
          <w:kern w:val="0"/>
          <w:sz w:val="24"/>
          <w:highlight w:val="none"/>
          <w:lang w:eastAsia="zh-CN"/>
        </w:rPr>
        <w:t>报价人</w:t>
      </w:r>
      <w:r>
        <w:rPr>
          <w:rFonts w:ascii="宋体" w:hAnsi="宋体"/>
          <w:color w:val="auto"/>
          <w:kern w:val="0"/>
          <w:sz w:val="24"/>
          <w:highlight w:val="none"/>
        </w:rPr>
        <w:t>不得对其</w:t>
      </w:r>
      <w:r>
        <w:rPr>
          <w:rFonts w:hint="eastAsia" w:ascii="宋体" w:hAnsi="宋体"/>
          <w:color w:val="auto"/>
          <w:kern w:val="0"/>
          <w:sz w:val="24"/>
          <w:highlight w:val="none"/>
          <w:lang w:eastAsia="zh-CN"/>
        </w:rPr>
        <w:t>谈判文件</w:t>
      </w:r>
      <w:r>
        <w:rPr>
          <w:rFonts w:ascii="宋体" w:hAnsi="宋体"/>
          <w:color w:val="auto"/>
          <w:kern w:val="0"/>
          <w:sz w:val="24"/>
          <w:highlight w:val="none"/>
        </w:rPr>
        <w:t>做任何修改</w:t>
      </w:r>
      <w:r>
        <w:rPr>
          <w:rFonts w:hint="eastAsia" w:ascii="宋体" w:hAnsi="宋体"/>
          <w:color w:val="auto"/>
          <w:kern w:val="0"/>
          <w:sz w:val="24"/>
          <w:highlight w:val="none"/>
        </w:rPr>
        <w:t>或</w:t>
      </w:r>
      <w:r>
        <w:rPr>
          <w:rFonts w:ascii="宋体" w:hAnsi="宋体"/>
          <w:color w:val="auto"/>
          <w:kern w:val="0"/>
          <w:sz w:val="24"/>
          <w:highlight w:val="none"/>
        </w:rPr>
        <w:t>撤回。</w:t>
      </w:r>
    </w:p>
    <w:p w14:paraId="3F7C4B3A">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五</w:t>
      </w:r>
      <w:r>
        <w:rPr>
          <w:rFonts w:ascii="宋体" w:hAnsi="宋体"/>
          <w:b/>
          <w:color w:val="auto"/>
          <w:kern w:val="0"/>
          <w:sz w:val="24"/>
          <w:highlight w:val="none"/>
        </w:rPr>
        <w:t>、</w:t>
      </w:r>
      <w:r>
        <w:rPr>
          <w:rFonts w:hint="eastAsia" w:ascii="宋体" w:hAnsi="宋体"/>
          <w:b/>
          <w:color w:val="auto"/>
          <w:kern w:val="0"/>
          <w:sz w:val="24"/>
          <w:highlight w:val="none"/>
        </w:rPr>
        <w:t>评审</w:t>
      </w:r>
    </w:p>
    <w:p w14:paraId="02B17B30">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.否决</w:t>
      </w:r>
    </w:p>
    <w:p w14:paraId="18AF0564">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 xml:space="preserve">.1 </w:t>
      </w:r>
      <w:r>
        <w:rPr>
          <w:rFonts w:ascii="宋体" w:hAnsi="宋体"/>
          <w:color w:val="auto"/>
          <w:kern w:val="0"/>
          <w:sz w:val="24"/>
          <w:highlight w:val="none"/>
        </w:rPr>
        <w:t>“</w:t>
      </w:r>
      <w:r>
        <w:rPr>
          <w:rFonts w:hint="eastAsia" w:ascii="宋体" w:hAnsi="宋体"/>
          <w:color w:val="auto"/>
          <w:kern w:val="0"/>
          <w:sz w:val="24"/>
          <w:highlight w:val="none"/>
          <w:lang w:eastAsia="zh-CN"/>
        </w:rPr>
        <w:t>谈判文件</w:t>
      </w:r>
      <w:r>
        <w:rPr>
          <w:rFonts w:ascii="宋体" w:hAnsi="宋体"/>
          <w:color w:val="auto"/>
          <w:kern w:val="0"/>
          <w:sz w:val="24"/>
          <w:highlight w:val="none"/>
        </w:rPr>
        <w:t>”</w:t>
      </w:r>
      <w:r>
        <w:rPr>
          <w:rFonts w:hint="eastAsia" w:ascii="宋体" w:hAnsi="宋体"/>
          <w:color w:val="auto"/>
          <w:kern w:val="0"/>
          <w:sz w:val="24"/>
          <w:highlight w:val="none"/>
        </w:rPr>
        <w:t>属下列</w:t>
      </w:r>
      <w:r>
        <w:rPr>
          <w:rFonts w:ascii="宋体" w:hAnsi="宋体"/>
          <w:color w:val="auto"/>
          <w:kern w:val="0"/>
          <w:sz w:val="24"/>
          <w:highlight w:val="none"/>
        </w:rPr>
        <w:t>情况之一的，</w:t>
      </w:r>
      <w:r>
        <w:rPr>
          <w:rFonts w:hint="eastAsia" w:ascii="宋体" w:hAnsi="宋体"/>
          <w:color w:val="auto"/>
          <w:kern w:val="0"/>
          <w:sz w:val="24"/>
          <w:highlight w:val="none"/>
        </w:rPr>
        <w:t>采购人</w:t>
      </w:r>
      <w:r>
        <w:rPr>
          <w:rFonts w:ascii="宋体" w:hAnsi="宋体"/>
          <w:color w:val="auto"/>
          <w:kern w:val="0"/>
          <w:sz w:val="24"/>
          <w:highlight w:val="none"/>
        </w:rPr>
        <w:t>有权将其作</w:t>
      </w:r>
      <w:r>
        <w:rPr>
          <w:rFonts w:hint="eastAsia" w:ascii="宋体" w:hAnsi="宋体"/>
          <w:color w:val="auto"/>
          <w:kern w:val="0"/>
          <w:sz w:val="24"/>
          <w:highlight w:val="none"/>
        </w:rPr>
        <w:t>否决</w:t>
      </w:r>
      <w:r>
        <w:rPr>
          <w:rFonts w:ascii="宋体" w:hAnsi="宋体"/>
          <w:color w:val="auto"/>
          <w:kern w:val="0"/>
          <w:sz w:val="24"/>
          <w:highlight w:val="none"/>
        </w:rPr>
        <w:t>处理：</w:t>
      </w:r>
    </w:p>
    <w:p w14:paraId="1BEBB568">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（1）逾期</w:t>
      </w:r>
      <w:r>
        <w:rPr>
          <w:rFonts w:ascii="宋体" w:hAnsi="宋体"/>
          <w:color w:val="auto"/>
          <w:kern w:val="0"/>
          <w:sz w:val="24"/>
          <w:highlight w:val="none"/>
        </w:rPr>
        <w:t>送达的；</w:t>
      </w:r>
    </w:p>
    <w:p w14:paraId="1E1679E4">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针对</w:t>
      </w:r>
      <w:r>
        <w:rPr>
          <w:rFonts w:ascii="宋体" w:hAnsi="宋体"/>
          <w:color w:val="auto"/>
          <w:kern w:val="0"/>
          <w:sz w:val="24"/>
          <w:highlight w:val="none"/>
        </w:rPr>
        <w:t>同一服务</w:t>
      </w:r>
      <w:r>
        <w:rPr>
          <w:rFonts w:hint="eastAsia" w:ascii="宋体" w:hAnsi="宋体"/>
          <w:color w:val="auto"/>
          <w:kern w:val="0"/>
          <w:sz w:val="24"/>
          <w:highlight w:val="none"/>
        </w:rPr>
        <w:t>递交</w:t>
      </w:r>
      <w:r>
        <w:rPr>
          <w:rFonts w:ascii="宋体" w:hAnsi="宋体"/>
          <w:color w:val="auto"/>
          <w:kern w:val="0"/>
          <w:sz w:val="24"/>
          <w:highlight w:val="none"/>
        </w:rPr>
        <w:t>两份或</w:t>
      </w:r>
      <w:r>
        <w:rPr>
          <w:rFonts w:hint="eastAsia" w:ascii="宋体" w:hAnsi="宋体"/>
          <w:color w:val="auto"/>
          <w:kern w:val="0"/>
          <w:sz w:val="24"/>
          <w:highlight w:val="none"/>
        </w:rPr>
        <w:t>多份</w:t>
      </w:r>
      <w:r>
        <w:rPr>
          <w:rFonts w:ascii="宋体" w:hAnsi="宋体"/>
          <w:color w:val="auto"/>
          <w:kern w:val="0"/>
          <w:sz w:val="24"/>
          <w:highlight w:val="none"/>
        </w:rPr>
        <w:t>内容不同的</w:t>
      </w:r>
      <w:r>
        <w:rPr>
          <w:rFonts w:hint="eastAsia" w:ascii="宋体" w:hAnsi="宋体"/>
          <w:color w:val="auto"/>
          <w:kern w:val="0"/>
          <w:sz w:val="24"/>
          <w:highlight w:val="none"/>
        </w:rPr>
        <w:t>响应</w:t>
      </w:r>
      <w:r>
        <w:rPr>
          <w:rFonts w:ascii="宋体" w:hAnsi="宋体"/>
          <w:color w:val="auto"/>
          <w:kern w:val="0"/>
          <w:sz w:val="24"/>
          <w:highlight w:val="none"/>
        </w:rPr>
        <w:t>书，未书面声明哪一个有效的；</w:t>
      </w:r>
    </w:p>
    <w:p w14:paraId="7F567FF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1.2 </w:t>
      </w:r>
      <w:r>
        <w:rPr>
          <w:rFonts w:hint="eastAsia" w:ascii="宋体" w:hAnsi="宋体"/>
          <w:color w:val="auto"/>
          <w:kern w:val="0"/>
          <w:sz w:val="24"/>
          <w:highlight w:val="none"/>
        </w:rPr>
        <w:t>无论</w:t>
      </w:r>
      <w:r>
        <w:rPr>
          <w:rFonts w:ascii="宋体" w:hAnsi="宋体"/>
          <w:color w:val="auto"/>
          <w:kern w:val="0"/>
          <w:sz w:val="24"/>
          <w:highlight w:val="none"/>
        </w:rPr>
        <w:t>何种原因在</w:t>
      </w:r>
      <w:r>
        <w:rPr>
          <w:rFonts w:hint="eastAsia" w:ascii="宋体" w:hAnsi="宋体"/>
          <w:color w:val="auto"/>
          <w:kern w:val="0"/>
          <w:sz w:val="24"/>
          <w:highlight w:val="none"/>
        </w:rPr>
        <w:t>评审</w:t>
      </w:r>
      <w:r>
        <w:rPr>
          <w:rFonts w:ascii="宋体" w:hAnsi="宋体"/>
          <w:color w:val="auto"/>
          <w:kern w:val="0"/>
          <w:sz w:val="24"/>
          <w:highlight w:val="none"/>
        </w:rPr>
        <w:t>时未被接</w:t>
      </w:r>
      <w:r>
        <w:rPr>
          <w:rFonts w:hint="eastAsia" w:ascii="宋体" w:hAnsi="宋体"/>
          <w:color w:val="auto"/>
          <w:kern w:val="0"/>
          <w:sz w:val="24"/>
          <w:highlight w:val="none"/>
        </w:rPr>
        <w:t>收</w:t>
      </w:r>
      <w:r>
        <w:rPr>
          <w:rFonts w:ascii="宋体" w:hAnsi="宋体"/>
          <w:color w:val="auto"/>
          <w:kern w:val="0"/>
          <w:sz w:val="24"/>
          <w:highlight w:val="none"/>
        </w:rPr>
        <w:t>的</w:t>
      </w:r>
      <w:r>
        <w:rPr>
          <w:rFonts w:hint="eastAsia" w:ascii="宋体" w:hAnsi="宋体"/>
          <w:color w:val="auto"/>
          <w:kern w:val="0"/>
          <w:sz w:val="24"/>
          <w:highlight w:val="none"/>
          <w:lang w:val="en-US" w:eastAsia="zh-CN"/>
        </w:rPr>
        <w:t>谈判文件</w:t>
      </w:r>
      <w:r>
        <w:rPr>
          <w:rFonts w:ascii="宋体" w:hAnsi="宋体"/>
          <w:color w:val="auto"/>
          <w:kern w:val="0"/>
          <w:sz w:val="24"/>
          <w:highlight w:val="none"/>
        </w:rPr>
        <w:t>在评</w:t>
      </w:r>
      <w:r>
        <w:rPr>
          <w:rFonts w:hint="eastAsia" w:ascii="宋体" w:hAnsi="宋体"/>
          <w:color w:val="auto"/>
          <w:kern w:val="0"/>
          <w:sz w:val="24"/>
          <w:highlight w:val="none"/>
        </w:rPr>
        <w:t>审</w:t>
      </w:r>
      <w:r>
        <w:rPr>
          <w:rFonts w:ascii="宋体" w:hAnsi="宋体"/>
          <w:color w:val="auto"/>
          <w:kern w:val="0"/>
          <w:sz w:val="24"/>
          <w:highlight w:val="none"/>
        </w:rPr>
        <w:t>时将不予考虑</w:t>
      </w:r>
      <w:r>
        <w:rPr>
          <w:rFonts w:hint="eastAsia" w:ascii="宋体" w:hAnsi="宋体"/>
          <w:color w:val="auto"/>
          <w:kern w:val="0"/>
          <w:sz w:val="24"/>
          <w:highlight w:val="none"/>
        </w:rPr>
        <w:t>，</w:t>
      </w:r>
      <w:r>
        <w:rPr>
          <w:rFonts w:ascii="宋体" w:hAnsi="宋体"/>
          <w:color w:val="auto"/>
          <w:kern w:val="0"/>
          <w:sz w:val="24"/>
          <w:highlight w:val="none"/>
        </w:rPr>
        <w:t>采购人</w:t>
      </w:r>
      <w:r>
        <w:rPr>
          <w:rFonts w:hint="eastAsia" w:ascii="宋体" w:hAnsi="宋体"/>
          <w:color w:val="auto"/>
          <w:kern w:val="0"/>
          <w:sz w:val="24"/>
          <w:highlight w:val="none"/>
        </w:rPr>
        <w:t>对此</w:t>
      </w:r>
      <w:r>
        <w:rPr>
          <w:rFonts w:ascii="宋体" w:hAnsi="宋体"/>
          <w:color w:val="auto"/>
          <w:kern w:val="0"/>
          <w:sz w:val="24"/>
          <w:highlight w:val="none"/>
        </w:rPr>
        <w:t>不承担任何责任。</w:t>
      </w:r>
    </w:p>
    <w:p w14:paraId="05E2ADF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1.3</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数量不足三家的，采购人须重新进行</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w:t>
      </w:r>
    </w:p>
    <w:p w14:paraId="2B13BE62">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.评审组织</w:t>
      </w:r>
    </w:p>
    <w:p w14:paraId="3B61884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w:t>
      </w:r>
      <w:r>
        <w:rPr>
          <w:rFonts w:ascii="宋体" w:hAnsi="宋体"/>
          <w:color w:val="auto"/>
          <w:kern w:val="0"/>
          <w:sz w:val="24"/>
          <w:highlight w:val="none"/>
        </w:rPr>
        <w:t xml:space="preserve"> </w:t>
      </w:r>
      <w:r>
        <w:rPr>
          <w:rFonts w:hint="eastAsia" w:ascii="宋体" w:hAnsi="宋体"/>
          <w:color w:val="auto"/>
          <w:kern w:val="0"/>
          <w:sz w:val="24"/>
          <w:highlight w:val="none"/>
        </w:rPr>
        <w:t>采购人</w:t>
      </w:r>
      <w:r>
        <w:rPr>
          <w:rFonts w:ascii="宋体" w:hAnsi="宋体"/>
          <w:color w:val="auto"/>
          <w:kern w:val="0"/>
          <w:sz w:val="24"/>
          <w:highlight w:val="none"/>
        </w:rPr>
        <w:t>将根据本次</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采购项目</w:t>
      </w:r>
      <w:r>
        <w:rPr>
          <w:rFonts w:ascii="宋体" w:hAnsi="宋体"/>
          <w:color w:val="auto"/>
          <w:kern w:val="0"/>
          <w:sz w:val="24"/>
          <w:highlight w:val="none"/>
        </w:rPr>
        <w:t>的特点，</w:t>
      </w:r>
      <w:r>
        <w:rPr>
          <w:rFonts w:hint="eastAsia" w:ascii="宋体" w:hAnsi="宋体"/>
          <w:color w:val="auto"/>
          <w:kern w:val="0"/>
          <w:sz w:val="24"/>
          <w:highlight w:val="none"/>
        </w:rPr>
        <w:t>根据相关规章制度</w:t>
      </w:r>
      <w:r>
        <w:rPr>
          <w:rFonts w:ascii="宋体" w:hAnsi="宋体"/>
          <w:color w:val="auto"/>
          <w:kern w:val="0"/>
          <w:sz w:val="24"/>
          <w:highlight w:val="none"/>
        </w:rPr>
        <w:t>制定</w:t>
      </w:r>
      <w:r>
        <w:rPr>
          <w:rFonts w:hint="eastAsia" w:ascii="宋体" w:hAnsi="宋体"/>
          <w:color w:val="auto"/>
          <w:kern w:val="0"/>
          <w:sz w:val="24"/>
          <w:highlight w:val="none"/>
        </w:rPr>
        <w:t>评审</w:t>
      </w:r>
      <w:r>
        <w:rPr>
          <w:rFonts w:ascii="宋体" w:hAnsi="宋体"/>
          <w:color w:val="auto"/>
          <w:kern w:val="0"/>
          <w:sz w:val="24"/>
          <w:highlight w:val="none"/>
        </w:rPr>
        <w:t>办法，成立</w:t>
      </w:r>
      <w:r>
        <w:rPr>
          <w:rFonts w:hint="eastAsia" w:ascii="宋体" w:hAnsi="宋体"/>
          <w:color w:val="auto"/>
          <w:kern w:val="0"/>
          <w:sz w:val="24"/>
          <w:highlight w:val="none"/>
        </w:rPr>
        <w:t>评审</w:t>
      </w:r>
      <w:r>
        <w:rPr>
          <w:rFonts w:ascii="宋体" w:hAnsi="宋体"/>
          <w:color w:val="auto"/>
          <w:kern w:val="0"/>
          <w:sz w:val="24"/>
          <w:highlight w:val="none"/>
        </w:rPr>
        <w:t>小组。</w:t>
      </w:r>
    </w:p>
    <w:p w14:paraId="1F021707">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2.2 </w:t>
      </w:r>
      <w:r>
        <w:rPr>
          <w:rFonts w:hint="eastAsia" w:ascii="宋体" w:hAnsi="宋体"/>
          <w:color w:val="auto"/>
          <w:kern w:val="0"/>
          <w:sz w:val="24"/>
          <w:highlight w:val="none"/>
        </w:rPr>
        <w:t>评审</w:t>
      </w:r>
      <w:r>
        <w:rPr>
          <w:rFonts w:ascii="宋体" w:hAnsi="宋体"/>
          <w:color w:val="auto"/>
          <w:kern w:val="0"/>
          <w:sz w:val="24"/>
          <w:highlight w:val="none"/>
        </w:rPr>
        <w:t>小组成员由采购人</w:t>
      </w:r>
      <w:r>
        <w:rPr>
          <w:rFonts w:hint="eastAsia" w:ascii="宋体" w:hAnsi="宋体"/>
          <w:color w:val="auto"/>
          <w:kern w:val="0"/>
          <w:sz w:val="24"/>
          <w:highlight w:val="none"/>
        </w:rPr>
        <w:t>代表</w:t>
      </w:r>
      <w:r>
        <w:rPr>
          <w:rFonts w:ascii="宋体" w:hAnsi="宋体"/>
          <w:color w:val="auto"/>
          <w:kern w:val="0"/>
          <w:sz w:val="24"/>
          <w:highlight w:val="none"/>
        </w:rPr>
        <w:t>组成。</w:t>
      </w:r>
    </w:p>
    <w:p w14:paraId="7FC0CA69">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2.3 </w:t>
      </w:r>
      <w:r>
        <w:rPr>
          <w:rFonts w:hint="eastAsia" w:ascii="宋体" w:hAnsi="宋体"/>
          <w:color w:val="auto"/>
          <w:kern w:val="0"/>
          <w:sz w:val="24"/>
          <w:highlight w:val="none"/>
        </w:rPr>
        <w:t>评审</w:t>
      </w:r>
      <w:r>
        <w:rPr>
          <w:rFonts w:ascii="宋体" w:hAnsi="宋体"/>
          <w:color w:val="auto"/>
          <w:kern w:val="0"/>
          <w:sz w:val="24"/>
          <w:highlight w:val="none"/>
        </w:rPr>
        <w:t>小组</w:t>
      </w:r>
      <w:r>
        <w:rPr>
          <w:rFonts w:hint="eastAsia" w:ascii="宋体" w:hAnsi="宋体"/>
          <w:color w:val="auto"/>
          <w:kern w:val="0"/>
          <w:sz w:val="24"/>
          <w:highlight w:val="none"/>
        </w:rPr>
        <w:t>对</w:t>
      </w:r>
      <w:r>
        <w:rPr>
          <w:rFonts w:hint="eastAsia" w:ascii="宋体" w:hAnsi="宋体"/>
          <w:color w:val="auto"/>
          <w:kern w:val="0"/>
          <w:sz w:val="24"/>
          <w:highlight w:val="none"/>
          <w:lang w:eastAsia="zh-CN"/>
        </w:rPr>
        <w:t>谈判文件</w:t>
      </w:r>
      <w:r>
        <w:rPr>
          <w:rFonts w:ascii="宋体" w:hAnsi="宋体"/>
          <w:color w:val="auto"/>
          <w:kern w:val="0"/>
          <w:sz w:val="24"/>
          <w:highlight w:val="none"/>
        </w:rPr>
        <w:t>进行审查、质疑、评估和比较。</w:t>
      </w:r>
    </w:p>
    <w:p w14:paraId="572BB871">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对</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的审查和响应性的确定</w:t>
      </w:r>
    </w:p>
    <w:p w14:paraId="1A7D9A21">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3.1 </w:t>
      </w:r>
      <w:r>
        <w:rPr>
          <w:rFonts w:hint="eastAsia" w:ascii="宋体" w:hAnsi="宋体"/>
          <w:color w:val="auto"/>
          <w:kern w:val="0"/>
          <w:sz w:val="24"/>
          <w:highlight w:val="none"/>
        </w:rPr>
        <w:t>拆封后</w:t>
      </w:r>
      <w:r>
        <w:rPr>
          <w:rFonts w:ascii="宋体" w:hAnsi="宋体"/>
          <w:color w:val="auto"/>
          <w:kern w:val="0"/>
          <w:sz w:val="24"/>
          <w:highlight w:val="none"/>
        </w:rPr>
        <w:t>，</w:t>
      </w:r>
      <w:r>
        <w:rPr>
          <w:rFonts w:hint="eastAsia" w:ascii="宋体" w:hAnsi="宋体"/>
          <w:color w:val="auto"/>
          <w:kern w:val="0"/>
          <w:sz w:val="24"/>
          <w:highlight w:val="none"/>
        </w:rPr>
        <w:t>评审小组检查审查</w:t>
      </w:r>
      <w:r>
        <w:rPr>
          <w:rFonts w:hint="eastAsia" w:ascii="宋体" w:hAnsi="宋体"/>
          <w:color w:val="auto"/>
          <w:kern w:val="0"/>
          <w:sz w:val="24"/>
          <w:highlight w:val="none"/>
          <w:lang w:eastAsia="zh-CN"/>
        </w:rPr>
        <w:t>谈判文件</w:t>
      </w:r>
      <w:r>
        <w:rPr>
          <w:rFonts w:ascii="宋体" w:hAnsi="宋体"/>
          <w:color w:val="auto"/>
          <w:kern w:val="0"/>
          <w:sz w:val="24"/>
          <w:highlight w:val="none"/>
        </w:rPr>
        <w:t>是否</w:t>
      </w:r>
      <w:r>
        <w:rPr>
          <w:rFonts w:hint="eastAsia" w:ascii="宋体" w:hAnsi="宋体"/>
          <w:color w:val="auto"/>
          <w:kern w:val="0"/>
          <w:sz w:val="24"/>
          <w:highlight w:val="none"/>
        </w:rPr>
        <w:t>完整</w:t>
      </w:r>
      <w:r>
        <w:rPr>
          <w:rFonts w:ascii="宋体" w:hAnsi="宋体"/>
          <w:color w:val="auto"/>
          <w:kern w:val="0"/>
          <w:sz w:val="24"/>
          <w:highlight w:val="none"/>
        </w:rPr>
        <w:t>。</w:t>
      </w:r>
    </w:p>
    <w:p w14:paraId="1910532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3.2 </w:t>
      </w:r>
      <w:r>
        <w:rPr>
          <w:rFonts w:hint="eastAsia" w:ascii="宋体" w:hAnsi="宋体"/>
          <w:color w:val="auto"/>
          <w:kern w:val="0"/>
          <w:sz w:val="24"/>
          <w:highlight w:val="none"/>
        </w:rPr>
        <w:t>采购人</w:t>
      </w:r>
      <w:r>
        <w:rPr>
          <w:rFonts w:ascii="宋体" w:hAnsi="宋体"/>
          <w:color w:val="auto"/>
          <w:kern w:val="0"/>
          <w:sz w:val="24"/>
          <w:highlight w:val="none"/>
        </w:rPr>
        <w:t>将确定</w:t>
      </w:r>
      <w:r>
        <w:rPr>
          <w:rFonts w:hint="eastAsia" w:ascii="宋体" w:hAnsi="宋体"/>
          <w:color w:val="auto"/>
          <w:kern w:val="0"/>
          <w:sz w:val="24"/>
          <w:highlight w:val="none"/>
        </w:rPr>
        <w:t>每一</w:t>
      </w:r>
      <w:r>
        <w:rPr>
          <w:rFonts w:hint="eastAsia" w:ascii="宋体" w:hAnsi="宋体"/>
          <w:color w:val="auto"/>
          <w:kern w:val="0"/>
          <w:sz w:val="24"/>
          <w:highlight w:val="none"/>
          <w:lang w:eastAsia="zh-CN"/>
        </w:rPr>
        <w:t>报价人</w:t>
      </w:r>
      <w:r>
        <w:rPr>
          <w:rFonts w:ascii="宋体" w:hAnsi="宋体"/>
          <w:color w:val="auto"/>
          <w:kern w:val="0"/>
          <w:sz w:val="24"/>
          <w:highlight w:val="none"/>
        </w:rPr>
        <w:t>是否对</w:t>
      </w:r>
      <w:r>
        <w:rPr>
          <w:rFonts w:hint="eastAsia" w:ascii="宋体" w:hAnsi="宋体"/>
          <w:color w:val="auto"/>
          <w:kern w:val="0"/>
          <w:sz w:val="24"/>
          <w:highlight w:val="none"/>
        </w:rPr>
        <w:t>《</w:t>
      </w:r>
      <w:r>
        <w:rPr>
          <w:rFonts w:hint="eastAsia" w:ascii="宋体" w:hAnsi="宋体"/>
          <w:color w:val="auto"/>
          <w:kern w:val="0"/>
          <w:sz w:val="24"/>
          <w:highlight w:val="none"/>
          <w:lang w:eastAsia="zh-CN"/>
        </w:rPr>
        <w:t>谈判采购文件</w:t>
      </w:r>
      <w:r>
        <w:rPr>
          <w:rFonts w:hint="eastAsia" w:ascii="宋体" w:hAnsi="宋体"/>
          <w:color w:val="auto"/>
          <w:kern w:val="0"/>
          <w:sz w:val="24"/>
          <w:highlight w:val="none"/>
        </w:rPr>
        <w:t>》的</w:t>
      </w:r>
      <w:r>
        <w:rPr>
          <w:rFonts w:ascii="宋体" w:hAnsi="宋体"/>
          <w:color w:val="auto"/>
          <w:kern w:val="0"/>
          <w:sz w:val="24"/>
          <w:highlight w:val="none"/>
        </w:rPr>
        <w:t>要求作出了实质性的响应，而没有重大偏离。实质性</w:t>
      </w:r>
      <w:r>
        <w:rPr>
          <w:rFonts w:hint="eastAsia" w:ascii="宋体" w:hAnsi="宋体"/>
          <w:color w:val="auto"/>
          <w:kern w:val="0"/>
          <w:sz w:val="24"/>
          <w:highlight w:val="none"/>
        </w:rPr>
        <w:t>谈判</w:t>
      </w:r>
      <w:r>
        <w:rPr>
          <w:rFonts w:ascii="宋体" w:hAnsi="宋体"/>
          <w:color w:val="auto"/>
          <w:kern w:val="0"/>
          <w:sz w:val="24"/>
          <w:highlight w:val="none"/>
        </w:rPr>
        <w:t>是指</w:t>
      </w:r>
      <w:r>
        <w:rPr>
          <w:rFonts w:hint="eastAsia" w:ascii="宋体" w:hAnsi="宋体"/>
          <w:color w:val="auto"/>
          <w:kern w:val="0"/>
          <w:sz w:val="24"/>
          <w:highlight w:val="none"/>
          <w:lang w:eastAsia="zh-CN"/>
        </w:rPr>
        <w:t>谈判文件</w:t>
      </w:r>
      <w:r>
        <w:rPr>
          <w:rFonts w:ascii="宋体" w:hAnsi="宋体"/>
          <w:color w:val="auto"/>
          <w:kern w:val="0"/>
          <w:sz w:val="24"/>
          <w:highlight w:val="none"/>
        </w:rPr>
        <w:t>符合</w:t>
      </w:r>
      <w:r>
        <w:rPr>
          <w:rFonts w:hint="eastAsia" w:ascii="宋体" w:hAnsi="宋体"/>
          <w:color w:val="auto"/>
          <w:kern w:val="0"/>
          <w:sz w:val="24"/>
          <w:highlight w:val="none"/>
          <w:lang w:eastAsia="zh-CN"/>
        </w:rPr>
        <w:t>谈判文件</w:t>
      </w:r>
      <w:r>
        <w:rPr>
          <w:rFonts w:ascii="宋体" w:hAnsi="宋体"/>
          <w:color w:val="auto"/>
          <w:kern w:val="0"/>
          <w:sz w:val="24"/>
          <w:highlight w:val="none"/>
        </w:rPr>
        <w:t>的所有条款、条件和规定且没有重大偏离或保留。重大</w:t>
      </w:r>
      <w:r>
        <w:rPr>
          <w:rFonts w:hint="eastAsia" w:ascii="宋体" w:hAnsi="宋体"/>
          <w:color w:val="auto"/>
          <w:kern w:val="0"/>
          <w:sz w:val="24"/>
          <w:highlight w:val="none"/>
        </w:rPr>
        <w:t>偏离</w:t>
      </w:r>
      <w:r>
        <w:rPr>
          <w:rFonts w:ascii="宋体" w:hAnsi="宋体"/>
          <w:color w:val="auto"/>
          <w:kern w:val="0"/>
          <w:sz w:val="24"/>
          <w:highlight w:val="none"/>
        </w:rPr>
        <w:t>或保留系指影响到</w:t>
      </w:r>
      <w:r>
        <w:rPr>
          <w:rFonts w:hint="eastAsia" w:ascii="宋体" w:hAnsi="宋体"/>
          <w:color w:val="auto"/>
          <w:kern w:val="0"/>
          <w:sz w:val="24"/>
          <w:highlight w:val="none"/>
          <w:lang w:eastAsia="zh-CN"/>
        </w:rPr>
        <w:t>谈判文件</w:t>
      </w:r>
      <w:r>
        <w:rPr>
          <w:rFonts w:ascii="宋体" w:hAnsi="宋体"/>
          <w:color w:val="auto"/>
          <w:kern w:val="0"/>
          <w:sz w:val="24"/>
          <w:highlight w:val="none"/>
        </w:rPr>
        <w:t>规定的服务范围、质量和性能</w:t>
      </w:r>
      <w:r>
        <w:rPr>
          <w:rFonts w:hint="eastAsia" w:ascii="宋体" w:hAnsi="宋体"/>
          <w:color w:val="auto"/>
          <w:kern w:val="0"/>
          <w:sz w:val="24"/>
          <w:highlight w:val="none"/>
        </w:rPr>
        <w:t>，</w:t>
      </w:r>
      <w:r>
        <w:rPr>
          <w:rFonts w:ascii="宋体" w:hAnsi="宋体"/>
          <w:color w:val="auto"/>
          <w:kern w:val="0"/>
          <w:sz w:val="24"/>
          <w:highlight w:val="none"/>
        </w:rPr>
        <w:t>或限制了采购人的</w:t>
      </w:r>
      <w:r>
        <w:rPr>
          <w:rFonts w:hint="eastAsia" w:ascii="宋体" w:hAnsi="宋体"/>
          <w:color w:val="auto"/>
          <w:kern w:val="0"/>
          <w:sz w:val="24"/>
          <w:highlight w:val="none"/>
        </w:rPr>
        <w:t>权利或减轻了</w:t>
      </w:r>
      <w:r>
        <w:rPr>
          <w:rFonts w:hint="eastAsia" w:ascii="宋体" w:hAnsi="宋体"/>
          <w:color w:val="auto"/>
          <w:kern w:val="0"/>
          <w:sz w:val="24"/>
          <w:highlight w:val="none"/>
          <w:lang w:eastAsia="zh-CN"/>
        </w:rPr>
        <w:t>报价人</w:t>
      </w:r>
      <w:r>
        <w:rPr>
          <w:rFonts w:ascii="宋体" w:hAnsi="宋体"/>
          <w:color w:val="auto"/>
          <w:kern w:val="0"/>
          <w:sz w:val="24"/>
          <w:highlight w:val="none"/>
        </w:rPr>
        <w:t>的义务，</w:t>
      </w:r>
      <w:r>
        <w:rPr>
          <w:rFonts w:hint="eastAsia" w:ascii="宋体" w:hAnsi="宋体"/>
          <w:color w:val="auto"/>
          <w:kern w:val="0"/>
          <w:sz w:val="24"/>
          <w:highlight w:val="none"/>
        </w:rPr>
        <w:t>而</w:t>
      </w:r>
      <w:r>
        <w:rPr>
          <w:rFonts w:ascii="宋体" w:hAnsi="宋体"/>
          <w:color w:val="auto"/>
          <w:kern w:val="0"/>
          <w:sz w:val="24"/>
          <w:highlight w:val="none"/>
        </w:rPr>
        <w:t>纠正这些偏离将</w:t>
      </w:r>
      <w:r>
        <w:rPr>
          <w:rFonts w:hint="eastAsia" w:ascii="宋体" w:hAnsi="宋体"/>
          <w:color w:val="auto"/>
          <w:kern w:val="0"/>
          <w:sz w:val="24"/>
          <w:highlight w:val="none"/>
        </w:rPr>
        <w:t>影响</w:t>
      </w:r>
      <w:r>
        <w:rPr>
          <w:rFonts w:ascii="宋体" w:hAnsi="宋体"/>
          <w:color w:val="auto"/>
          <w:kern w:val="0"/>
          <w:sz w:val="24"/>
          <w:highlight w:val="none"/>
        </w:rPr>
        <w:t>到其他提交实质性响应</w:t>
      </w:r>
      <w:r>
        <w:rPr>
          <w:rFonts w:hint="eastAsia" w:ascii="宋体" w:hAnsi="宋体"/>
          <w:color w:val="auto"/>
          <w:kern w:val="0"/>
          <w:sz w:val="24"/>
          <w:highlight w:val="none"/>
          <w:lang w:eastAsia="zh-CN"/>
        </w:rPr>
        <w:t>报价人</w:t>
      </w:r>
      <w:r>
        <w:rPr>
          <w:rFonts w:ascii="宋体" w:hAnsi="宋体"/>
          <w:color w:val="auto"/>
          <w:kern w:val="0"/>
          <w:sz w:val="24"/>
          <w:highlight w:val="none"/>
        </w:rPr>
        <w:t>的公平竞争地位。</w:t>
      </w:r>
    </w:p>
    <w:p w14:paraId="109018E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3.3 </w:t>
      </w:r>
      <w:r>
        <w:rPr>
          <w:rFonts w:hint="eastAsia" w:ascii="宋体" w:hAnsi="宋体"/>
          <w:color w:val="auto"/>
          <w:kern w:val="0"/>
          <w:sz w:val="24"/>
          <w:highlight w:val="none"/>
        </w:rPr>
        <w:t>采购人</w:t>
      </w:r>
      <w:r>
        <w:rPr>
          <w:rFonts w:ascii="宋体" w:hAnsi="宋体"/>
          <w:color w:val="auto"/>
          <w:kern w:val="0"/>
          <w:sz w:val="24"/>
          <w:highlight w:val="none"/>
        </w:rPr>
        <w:t>判断</w:t>
      </w:r>
      <w:r>
        <w:rPr>
          <w:rFonts w:hint="eastAsia" w:ascii="宋体" w:hAnsi="宋体"/>
          <w:color w:val="auto"/>
          <w:kern w:val="0"/>
          <w:sz w:val="24"/>
          <w:highlight w:val="none"/>
          <w:lang w:eastAsia="zh-CN"/>
        </w:rPr>
        <w:t>谈判文件</w:t>
      </w:r>
      <w:r>
        <w:rPr>
          <w:rFonts w:ascii="宋体" w:hAnsi="宋体"/>
          <w:color w:val="auto"/>
          <w:kern w:val="0"/>
          <w:sz w:val="24"/>
          <w:highlight w:val="none"/>
        </w:rPr>
        <w:t>的响应性仅基于</w:t>
      </w:r>
      <w:r>
        <w:rPr>
          <w:rFonts w:hint="eastAsia" w:ascii="宋体" w:hAnsi="宋体"/>
          <w:color w:val="auto"/>
          <w:kern w:val="0"/>
          <w:sz w:val="24"/>
          <w:highlight w:val="none"/>
          <w:lang w:eastAsia="zh-CN"/>
        </w:rPr>
        <w:t>谈判文件</w:t>
      </w:r>
      <w:r>
        <w:rPr>
          <w:rFonts w:ascii="宋体" w:hAnsi="宋体"/>
          <w:color w:val="auto"/>
          <w:kern w:val="0"/>
          <w:sz w:val="24"/>
          <w:highlight w:val="none"/>
        </w:rPr>
        <w:t>本身而不靠外部证据。</w:t>
      </w:r>
    </w:p>
    <w:p w14:paraId="4BA68184">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3.4 </w:t>
      </w:r>
      <w:r>
        <w:rPr>
          <w:rFonts w:hint="eastAsia" w:ascii="宋体" w:hAnsi="宋体"/>
          <w:color w:val="auto"/>
          <w:kern w:val="0"/>
          <w:sz w:val="24"/>
          <w:highlight w:val="none"/>
        </w:rPr>
        <w:t>采购人有权</w:t>
      </w:r>
      <w:r>
        <w:rPr>
          <w:rFonts w:ascii="宋体" w:hAnsi="宋体"/>
          <w:color w:val="auto"/>
          <w:kern w:val="0"/>
          <w:sz w:val="24"/>
          <w:highlight w:val="none"/>
        </w:rPr>
        <w:t>拒绝被确定为非实质性</w:t>
      </w:r>
      <w:r>
        <w:rPr>
          <w:rFonts w:hint="eastAsia" w:ascii="宋体" w:hAnsi="宋体"/>
          <w:color w:val="auto"/>
          <w:kern w:val="0"/>
          <w:sz w:val="24"/>
          <w:highlight w:val="none"/>
        </w:rPr>
        <w:t>的</w:t>
      </w:r>
      <w:r>
        <w:rPr>
          <w:rFonts w:ascii="宋体" w:hAnsi="宋体"/>
          <w:color w:val="auto"/>
          <w:kern w:val="0"/>
          <w:sz w:val="24"/>
          <w:highlight w:val="none"/>
        </w:rPr>
        <w:t>响应，</w:t>
      </w:r>
      <w:r>
        <w:rPr>
          <w:rFonts w:hint="eastAsia" w:ascii="宋体" w:hAnsi="宋体"/>
          <w:color w:val="auto"/>
          <w:kern w:val="0"/>
          <w:sz w:val="24"/>
          <w:highlight w:val="none"/>
          <w:lang w:eastAsia="zh-CN"/>
        </w:rPr>
        <w:t>报价人</w:t>
      </w:r>
      <w:r>
        <w:rPr>
          <w:rFonts w:ascii="宋体" w:hAnsi="宋体"/>
          <w:color w:val="auto"/>
          <w:kern w:val="0"/>
          <w:sz w:val="24"/>
          <w:highlight w:val="none"/>
        </w:rPr>
        <w:t>不能通过</w:t>
      </w:r>
      <w:r>
        <w:rPr>
          <w:rFonts w:hint="eastAsia" w:ascii="宋体" w:hAnsi="宋体"/>
          <w:color w:val="auto"/>
          <w:kern w:val="0"/>
          <w:sz w:val="24"/>
          <w:highlight w:val="none"/>
        </w:rPr>
        <w:t>修正</w:t>
      </w:r>
      <w:r>
        <w:rPr>
          <w:rFonts w:ascii="宋体" w:hAnsi="宋体"/>
          <w:color w:val="auto"/>
          <w:kern w:val="0"/>
          <w:sz w:val="24"/>
          <w:highlight w:val="none"/>
        </w:rPr>
        <w:t>或撤销不符之处而使其成为实质性响应。</w:t>
      </w:r>
    </w:p>
    <w:p w14:paraId="0C9B7CB3">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的澄清</w:t>
      </w:r>
    </w:p>
    <w:p w14:paraId="5C9AE417">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.1 为了</w:t>
      </w:r>
      <w:r>
        <w:rPr>
          <w:rFonts w:ascii="宋体" w:hAnsi="宋体"/>
          <w:color w:val="auto"/>
          <w:kern w:val="0"/>
          <w:sz w:val="24"/>
          <w:highlight w:val="none"/>
        </w:rPr>
        <w:t>有助于对</w:t>
      </w:r>
      <w:r>
        <w:rPr>
          <w:rFonts w:hint="eastAsia" w:ascii="宋体" w:hAnsi="宋体"/>
          <w:color w:val="auto"/>
          <w:kern w:val="0"/>
          <w:sz w:val="24"/>
          <w:highlight w:val="none"/>
          <w:lang w:eastAsia="zh-CN"/>
        </w:rPr>
        <w:t>谈判文件</w:t>
      </w:r>
      <w:r>
        <w:rPr>
          <w:rFonts w:ascii="宋体" w:hAnsi="宋体"/>
          <w:color w:val="auto"/>
          <w:kern w:val="0"/>
          <w:sz w:val="24"/>
          <w:highlight w:val="none"/>
        </w:rPr>
        <w:t>进行审查、评估和比较，</w:t>
      </w:r>
      <w:r>
        <w:rPr>
          <w:rFonts w:hint="eastAsia" w:ascii="宋体" w:hAnsi="宋体"/>
          <w:color w:val="auto"/>
          <w:kern w:val="0"/>
          <w:sz w:val="24"/>
          <w:highlight w:val="none"/>
        </w:rPr>
        <w:t>采购人</w:t>
      </w:r>
      <w:r>
        <w:rPr>
          <w:rFonts w:ascii="宋体" w:hAnsi="宋体"/>
          <w:color w:val="auto"/>
          <w:kern w:val="0"/>
          <w:sz w:val="24"/>
          <w:highlight w:val="none"/>
        </w:rPr>
        <w:t>有权向</w:t>
      </w:r>
      <w:r>
        <w:rPr>
          <w:rFonts w:hint="eastAsia" w:ascii="宋体" w:hAnsi="宋体"/>
          <w:color w:val="auto"/>
          <w:kern w:val="0"/>
          <w:sz w:val="24"/>
          <w:highlight w:val="none"/>
          <w:lang w:eastAsia="zh-CN"/>
        </w:rPr>
        <w:t>报价人</w:t>
      </w:r>
      <w:r>
        <w:rPr>
          <w:rFonts w:ascii="宋体" w:hAnsi="宋体"/>
          <w:color w:val="auto"/>
          <w:kern w:val="0"/>
          <w:sz w:val="24"/>
          <w:highlight w:val="none"/>
        </w:rPr>
        <w:t>质疑，请</w:t>
      </w:r>
      <w:r>
        <w:rPr>
          <w:rFonts w:hint="eastAsia" w:ascii="宋体" w:hAnsi="宋体"/>
          <w:color w:val="auto"/>
          <w:kern w:val="0"/>
          <w:sz w:val="24"/>
          <w:highlight w:val="none"/>
          <w:lang w:eastAsia="zh-CN"/>
        </w:rPr>
        <w:t>报价人</w:t>
      </w:r>
      <w:r>
        <w:rPr>
          <w:rFonts w:ascii="宋体" w:hAnsi="宋体"/>
          <w:color w:val="auto"/>
          <w:kern w:val="0"/>
          <w:sz w:val="24"/>
          <w:highlight w:val="none"/>
        </w:rPr>
        <w:t>以书面形式</w:t>
      </w:r>
      <w:r>
        <w:rPr>
          <w:rFonts w:hint="eastAsia" w:ascii="宋体" w:hAnsi="宋体"/>
          <w:color w:val="auto"/>
          <w:kern w:val="0"/>
          <w:sz w:val="24"/>
          <w:highlight w:val="none"/>
        </w:rPr>
        <w:t>澄清其</w:t>
      </w:r>
      <w:r>
        <w:rPr>
          <w:rFonts w:hint="eastAsia" w:ascii="宋体" w:hAnsi="宋体"/>
          <w:color w:val="auto"/>
          <w:kern w:val="0"/>
          <w:sz w:val="24"/>
          <w:highlight w:val="none"/>
          <w:lang w:eastAsia="zh-CN"/>
        </w:rPr>
        <w:t>谈判文件</w:t>
      </w:r>
      <w:r>
        <w:rPr>
          <w:rFonts w:ascii="宋体" w:hAnsi="宋体"/>
          <w:color w:val="auto"/>
          <w:kern w:val="0"/>
          <w:sz w:val="24"/>
          <w:highlight w:val="none"/>
        </w:rPr>
        <w:t>内容</w:t>
      </w:r>
      <w:r>
        <w:rPr>
          <w:rFonts w:hint="eastAsia" w:ascii="宋体" w:hAnsi="宋体"/>
          <w:color w:val="auto"/>
          <w:kern w:val="0"/>
          <w:sz w:val="24"/>
          <w:highlight w:val="none"/>
        </w:rPr>
        <w:t>。</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须</w:t>
      </w:r>
      <w:r>
        <w:rPr>
          <w:rFonts w:ascii="宋体" w:hAnsi="宋体"/>
          <w:color w:val="auto"/>
          <w:kern w:val="0"/>
          <w:sz w:val="24"/>
          <w:highlight w:val="none"/>
        </w:rPr>
        <w:t>按照</w:t>
      </w:r>
      <w:r>
        <w:rPr>
          <w:rFonts w:hint="eastAsia" w:ascii="宋体" w:hAnsi="宋体"/>
          <w:color w:val="auto"/>
          <w:kern w:val="0"/>
          <w:sz w:val="24"/>
          <w:highlight w:val="none"/>
        </w:rPr>
        <w:t>采购人</w:t>
      </w:r>
      <w:r>
        <w:rPr>
          <w:rFonts w:ascii="宋体" w:hAnsi="宋体"/>
          <w:color w:val="auto"/>
          <w:kern w:val="0"/>
          <w:sz w:val="24"/>
          <w:highlight w:val="none"/>
        </w:rPr>
        <w:t>通知的时间、地点指派专人进行答疑和澄清。</w:t>
      </w:r>
    </w:p>
    <w:p w14:paraId="1EF099FE">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5.</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的评估和比较</w:t>
      </w:r>
    </w:p>
    <w:p w14:paraId="2833762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5</w:t>
      </w:r>
      <w:r>
        <w:rPr>
          <w:rFonts w:hint="eastAsia" w:ascii="宋体" w:hAnsi="宋体"/>
          <w:color w:val="auto"/>
          <w:kern w:val="0"/>
          <w:sz w:val="24"/>
          <w:highlight w:val="none"/>
        </w:rPr>
        <w:t>.1 采购人</w:t>
      </w:r>
      <w:r>
        <w:rPr>
          <w:rFonts w:ascii="宋体" w:hAnsi="宋体"/>
          <w:color w:val="auto"/>
          <w:kern w:val="0"/>
          <w:sz w:val="24"/>
          <w:highlight w:val="none"/>
        </w:rPr>
        <w:t>及</w:t>
      </w:r>
      <w:r>
        <w:rPr>
          <w:rFonts w:hint="eastAsia" w:ascii="宋体" w:hAnsi="宋体"/>
          <w:color w:val="auto"/>
          <w:kern w:val="0"/>
          <w:sz w:val="24"/>
          <w:highlight w:val="none"/>
        </w:rPr>
        <w:t>评审</w:t>
      </w:r>
      <w:r>
        <w:rPr>
          <w:rFonts w:ascii="宋体" w:hAnsi="宋体"/>
          <w:color w:val="auto"/>
          <w:kern w:val="0"/>
          <w:sz w:val="24"/>
          <w:highlight w:val="none"/>
        </w:rPr>
        <w:t>小组</w:t>
      </w:r>
      <w:r>
        <w:rPr>
          <w:rFonts w:hint="eastAsia" w:ascii="宋体" w:hAnsi="宋体"/>
          <w:color w:val="auto"/>
          <w:kern w:val="0"/>
          <w:sz w:val="24"/>
          <w:highlight w:val="none"/>
        </w:rPr>
        <w:t>将</w:t>
      </w:r>
      <w:r>
        <w:rPr>
          <w:rFonts w:ascii="宋体" w:hAnsi="宋体"/>
          <w:color w:val="auto"/>
          <w:kern w:val="0"/>
          <w:sz w:val="24"/>
          <w:highlight w:val="none"/>
        </w:rPr>
        <w:t>对有效的</w:t>
      </w:r>
      <w:r>
        <w:rPr>
          <w:rFonts w:hint="eastAsia" w:ascii="宋体" w:hAnsi="宋体"/>
          <w:color w:val="auto"/>
          <w:kern w:val="0"/>
          <w:sz w:val="24"/>
          <w:highlight w:val="none"/>
          <w:lang w:eastAsia="zh-CN"/>
        </w:rPr>
        <w:t>谈判文件</w:t>
      </w:r>
      <w:r>
        <w:rPr>
          <w:rFonts w:ascii="宋体" w:hAnsi="宋体"/>
          <w:color w:val="auto"/>
          <w:kern w:val="0"/>
          <w:sz w:val="24"/>
          <w:highlight w:val="none"/>
        </w:rPr>
        <w:t>进行评估和比较。</w:t>
      </w:r>
    </w:p>
    <w:p w14:paraId="62E06E0C">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6.</w:t>
      </w:r>
      <w:r>
        <w:rPr>
          <w:rFonts w:hint="eastAsia" w:ascii="宋体" w:hAnsi="宋体"/>
          <w:b/>
          <w:color w:val="auto"/>
          <w:kern w:val="0"/>
          <w:sz w:val="24"/>
          <w:highlight w:val="none"/>
        </w:rPr>
        <w:t>评审</w:t>
      </w:r>
      <w:r>
        <w:rPr>
          <w:rFonts w:ascii="宋体" w:hAnsi="宋体"/>
          <w:b/>
          <w:color w:val="auto"/>
          <w:kern w:val="0"/>
          <w:sz w:val="24"/>
          <w:highlight w:val="none"/>
        </w:rPr>
        <w:t>原则</w:t>
      </w:r>
      <w:r>
        <w:rPr>
          <w:rFonts w:hint="eastAsia" w:ascii="宋体" w:hAnsi="宋体"/>
          <w:b/>
          <w:color w:val="auto"/>
          <w:kern w:val="0"/>
          <w:sz w:val="24"/>
          <w:highlight w:val="none"/>
        </w:rPr>
        <w:t>及</w:t>
      </w:r>
      <w:r>
        <w:rPr>
          <w:rFonts w:ascii="宋体" w:hAnsi="宋体"/>
          <w:b/>
          <w:color w:val="auto"/>
          <w:kern w:val="0"/>
          <w:sz w:val="24"/>
          <w:highlight w:val="none"/>
        </w:rPr>
        <w:t>主要方法</w:t>
      </w:r>
    </w:p>
    <w:p w14:paraId="0B4FF841">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.1 评审</w:t>
      </w:r>
      <w:r>
        <w:rPr>
          <w:rFonts w:ascii="宋体" w:hAnsi="宋体"/>
          <w:color w:val="auto"/>
          <w:kern w:val="0"/>
          <w:sz w:val="24"/>
          <w:highlight w:val="none"/>
        </w:rPr>
        <w:t>小组将遵循“</w:t>
      </w:r>
      <w:r>
        <w:rPr>
          <w:rFonts w:hint="eastAsia" w:ascii="宋体" w:hAnsi="宋体"/>
          <w:color w:val="auto"/>
          <w:kern w:val="0"/>
          <w:sz w:val="24"/>
          <w:highlight w:val="none"/>
        </w:rPr>
        <w:t>公开</w:t>
      </w:r>
      <w:r>
        <w:rPr>
          <w:rFonts w:ascii="宋体" w:hAnsi="宋体"/>
          <w:color w:val="auto"/>
          <w:kern w:val="0"/>
          <w:sz w:val="24"/>
          <w:highlight w:val="none"/>
        </w:rPr>
        <w:t>、公平、科学、择优”</w:t>
      </w:r>
      <w:r>
        <w:rPr>
          <w:rFonts w:hint="eastAsia" w:ascii="宋体" w:hAnsi="宋体"/>
          <w:color w:val="auto"/>
          <w:kern w:val="0"/>
          <w:sz w:val="24"/>
          <w:highlight w:val="none"/>
        </w:rPr>
        <w:t>的</w:t>
      </w:r>
      <w:r>
        <w:rPr>
          <w:rFonts w:ascii="宋体" w:hAnsi="宋体"/>
          <w:color w:val="auto"/>
          <w:kern w:val="0"/>
          <w:sz w:val="24"/>
          <w:highlight w:val="none"/>
        </w:rPr>
        <w:t>原则</w:t>
      </w:r>
      <w:r>
        <w:rPr>
          <w:rFonts w:hint="eastAsia" w:ascii="宋体" w:hAnsi="宋体"/>
          <w:color w:val="auto"/>
          <w:kern w:val="0"/>
          <w:sz w:val="24"/>
          <w:highlight w:val="none"/>
        </w:rPr>
        <w:t>。</w:t>
      </w:r>
      <w:r>
        <w:rPr>
          <w:rFonts w:ascii="宋体" w:hAnsi="宋体"/>
          <w:color w:val="auto"/>
          <w:kern w:val="0"/>
          <w:sz w:val="24"/>
          <w:highlight w:val="none"/>
        </w:rPr>
        <w:t>对</w:t>
      </w:r>
      <w:r>
        <w:rPr>
          <w:rFonts w:hint="eastAsia" w:ascii="宋体" w:hAnsi="宋体"/>
          <w:color w:val="auto"/>
          <w:kern w:val="0"/>
          <w:sz w:val="24"/>
          <w:highlight w:val="none"/>
        </w:rPr>
        <w:t>所有</w:t>
      </w:r>
      <w:r>
        <w:rPr>
          <w:rFonts w:hint="eastAsia" w:ascii="宋体" w:hAnsi="宋体"/>
          <w:color w:val="auto"/>
          <w:kern w:val="0"/>
          <w:sz w:val="24"/>
          <w:highlight w:val="none"/>
          <w:lang w:eastAsia="zh-CN"/>
        </w:rPr>
        <w:t>报价人</w:t>
      </w:r>
      <w:r>
        <w:rPr>
          <w:rFonts w:ascii="宋体" w:hAnsi="宋体"/>
          <w:color w:val="auto"/>
          <w:kern w:val="0"/>
          <w:sz w:val="24"/>
          <w:highlight w:val="none"/>
        </w:rPr>
        <w:t>的</w:t>
      </w:r>
      <w:r>
        <w:rPr>
          <w:rFonts w:hint="eastAsia" w:ascii="宋体" w:hAnsi="宋体"/>
          <w:color w:val="auto"/>
          <w:kern w:val="0"/>
          <w:sz w:val="24"/>
          <w:highlight w:val="none"/>
          <w:lang w:eastAsia="zh-CN"/>
        </w:rPr>
        <w:t>谈判文件</w:t>
      </w:r>
      <w:r>
        <w:rPr>
          <w:rFonts w:ascii="宋体" w:hAnsi="宋体"/>
          <w:color w:val="auto"/>
          <w:kern w:val="0"/>
          <w:sz w:val="24"/>
          <w:highlight w:val="none"/>
        </w:rPr>
        <w:t>评估，都采用</w:t>
      </w:r>
      <w:r>
        <w:rPr>
          <w:rFonts w:hint="eastAsia" w:ascii="宋体" w:hAnsi="宋体"/>
          <w:color w:val="auto"/>
          <w:kern w:val="0"/>
          <w:sz w:val="24"/>
          <w:highlight w:val="none"/>
        </w:rPr>
        <w:t>相同</w:t>
      </w:r>
      <w:r>
        <w:rPr>
          <w:rFonts w:ascii="宋体" w:hAnsi="宋体"/>
          <w:color w:val="auto"/>
          <w:kern w:val="0"/>
          <w:sz w:val="24"/>
          <w:highlight w:val="none"/>
        </w:rPr>
        <w:t>的程序和标准。</w:t>
      </w:r>
    </w:p>
    <w:p w14:paraId="749FD847">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w:t>
      </w:r>
      <w:r>
        <w:rPr>
          <w:rFonts w:ascii="宋体" w:hAnsi="宋体"/>
          <w:color w:val="auto"/>
          <w:kern w:val="0"/>
          <w:sz w:val="24"/>
          <w:highlight w:val="none"/>
        </w:rPr>
        <w:t xml:space="preserve">2 </w:t>
      </w:r>
      <w:r>
        <w:rPr>
          <w:rFonts w:hint="eastAsia" w:ascii="宋体" w:hAnsi="宋体"/>
          <w:color w:val="auto"/>
          <w:kern w:val="0"/>
          <w:sz w:val="24"/>
          <w:highlight w:val="none"/>
        </w:rPr>
        <w:t>评审主要内容</w:t>
      </w:r>
    </w:p>
    <w:p w14:paraId="012BB898">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w:t>
      </w:r>
      <w:r>
        <w:rPr>
          <w:rFonts w:ascii="宋体" w:hAnsi="宋体"/>
          <w:color w:val="auto"/>
          <w:kern w:val="0"/>
          <w:sz w:val="24"/>
          <w:highlight w:val="none"/>
        </w:rPr>
        <w:t>2</w:t>
      </w:r>
      <w:r>
        <w:rPr>
          <w:rFonts w:hint="eastAsia" w:ascii="宋体" w:hAnsi="宋体"/>
          <w:color w:val="auto"/>
          <w:kern w:val="0"/>
          <w:sz w:val="24"/>
          <w:highlight w:val="none"/>
        </w:rPr>
        <w:t>.1 初步</w:t>
      </w:r>
      <w:r>
        <w:rPr>
          <w:rFonts w:ascii="宋体" w:hAnsi="宋体"/>
          <w:color w:val="auto"/>
          <w:kern w:val="0"/>
          <w:sz w:val="24"/>
          <w:highlight w:val="none"/>
        </w:rPr>
        <w:t>审查。</w:t>
      </w:r>
      <w:r>
        <w:rPr>
          <w:rFonts w:hint="eastAsia" w:ascii="宋体" w:hAnsi="宋体"/>
          <w:color w:val="auto"/>
          <w:kern w:val="0"/>
          <w:sz w:val="24"/>
          <w:highlight w:val="none"/>
        </w:rPr>
        <w:t>初步</w:t>
      </w:r>
      <w:r>
        <w:rPr>
          <w:rFonts w:ascii="宋体" w:hAnsi="宋体"/>
          <w:color w:val="auto"/>
          <w:kern w:val="0"/>
          <w:sz w:val="24"/>
          <w:highlight w:val="none"/>
        </w:rPr>
        <w:t>审查</w:t>
      </w:r>
      <w:r>
        <w:rPr>
          <w:rFonts w:hint="eastAsia" w:ascii="宋体" w:hAnsi="宋体"/>
          <w:color w:val="auto"/>
          <w:kern w:val="0"/>
          <w:sz w:val="24"/>
          <w:highlight w:val="none"/>
        </w:rPr>
        <w:t>是</w:t>
      </w:r>
      <w:r>
        <w:rPr>
          <w:rFonts w:ascii="宋体" w:hAnsi="宋体"/>
          <w:color w:val="auto"/>
          <w:kern w:val="0"/>
          <w:sz w:val="24"/>
          <w:highlight w:val="none"/>
        </w:rPr>
        <w:t>对</w:t>
      </w:r>
      <w:r>
        <w:rPr>
          <w:rFonts w:hint="eastAsia" w:ascii="宋体" w:hAnsi="宋体"/>
          <w:color w:val="auto"/>
          <w:kern w:val="0"/>
          <w:sz w:val="24"/>
          <w:highlight w:val="none"/>
          <w:lang w:eastAsia="zh-CN"/>
        </w:rPr>
        <w:t>谈判文件</w:t>
      </w:r>
      <w:r>
        <w:rPr>
          <w:rFonts w:hint="eastAsia" w:ascii="宋体" w:hAnsi="宋体"/>
          <w:color w:val="auto"/>
          <w:kern w:val="0"/>
          <w:sz w:val="24"/>
          <w:highlight w:val="none"/>
        </w:rPr>
        <w:t>合格</w:t>
      </w:r>
      <w:r>
        <w:rPr>
          <w:rFonts w:ascii="宋体" w:hAnsi="宋体"/>
          <w:color w:val="auto"/>
          <w:kern w:val="0"/>
          <w:sz w:val="24"/>
          <w:highlight w:val="none"/>
        </w:rPr>
        <w:t>性的审查，它所涉及到的主要文件和内容有：“</w:t>
      </w:r>
      <w:r>
        <w:rPr>
          <w:rFonts w:hint="eastAsia" w:ascii="宋体" w:hAnsi="宋体"/>
          <w:color w:val="auto"/>
          <w:kern w:val="0"/>
          <w:sz w:val="24"/>
          <w:highlight w:val="none"/>
        </w:rPr>
        <w:t>响应书</w:t>
      </w:r>
      <w:r>
        <w:rPr>
          <w:rFonts w:ascii="宋体" w:hAnsi="宋体"/>
          <w:color w:val="auto"/>
          <w:kern w:val="0"/>
          <w:sz w:val="24"/>
          <w:highlight w:val="none"/>
        </w:rPr>
        <w:t>”</w:t>
      </w:r>
      <w:r>
        <w:rPr>
          <w:rFonts w:hint="eastAsia" w:ascii="宋体" w:hAnsi="宋体"/>
          <w:color w:val="auto"/>
          <w:kern w:val="0"/>
          <w:sz w:val="24"/>
          <w:highlight w:val="none"/>
        </w:rPr>
        <w:t>的</w:t>
      </w:r>
      <w:r>
        <w:rPr>
          <w:rFonts w:ascii="宋体" w:hAnsi="宋体"/>
          <w:color w:val="auto"/>
          <w:kern w:val="0"/>
          <w:sz w:val="24"/>
          <w:highlight w:val="none"/>
        </w:rPr>
        <w:t>内容和签章的</w:t>
      </w:r>
      <w:r>
        <w:rPr>
          <w:rFonts w:hint="eastAsia" w:ascii="宋体" w:hAnsi="宋体"/>
          <w:color w:val="auto"/>
          <w:kern w:val="0"/>
          <w:sz w:val="24"/>
          <w:highlight w:val="none"/>
        </w:rPr>
        <w:t>合格性</w:t>
      </w:r>
      <w:r>
        <w:rPr>
          <w:rFonts w:ascii="宋体" w:hAnsi="宋体"/>
          <w:color w:val="auto"/>
          <w:kern w:val="0"/>
          <w:sz w:val="24"/>
          <w:highlight w:val="none"/>
        </w:rPr>
        <w:t>；“</w:t>
      </w:r>
      <w:r>
        <w:rPr>
          <w:rFonts w:hint="eastAsia" w:ascii="宋体" w:hAnsi="宋体"/>
          <w:color w:val="auto"/>
          <w:kern w:val="0"/>
          <w:sz w:val="24"/>
          <w:highlight w:val="none"/>
        </w:rPr>
        <w:t>营业执照</w:t>
      </w:r>
      <w:r>
        <w:rPr>
          <w:rFonts w:ascii="宋体" w:hAnsi="宋体"/>
          <w:color w:val="auto"/>
          <w:kern w:val="0"/>
          <w:sz w:val="24"/>
          <w:highlight w:val="none"/>
        </w:rPr>
        <w:t>”</w:t>
      </w:r>
      <w:r>
        <w:rPr>
          <w:rFonts w:hint="eastAsia" w:ascii="宋体" w:hAnsi="宋体"/>
          <w:color w:val="auto"/>
          <w:kern w:val="0"/>
          <w:sz w:val="24"/>
          <w:highlight w:val="none"/>
        </w:rPr>
        <w:t>副本是否真实并加盖公章；</w:t>
      </w:r>
      <w:r>
        <w:rPr>
          <w:rFonts w:ascii="宋体" w:hAnsi="宋体"/>
          <w:color w:val="auto"/>
          <w:kern w:val="0"/>
          <w:sz w:val="24"/>
          <w:highlight w:val="none"/>
        </w:rPr>
        <w:t>法人代表或</w:t>
      </w:r>
      <w:r>
        <w:rPr>
          <w:rFonts w:hint="eastAsia" w:ascii="宋体" w:hAnsi="宋体"/>
          <w:color w:val="auto"/>
          <w:kern w:val="0"/>
          <w:sz w:val="24"/>
          <w:highlight w:val="none"/>
          <w:lang w:eastAsia="zh-CN"/>
        </w:rPr>
        <w:t>报价人</w:t>
      </w:r>
      <w:r>
        <w:rPr>
          <w:rFonts w:ascii="宋体" w:hAnsi="宋体"/>
          <w:color w:val="auto"/>
          <w:kern w:val="0"/>
          <w:sz w:val="24"/>
          <w:highlight w:val="none"/>
        </w:rPr>
        <w:t>代表的</w:t>
      </w:r>
      <w:r>
        <w:rPr>
          <w:rFonts w:hint="eastAsia" w:ascii="宋体" w:hAnsi="宋体"/>
          <w:color w:val="auto"/>
          <w:kern w:val="0"/>
          <w:sz w:val="24"/>
          <w:highlight w:val="none"/>
        </w:rPr>
        <w:t>合法性；响应</w:t>
      </w:r>
      <w:r>
        <w:rPr>
          <w:rFonts w:ascii="宋体" w:hAnsi="宋体"/>
          <w:color w:val="auto"/>
          <w:kern w:val="0"/>
          <w:sz w:val="24"/>
          <w:highlight w:val="none"/>
        </w:rPr>
        <w:t>报价的</w:t>
      </w:r>
      <w:r>
        <w:rPr>
          <w:rFonts w:hint="eastAsia" w:ascii="宋体" w:hAnsi="宋体"/>
          <w:color w:val="auto"/>
          <w:kern w:val="0"/>
          <w:sz w:val="24"/>
          <w:highlight w:val="none"/>
        </w:rPr>
        <w:t>完整性</w:t>
      </w:r>
      <w:r>
        <w:rPr>
          <w:rFonts w:ascii="宋体" w:hAnsi="宋体"/>
          <w:color w:val="auto"/>
          <w:kern w:val="0"/>
          <w:sz w:val="24"/>
          <w:highlight w:val="none"/>
        </w:rPr>
        <w:t>。</w:t>
      </w:r>
    </w:p>
    <w:p w14:paraId="34937726">
      <w:pPr>
        <w:spacing w:line="360" w:lineRule="auto"/>
        <w:ind w:firstLine="480" w:firstLineChars="200"/>
        <w:rPr>
          <w:rFonts w:hint="eastAsia"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w:t>
      </w:r>
      <w:r>
        <w:rPr>
          <w:rFonts w:ascii="宋体" w:hAnsi="宋体"/>
          <w:color w:val="auto"/>
          <w:kern w:val="0"/>
          <w:sz w:val="24"/>
          <w:highlight w:val="none"/>
        </w:rPr>
        <w:t>2</w:t>
      </w:r>
      <w:r>
        <w:rPr>
          <w:rFonts w:hint="eastAsia" w:ascii="宋体" w:hAnsi="宋体"/>
          <w:color w:val="auto"/>
          <w:kern w:val="0"/>
          <w:sz w:val="24"/>
          <w:highlight w:val="none"/>
        </w:rPr>
        <w:t>.2 资质</w:t>
      </w:r>
      <w:r>
        <w:rPr>
          <w:rFonts w:ascii="宋体" w:hAnsi="宋体"/>
          <w:color w:val="auto"/>
          <w:kern w:val="0"/>
          <w:sz w:val="24"/>
          <w:highlight w:val="none"/>
        </w:rPr>
        <w:t>审查。资质审查</w:t>
      </w:r>
      <w:r>
        <w:rPr>
          <w:rFonts w:hint="eastAsia" w:ascii="宋体" w:hAnsi="宋体"/>
          <w:color w:val="auto"/>
          <w:kern w:val="0"/>
          <w:sz w:val="24"/>
          <w:highlight w:val="none"/>
        </w:rPr>
        <w:t>是</w:t>
      </w:r>
      <w:r>
        <w:rPr>
          <w:rFonts w:ascii="宋体" w:hAnsi="宋体"/>
          <w:color w:val="auto"/>
          <w:kern w:val="0"/>
          <w:sz w:val="24"/>
          <w:highlight w:val="none"/>
        </w:rPr>
        <w:t>对</w:t>
      </w:r>
      <w:r>
        <w:rPr>
          <w:rFonts w:hint="eastAsia" w:ascii="宋体" w:hAnsi="宋体"/>
          <w:color w:val="auto"/>
          <w:kern w:val="0"/>
          <w:sz w:val="24"/>
          <w:highlight w:val="none"/>
          <w:lang w:eastAsia="zh-CN"/>
        </w:rPr>
        <w:t>报价人</w:t>
      </w:r>
      <w:r>
        <w:rPr>
          <w:rFonts w:ascii="宋体" w:hAnsi="宋体"/>
          <w:color w:val="auto"/>
          <w:kern w:val="0"/>
          <w:sz w:val="24"/>
          <w:highlight w:val="none"/>
        </w:rPr>
        <w:t>资格和业绩合格性的审查，</w:t>
      </w:r>
      <w:r>
        <w:rPr>
          <w:rFonts w:hint="eastAsia" w:ascii="宋体" w:hAnsi="宋体"/>
          <w:color w:val="auto"/>
          <w:kern w:val="0"/>
          <w:sz w:val="24"/>
          <w:highlight w:val="none"/>
        </w:rPr>
        <w:t>要求满足</w:t>
      </w:r>
      <w:r>
        <w:rPr>
          <w:rFonts w:ascii="宋体" w:hAnsi="宋体"/>
          <w:color w:val="auto"/>
          <w:kern w:val="0"/>
          <w:sz w:val="24"/>
          <w:highlight w:val="none"/>
        </w:rPr>
        <w:t>“</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公告</w:t>
      </w:r>
      <w:r>
        <w:rPr>
          <w:rFonts w:ascii="宋体" w:hAnsi="宋体"/>
          <w:color w:val="auto"/>
          <w:kern w:val="0"/>
          <w:sz w:val="24"/>
          <w:highlight w:val="none"/>
        </w:rPr>
        <w:t>”</w:t>
      </w:r>
      <w:r>
        <w:rPr>
          <w:rFonts w:hint="eastAsia" w:ascii="宋体" w:hAnsi="宋体"/>
          <w:color w:val="auto"/>
          <w:kern w:val="0"/>
          <w:sz w:val="24"/>
          <w:highlight w:val="none"/>
        </w:rPr>
        <w:t>中</w:t>
      </w:r>
      <w:r>
        <w:rPr>
          <w:rFonts w:hint="eastAsia" w:ascii="宋体" w:hAnsi="宋体"/>
          <w:color w:val="auto"/>
          <w:kern w:val="0"/>
          <w:sz w:val="24"/>
          <w:highlight w:val="none"/>
          <w:lang w:eastAsia="zh-CN"/>
        </w:rPr>
        <w:t>报价人</w:t>
      </w:r>
      <w:r>
        <w:rPr>
          <w:rFonts w:ascii="宋体" w:hAnsi="宋体"/>
          <w:color w:val="auto"/>
          <w:kern w:val="0"/>
          <w:sz w:val="24"/>
          <w:highlight w:val="none"/>
        </w:rPr>
        <w:t>须具备的资格条件。</w:t>
      </w:r>
    </w:p>
    <w:p w14:paraId="6F1EE153">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7.</w:t>
      </w:r>
      <w:r>
        <w:rPr>
          <w:rFonts w:hint="eastAsia" w:ascii="宋体" w:hAnsi="宋体"/>
          <w:b/>
          <w:color w:val="auto"/>
          <w:kern w:val="0"/>
          <w:sz w:val="24"/>
          <w:highlight w:val="none"/>
        </w:rPr>
        <w:t>保密</w:t>
      </w:r>
    </w:p>
    <w:p w14:paraId="3CDE467F">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7</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报价人</w:t>
      </w:r>
      <w:r>
        <w:rPr>
          <w:rFonts w:ascii="宋体" w:hAnsi="宋体"/>
          <w:color w:val="auto"/>
          <w:kern w:val="0"/>
          <w:sz w:val="24"/>
          <w:highlight w:val="none"/>
        </w:rPr>
        <w:t>不得以任何方式干扰采购人的</w:t>
      </w:r>
      <w:r>
        <w:rPr>
          <w:rFonts w:hint="eastAsia" w:ascii="宋体" w:hAnsi="宋体"/>
          <w:color w:val="auto"/>
          <w:kern w:val="0"/>
          <w:sz w:val="24"/>
          <w:highlight w:val="none"/>
          <w:lang w:eastAsia="zh-CN"/>
        </w:rPr>
        <w:t>谈判采购</w:t>
      </w:r>
      <w:r>
        <w:rPr>
          <w:rFonts w:ascii="宋体" w:hAnsi="宋体"/>
          <w:color w:val="auto"/>
          <w:kern w:val="0"/>
          <w:sz w:val="24"/>
          <w:highlight w:val="none"/>
        </w:rPr>
        <w:t>活动，否则其</w:t>
      </w:r>
      <w:r>
        <w:rPr>
          <w:rFonts w:hint="eastAsia" w:ascii="宋体" w:hAnsi="宋体"/>
          <w:color w:val="auto"/>
          <w:kern w:val="0"/>
          <w:sz w:val="24"/>
          <w:highlight w:val="none"/>
          <w:lang w:eastAsia="zh-CN"/>
        </w:rPr>
        <w:t>谈判文件</w:t>
      </w:r>
      <w:r>
        <w:rPr>
          <w:rFonts w:ascii="宋体" w:hAnsi="宋体"/>
          <w:color w:val="auto"/>
          <w:kern w:val="0"/>
          <w:sz w:val="24"/>
          <w:highlight w:val="none"/>
        </w:rPr>
        <w:t>无效并追究其法律责任。</w:t>
      </w:r>
    </w:p>
    <w:p w14:paraId="5C348224">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六</w:t>
      </w:r>
      <w:r>
        <w:rPr>
          <w:rFonts w:ascii="宋体" w:hAnsi="宋体"/>
          <w:b/>
          <w:color w:val="auto"/>
          <w:kern w:val="0"/>
          <w:sz w:val="24"/>
          <w:highlight w:val="none"/>
        </w:rPr>
        <w:t>、授予合同</w:t>
      </w:r>
    </w:p>
    <w:p w14:paraId="65FAE65F">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.成交</w:t>
      </w:r>
      <w:r>
        <w:rPr>
          <w:rFonts w:ascii="宋体" w:hAnsi="宋体"/>
          <w:b/>
          <w:color w:val="auto"/>
          <w:kern w:val="0"/>
          <w:sz w:val="24"/>
          <w:highlight w:val="none"/>
        </w:rPr>
        <w:t>准则</w:t>
      </w:r>
    </w:p>
    <w:p w14:paraId="6C8873AA">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.1 合同</w:t>
      </w:r>
      <w:r>
        <w:rPr>
          <w:rFonts w:ascii="宋体" w:hAnsi="宋体"/>
          <w:color w:val="auto"/>
          <w:kern w:val="0"/>
          <w:sz w:val="24"/>
          <w:highlight w:val="none"/>
        </w:rPr>
        <w:t>将授予其</w:t>
      </w:r>
      <w:r>
        <w:rPr>
          <w:rFonts w:hint="eastAsia" w:ascii="宋体" w:hAnsi="宋体"/>
          <w:color w:val="auto"/>
          <w:kern w:val="0"/>
          <w:sz w:val="24"/>
          <w:highlight w:val="none"/>
        </w:rPr>
        <w:t>响应</w:t>
      </w:r>
      <w:r>
        <w:rPr>
          <w:rFonts w:ascii="宋体" w:hAnsi="宋体"/>
          <w:color w:val="auto"/>
          <w:kern w:val="0"/>
          <w:sz w:val="24"/>
          <w:highlight w:val="none"/>
        </w:rPr>
        <w:t>符合</w:t>
      </w:r>
      <w:r>
        <w:rPr>
          <w:rFonts w:hint="eastAsia" w:ascii="宋体" w:hAnsi="宋体"/>
          <w:color w:val="auto"/>
          <w:kern w:val="0"/>
          <w:sz w:val="24"/>
          <w:highlight w:val="none"/>
          <w:lang w:eastAsia="zh-CN"/>
        </w:rPr>
        <w:t>谈判文件</w:t>
      </w:r>
      <w:r>
        <w:rPr>
          <w:rFonts w:ascii="宋体" w:hAnsi="宋体"/>
          <w:color w:val="auto"/>
          <w:kern w:val="0"/>
          <w:sz w:val="24"/>
          <w:highlight w:val="none"/>
        </w:rPr>
        <w:t>要求、并能圆满地履行合同的、对采购人最为有利的</w:t>
      </w:r>
      <w:r>
        <w:rPr>
          <w:rFonts w:hint="eastAsia" w:ascii="宋体" w:hAnsi="宋体"/>
          <w:color w:val="auto"/>
          <w:kern w:val="0"/>
          <w:sz w:val="24"/>
          <w:highlight w:val="none"/>
        </w:rPr>
        <w:t>综合</w:t>
      </w:r>
      <w:r>
        <w:rPr>
          <w:rFonts w:ascii="宋体" w:hAnsi="宋体"/>
          <w:color w:val="auto"/>
          <w:kern w:val="0"/>
          <w:sz w:val="24"/>
          <w:highlight w:val="none"/>
        </w:rPr>
        <w:t>评分最高</w:t>
      </w:r>
      <w:r>
        <w:rPr>
          <w:rFonts w:hint="eastAsia" w:ascii="宋体" w:hAnsi="宋体"/>
          <w:color w:val="auto"/>
          <w:kern w:val="0"/>
          <w:sz w:val="24"/>
          <w:highlight w:val="none"/>
        </w:rPr>
        <w:t>的</w:t>
      </w:r>
      <w:r>
        <w:rPr>
          <w:rFonts w:hint="eastAsia" w:ascii="宋体" w:hAnsi="宋体"/>
          <w:color w:val="auto"/>
          <w:kern w:val="0"/>
          <w:sz w:val="24"/>
          <w:highlight w:val="none"/>
          <w:lang w:eastAsia="zh-CN"/>
        </w:rPr>
        <w:t>报价人</w:t>
      </w:r>
      <w:r>
        <w:rPr>
          <w:rFonts w:ascii="宋体" w:hAnsi="宋体"/>
          <w:color w:val="auto"/>
          <w:kern w:val="0"/>
          <w:sz w:val="24"/>
          <w:highlight w:val="none"/>
        </w:rPr>
        <w:t>。</w:t>
      </w:r>
    </w:p>
    <w:p w14:paraId="2264C81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1.2 </w:t>
      </w:r>
      <w:r>
        <w:rPr>
          <w:rFonts w:hint="eastAsia" w:ascii="宋体" w:hAnsi="宋体"/>
          <w:color w:val="auto"/>
          <w:kern w:val="0"/>
          <w:sz w:val="24"/>
          <w:highlight w:val="none"/>
        </w:rPr>
        <w:t>最低响应</w:t>
      </w:r>
      <w:r>
        <w:rPr>
          <w:rFonts w:ascii="宋体" w:hAnsi="宋体"/>
          <w:color w:val="auto"/>
          <w:kern w:val="0"/>
          <w:sz w:val="24"/>
          <w:highlight w:val="none"/>
        </w:rPr>
        <w:t>报价不是被授予合同的</w:t>
      </w:r>
      <w:r>
        <w:rPr>
          <w:rFonts w:hint="eastAsia" w:ascii="宋体" w:hAnsi="宋体"/>
          <w:color w:val="auto"/>
          <w:kern w:val="0"/>
          <w:sz w:val="24"/>
          <w:highlight w:val="none"/>
        </w:rPr>
        <w:t>唯一</w:t>
      </w:r>
      <w:r>
        <w:rPr>
          <w:rFonts w:ascii="宋体" w:hAnsi="宋体"/>
          <w:color w:val="auto"/>
          <w:kern w:val="0"/>
          <w:sz w:val="24"/>
          <w:highlight w:val="none"/>
        </w:rPr>
        <w:t>条件。</w:t>
      </w:r>
    </w:p>
    <w:p w14:paraId="77AE770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1.3 </w:t>
      </w:r>
      <w:r>
        <w:rPr>
          <w:rFonts w:hint="eastAsia" w:ascii="宋体" w:hAnsi="宋体"/>
          <w:color w:val="auto"/>
          <w:kern w:val="0"/>
          <w:sz w:val="24"/>
          <w:highlight w:val="none"/>
        </w:rPr>
        <w:t>《成交</w:t>
      </w:r>
      <w:r>
        <w:rPr>
          <w:rFonts w:ascii="宋体" w:hAnsi="宋体"/>
          <w:color w:val="auto"/>
          <w:kern w:val="0"/>
          <w:sz w:val="24"/>
          <w:highlight w:val="none"/>
        </w:rPr>
        <w:t>通知书</w:t>
      </w:r>
      <w:r>
        <w:rPr>
          <w:rFonts w:hint="eastAsia" w:ascii="宋体" w:hAnsi="宋体"/>
          <w:color w:val="auto"/>
          <w:kern w:val="0"/>
          <w:sz w:val="24"/>
          <w:highlight w:val="none"/>
        </w:rPr>
        <w:t>》生效</w:t>
      </w:r>
      <w:r>
        <w:rPr>
          <w:rFonts w:ascii="宋体" w:hAnsi="宋体"/>
          <w:color w:val="auto"/>
          <w:kern w:val="0"/>
          <w:sz w:val="24"/>
          <w:highlight w:val="none"/>
        </w:rPr>
        <w:t>后，如果已中</w:t>
      </w:r>
      <w:r>
        <w:rPr>
          <w:rFonts w:hint="eastAsia" w:ascii="宋体" w:hAnsi="宋体"/>
          <w:color w:val="auto"/>
          <w:kern w:val="0"/>
          <w:sz w:val="24"/>
          <w:highlight w:val="none"/>
        </w:rPr>
        <w:t>选</w:t>
      </w:r>
      <w:r>
        <w:rPr>
          <w:rFonts w:ascii="宋体" w:hAnsi="宋体"/>
          <w:color w:val="auto"/>
          <w:kern w:val="0"/>
          <w:sz w:val="24"/>
          <w:highlight w:val="none"/>
        </w:rPr>
        <w:t>的</w:t>
      </w:r>
      <w:r>
        <w:rPr>
          <w:rFonts w:hint="eastAsia" w:ascii="宋体" w:hAnsi="宋体"/>
          <w:color w:val="auto"/>
          <w:kern w:val="0"/>
          <w:sz w:val="24"/>
          <w:highlight w:val="none"/>
          <w:lang w:eastAsia="zh-CN"/>
        </w:rPr>
        <w:t>报价人</w:t>
      </w:r>
      <w:r>
        <w:rPr>
          <w:rFonts w:ascii="宋体" w:hAnsi="宋体"/>
          <w:color w:val="auto"/>
          <w:kern w:val="0"/>
          <w:sz w:val="24"/>
          <w:highlight w:val="none"/>
        </w:rPr>
        <w:t>不能按</w:t>
      </w:r>
      <w:r>
        <w:rPr>
          <w:rFonts w:hint="eastAsia" w:ascii="宋体" w:hAnsi="宋体"/>
          <w:color w:val="auto"/>
          <w:kern w:val="0"/>
          <w:sz w:val="24"/>
          <w:highlight w:val="none"/>
          <w:lang w:eastAsia="zh-CN"/>
        </w:rPr>
        <w:t>谈判文件</w:t>
      </w:r>
      <w:r>
        <w:rPr>
          <w:rFonts w:ascii="宋体" w:hAnsi="宋体"/>
          <w:color w:val="auto"/>
          <w:kern w:val="0"/>
          <w:sz w:val="24"/>
          <w:highlight w:val="none"/>
        </w:rPr>
        <w:t>中</w:t>
      </w:r>
      <w:r>
        <w:rPr>
          <w:rFonts w:hint="eastAsia" w:ascii="宋体" w:hAnsi="宋体"/>
          <w:color w:val="auto"/>
          <w:kern w:val="0"/>
          <w:sz w:val="24"/>
          <w:highlight w:val="none"/>
        </w:rPr>
        <w:t>承诺</w:t>
      </w:r>
      <w:r>
        <w:rPr>
          <w:rFonts w:ascii="宋体" w:hAnsi="宋体"/>
          <w:color w:val="auto"/>
          <w:kern w:val="0"/>
          <w:sz w:val="24"/>
          <w:highlight w:val="none"/>
        </w:rPr>
        <w:t>的条件履行签约行为，采购人有权在</w:t>
      </w:r>
      <w:r>
        <w:rPr>
          <w:rFonts w:hint="eastAsia" w:ascii="宋体" w:hAnsi="宋体"/>
          <w:color w:val="auto"/>
          <w:kern w:val="0"/>
          <w:sz w:val="24"/>
          <w:highlight w:val="none"/>
        </w:rPr>
        <w:t>评审</w:t>
      </w:r>
      <w:r>
        <w:rPr>
          <w:rFonts w:ascii="宋体" w:hAnsi="宋体"/>
          <w:color w:val="auto"/>
          <w:kern w:val="0"/>
          <w:sz w:val="24"/>
          <w:highlight w:val="none"/>
        </w:rPr>
        <w:t>小组推荐的合格的</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名单</w:t>
      </w:r>
      <w:r>
        <w:rPr>
          <w:rFonts w:ascii="宋体" w:hAnsi="宋体"/>
          <w:color w:val="auto"/>
          <w:kern w:val="0"/>
          <w:sz w:val="24"/>
          <w:highlight w:val="none"/>
        </w:rPr>
        <w:t>中选择新的合同</w:t>
      </w:r>
      <w:r>
        <w:rPr>
          <w:rFonts w:hint="eastAsia" w:ascii="宋体" w:hAnsi="宋体"/>
          <w:color w:val="auto"/>
          <w:kern w:val="0"/>
          <w:sz w:val="24"/>
          <w:highlight w:val="none"/>
        </w:rPr>
        <w:t>授予</w:t>
      </w:r>
      <w:r>
        <w:rPr>
          <w:rFonts w:ascii="宋体" w:hAnsi="宋体"/>
          <w:color w:val="auto"/>
          <w:kern w:val="0"/>
          <w:sz w:val="24"/>
          <w:highlight w:val="none"/>
        </w:rPr>
        <w:t>人。</w:t>
      </w:r>
    </w:p>
    <w:p w14:paraId="5C41D191">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成交</w:t>
      </w:r>
      <w:r>
        <w:rPr>
          <w:rFonts w:ascii="宋体" w:hAnsi="宋体"/>
          <w:b/>
          <w:color w:val="auto"/>
          <w:kern w:val="0"/>
          <w:sz w:val="24"/>
          <w:highlight w:val="none"/>
        </w:rPr>
        <w:t>通知</w:t>
      </w:r>
    </w:p>
    <w:p w14:paraId="6049652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通过评审</w:t>
      </w:r>
      <w:r>
        <w:rPr>
          <w:rFonts w:ascii="宋体" w:hAnsi="宋体"/>
          <w:color w:val="auto"/>
          <w:kern w:val="0"/>
          <w:sz w:val="24"/>
          <w:highlight w:val="none"/>
        </w:rPr>
        <w:t>，确定</w:t>
      </w:r>
      <w:r>
        <w:rPr>
          <w:rFonts w:hint="eastAsia" w:ascii="宋体" w:hAnsi="宋体"/>
          <w:color w:val="auto"/>
          <w:kern w:val="0"/>
          <w:sz w:val="24"/>
          <w:highlight w:val="none"/>
        </w:rPr>
        <w:t>成交人</w:t>
      </w:r>
      <w:r>
        <w:rPr>
          <w:rFonts w:ascii="宋体" w:hAnsi="宋体"/>
          <w:color w:val="auto"/>
          <w:kern w:val="0"/>
          <w:sz w:val="24"/>
          <w:highlight w:val="none"/>
        </w:rPr>
        <w:t>后，采购人将以书面形式发出《</w:t>
      </w:r>
      <w:r>
        <w:rPr>
          <w:rFonts w:hint="eastAsia" w:ascii="宋体" w:hAnsi="宋体"/>
          <w:color w:val="auto"/>
          <w:kern w:val="0"/>
          <w:sz w:val="24"/>
          <w:highlight w:val="none"/>
        </w:rPr>
        <w:t>成交通知书</w:t>
      </w:r>
      <w:r>
        <w:rPr>
          <w:rFonts w:ascii="宋体" w:hAnsi="宋体"/>
          <w:color w:val="auto"/>
          <w:kern w:val="0"/>
          <w:sz w:val="24"/>
          <w:highlight w:val="none"/>
        </w:rPr>
        <w:t>》</w:t>
      </w:r>
      <w:r>
        <w:rPr>
          <w:rFonts w:hint="eastAsia" w:ascii="宋体" w:hAnsi="宋体"/>
          <w:color w:val="auto"/>
          <w:kern w:val="0"/>
          <w:sz w:val="24"/>
          <w:highlight w:val="none"/>
        </w:rPr>
        <w:t>。</w:t>
      </w:r>
    </w:p>
    <w:p w14:paraId="34AD10F8">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2.2 </w:t>
      </w:r>
      <w:r>
        <w:rPr>
          <w:rFonts w:hint="eastAsia" w:ascii="宋体" w:hAnsi="宋体"/>
          <w:color w:val="auto"/>
          <w:kern w:val="0"/>
          <w:sz w:val="24"/>
          <w:highlight w:val="none"/>
        </w:rPr>
        <w:t>《成交通知书》将</w:t>
      </w:r>
      <w:r>
        <w:rPr>
          <w:rFonts w:ascii="宋体" w:hAnsi="宋体"/>
          <w:color w:val="auto"/>
          <w:kern w:val="0"/>
          <w:sz w:val="24"/>
          <w:highlight w:val="none"/>
        </w:rPr>
        <w:t>作为签订合同的依据。</w:t>
      </w:r>
    </w:p>
    <w:p w14:paraId="38D7310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2.3 </w:t>
      </w:r>
      <w:r>
        <w:rPr>
          <w:rFonts w:hint="eastAsia" w:ascii="宋体" w:hAnsi="宋体"/>
          <w:color w:val="auto"/>
          <w:kern w:val="0"/>
          <w:sz w:val="24"/>
          <w:highlight w:val="none"/>
        </w:rPr>
        <w:t>对</w:t>
      </w:r>
      <w:r>
        <w:rPr>
          <w:rFonts w:ascii="宋体" w:hAnsi="宋体"/>
          <w:color w:val="auto"/>
          <w:kern w:val="0"/>
          <w:sz w:val="24"/>
          <w:highlight w:val="none"/>
        </w:rPr>
        <w:t>未中</w:t>
      </w:r>
      <w:r>
        <w:rPr>
          <w:rFonts w:hint="eastAsia" w:ascii="宋体" w:hAnsi="宋体"/>
          <w:color w:val="auto"/>
          <w:kern w:val="0"/>
          <w:sz w:val="24"/>
          <w:highlight w:val="none"/>
        </w:rPr>
        <w:t>选</w:t>
      </w:r>
      <w:r>
        <w:rPr>
          <w:rFonts w:ascii="宋体" w:hAnsi="宋体"/>
          <w:color w:val="auto"/>
          <w:kern w:val="0"/>
          <w:sz w:val="24"/>
          <w:highlight w:val="none"/>
        </w:rPr>
        <w:t>者，采购人不对未中</w:t>
      </w:r>
      <w:r>
        <w:rPr>
          <w:rFonts w:hint="eastAsia" w:ascii="宋体" w:hAnsi="宋体"/>
          <w:color w:val="auto"/>
          <w:kern w:val="0"/>
          <w:sz w:val="24"/>
          <w:highlight w:val="none"/>
        </w:rPr>
        <w:t>选</w:t>
      </w:r>
      <w:r>
        <w:rPr>
          <w:rFonts w:ascii="宋体" w:hAnsi="宋体"/>
          <w:color w:val="auto"/>
          <w:kern w:val="0"/>
          <w:sz w:val="24"/>
          <w:highlight w:val="none"/>
        </w:rPr>
        <w:t>原因</w:t>
      </w:r>
      <w:r>
        <w:rPr>
          <w:rFonts w:hint="eastAsia" w:ascii="宋体" w:hAnsi="宋体"/>
          <w:color w:val="auto"/>
          <w:kern w:val="0"/>
          <w:sz w:val="24"/>
          <w:highlight w:val="none"/>
        </w:rPr>
        <w:t>做出</w:t>
      </w:r>
      <w:r>
        <w:rPr>
          <w:rFonts w:ascii="宋体" w:hAnsi="宋体"/>
          <w:color w:val="auto"/>
          <w:kern w:val="0"/>
          <w:sz w:val="24"/>
          <w:highlight w:val="none"/>
        </w:rPr>
        <w:t>解释</w:t>
      </w:r>
      <w:r>
        <w:rPr>
          <w:rFonts w:hint="eastAsia" w:ascii="宋体" w:hAnsi="宋体"/>
          <w:color w:val="auto"/>
          <w:kern w:val="0"/>
          <w:sz w:val="24"/>
          <w:highlight w:val="none"/>
        </w:rPr>
        <w:t>，</w:t>
      </w:r>
      <w:r>
        <w:rPr>
          <w:rFonts w:ascii="宋体" w:hAnsi="宋体"/>
          <w:color w:val="auto"/>
          <w:kern w:val="0"/>
          <w:sz w:val="24"/>
          <w:highlight w:val="none"/>
        </w:rPr>
        <w:t>同时亦不退还</w:t>
      </w:r>
      <w:r>
        <w:rPr>
          <w:rFonts w:hint="eastAsia" w:ascii="宋体" w:hAnsi="宋体"/>
          <w:color w:val="auto"/>
          <w:kern w:val="0"/>
          <w:sz w:val="24"/>
          <w:highlight w:val="none"/>
          <w:lang w:eastAsia="zh-CN"/>
        </w:rPr>
        <w:t>谈判文件</w:t>
      </w:r>
      <w:r>
        <w:rPr>
          <w:rFonts w:ascii="宋体" w:hAnsi="宋体"/>
          <w:color w:val="auto"/>
          <w:kern w:val="0"/>
          <w:sz w:val="24"/>
          <w:highlight w:val="none"/>
        </w:rPr>
        <w:t>。</w:t>
      </w:r>
    </w:p>
    <w:p w14:paraId="712C541F">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授予</w:t>
      </w:r>
      <w:r>
        <w:rPr>
          <w:rFonts w:ascii="宋体" w:hAnsi="宋体"/>
          <w:b/>
          <w:color w:val="auto"/>
          <w:kern w:val="0"/>
          <w:sz w:val="24"/>
          <w:highlight w:val="none"/>
        </w:rPr>
        <w:t>合同时变更数量的权力</w:t>
      </w:r>
    </w:p>
    <w:p w14:paraId="54A7320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3.1 </w:t>
      </w:r>
      <w:r>
        <w:rPr>
          <w:rFonts w:hint="eastAsia" w:ascii="宋体" w:hAnsi="宋体"/>
          <w:color w:val="auto"/>
          <w:kern w:val="0"/>
          <w:sz w:val="24"/>
          <w:highlight w:val="none"/>
        </w:rPr>
        <w:t>采购人</w:t>
      </w:r>
      <w:r>
        <w:rPr>
          <w:rFonts w:ascii="宋体" w:hAnsi="宋体"/>
          <w:color w:val="auto"/>
          <w:kern w:val="0"/>
          <w:sz w:val="24"/>
          <w:highlight w:val="none"/>
        </w:rPr>
        <w:t>在授予合同时有权对</w:t>
      </w:r>
      <w:r>
        <w:rPr>
          <w:rFonts w:hint="eastAsia" w:ascii="宋体" w:hAnsi="宋体"/>
          <w:color w:val="auto"/>
          <w:kern w:val="0"/>
          <w:sz w:val="24"/>
          <w:highlight w:val="none"/>
          <w:lang w:eastAsia="zh-CN"/>
        </w:rPr>
        <w:t>谈判文件</w:t>
      </w:r>
      <w:r>
        <w:rPr>
          <w:rFonts w:ascii="宋体" w:hAnsi="宋体"/>
          <w:color w:val="auto"/>
          <w:kern w:val="0"/>
          <w:sz w:val="24"/>
          <w:highlight w:val="none"/>
        </w:rPr>
        <w:t>中规定的服务数量、</w:t>
      </w:r>
      <w:r>
        <w:rPr>
          <w:rFonts w:hint="eastAsia" w:ascii="宋体" w:hAnsi="宋体"/>
          <w:color w:val="auto"/>
          <w:kern w:val="0"/>
          <w:sz w:val="24"/>
          <w:highlight w:val="none"/>
        </w:rPr>
        <w:t>内容</w:t>
      </w:r>
      <w:r>
        <w:rPr>
          <w:rFonts w:ascii="宋体" w:hAnsi="宋体"/>
          <w:color w:val="auto"/>
          <w:kern w:val="0"/>
          <w:sz w:val="24"/>
          <w:highlight w:val="none"/>
        </w:rPr>
        <w:t>予以增加或减少，或根据</w:t>
      </w:r>
      <w:r>
        <w:rPr>
          <w:rFonts w:hint="eastAsia" w:ascii="宋体" w:hAnsi="宋体"/>
          <w:color w:val="auto"/>
          <w:kern w:val="0"/>
          <w:sz w:val="24"/>
          <w:highlight w:val="none"/>
          <w:lang w:eastAsia="zh-CN"/>
        </w:rPr>
        <w:t>谈判文件</w:t>
      </w:r>
      <w:r>
        <w:rPr>
          <w:rFonts w:ascii="宋体" w:hAnsi="宋体"/>
          <w:color w:val="auto"/>
          <w:kern w:val="0"/>
          <w:sz w:val="24"/>
          <w:highlight w:val="none"/>
        </w:rPr>
        <w:t>做具体补充。</w:t>
      </w:r>
    </w:p>
    <w:p w14:paraId="78B4C255">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rPr>
        <w:t>签订</w:t>
      </w:r>
      <w:r>
        <w:rPr>
          <w:rFonts w:ascii="宋体" w:hAnsi="宋体"/>
          <w:b/>
          <w:color w:val="auto"/>
          <w:kern w:val="0"/>
          <w:sz w:val="24"/>
          <w:highlight w:val="none"/>
        </w:rPr>
        <w:t>合同</w:t>
      </w:r>
    </w:p>
    <w:p w14:paraId="0DA99F6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.1成交人</w:t>
      </w:r>
      <w:r>
        <w:rPr>
          <w:rFonts w:ascii="宋体" w:hAnsi="宋体"/>
          <w:color w:val="auto"/>
          <w:sz w:val="24"/>
          <w:highlight w:val="none"/>
        </w:rPr>
        <w:t>与采购人应在</w:t>
      </w:r>
      <w:r>
        <w:rPr>
          <w:rFonts w:hint="eastAsia" w:ascii="宋体" w:hAnsi="宋体"/>
          <w:color w:val="auto"/>
          <w:sz w:val="24"/>
          <w:highlight w:val="none"/>
        </w:rPr>
        <w:t>成交</w:t>
      </w:r>
      <w:r>
        <w:rPr>
          <w:rFonts w:ascii="宋体" w:hAnsi="宋体"/>
          <w:color w:val="auto"/>
          <w:sz w:val="24"/>
          <w:highlight w:val="none"/>
        </w:rPr>
        <w:t>通知书发出后</w:t>
      </w:r>
      <w:r>
        <w:rPr>
          <w:rFonts w:hint="eastAsia" w:ascii="宋体" w:hAnsi="宋体"/>
          <w:color w:val="auto"/>
          <w:sz w:val="24"/>
          <w:highlight w:val="none"/>
        </w:rPr>
        <w:t>15</w:t>
      </w:r>
      <w:r>
        <w:rPr>
          <w:rFonts w:ascii="宋体" w:hAnsi="宋体"/>
          <w:color w:val="auto"/>
          <w:sz w:val="24"/>
          <w:highlight w:val="none"/>
        </w:rPr>
        <w:t>日内签订</w:t>
      </w:r>
      <w:r>
        <w:rPr>
          <w:rFonts w:hint="eastAsia" w:ascii="宋体" w:hAnsi="宋体"/>
          <w:color w:val="auto"/>
          <w:sz w:val="24"/>
          <w:highlight w:val="none"/>
        </w:rPr>
        <w:t>书面</w:t>
      </w:r>
      <w:r>
        <w:rPr>
          <w:rFonts w:ascii="宋体" w:hAnsi="宋体"/>
          <w:color w:val="auto"/>
          <w:sz w:val="24"/>
          <w:highlight w:val="none"/>
        </w:rPr>
        <w:t>合同</w:t>
      </w:r>
      <w:r>
        <w:rPr>
          <w:rFonts w:ascii="宋体" w:hAnsi="宋体"/>
          <w:color w:val="auto"/>
          <w:kern w:val="0"/>
          <w:sz w:val="24"/>
          <w:highlight w:val="none"/>
        </w:rPr>
        <w:t>。</w:t>
      </w:r>
    </w:p>
    <w:p w14:paraId="73E9601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.2</w:t>
      </w:r>
      <w:r>
        <w:rPr>
          <w:rFonts w:ascii="宋体" w:hAnsi="宋体"/>
          <w:color w:val="auto"/>
          <w:kern w:val="0"/>
          <w:sz w:val="24"/>
          <w:highlight w:val="none"/>
        </w:rPr>
        <w:t xml:space="preserve"> </w:t>
      </w:r>
      <w:r>
        <w:rPr>
          <w:rFonts w:hint="eastAsia" w:ascii="宋体" w:hAnsi="宋体"/>
          <w:color w:val="auto"/>
          <w:sz w:val="24"/>
          <w:highlight w:val="none"/>
        </w:rPr>
        <w:t>签订合同的具体事项不仅限于</w:t>
      </w:r>
      <w:r>
        <w:rPr>
          <w:rFonts w:hint="eastAsia" w:ascii="宋体" w:hAnsi="宋体"/>
          <w:color w:val="auto"/>
          <w:sz w:val="24"/>
          <w:highlight w:val="none"/>
          <w:lang w:eastAsia="zh-CN"/>
        </w:rPr>
        <w:t>谈判文件</w:t>
      </w:r>
      <w:r>
        <w:rPr>
          <w:rFonts w:hint="eastAsia" w:ascii="宋体" w:hAnsi="宋体"/>
          <w:color w:val="auto"/>
          <w:sz w:val="24"/>
          <w:highlight w:val="none"/>
        </w:rPr>
        <w:t>的相关内容和事项。</w:t>
      </w:r>
    </w:p>
    <w:p w14:paraId="45AB712A">
      <w:pPr>
        <w:widowControl/>
        <w:jc w:val="left"/>
        <w:rPr>
          <w:rFonts w:ascii="宋体" w:hAnsi="宋体"/>
          <w:color w:val="auto"/>
          <w:kern w:val="0"/>
          <w:sz w:val="28"/>
          <w:szCs w:val="28"/>
          <w:highlight w:val="none"/>
        </w:rPr>
      </w:pPr>
      <w:r>
        <w:rPr>
          <w:rFonts w:ascii="宋体" w:hAnsi="宋体"/>
          <w:color w:val="auto"/>
          <w:kern w:val="0"/>
          <w:sz w:val="24"/>
          <w:highlight w:val="none"/>
        </w:rPr>
        <w:t xml:space="preserve">    4.3</w:t>
      </w:r>
      <w:r>
        <w:rPr>
          <w:rFonts w:hint="eastAsia" w:ascii="宋体" w:hAnsi="宋体"/>
          <w:color w:val="auto"/>
          <w:kern w:val="0"/>
          <w:sz w:val="24"/>
          <w:highlight w:val="none"/>
        </w:rPr>
        <w:t>《</w:t>
      </w:r>
      <w:r>
        <w:rPr>
          <w:rFonts w:hint="eastAsia" w:ascii="宋体" w:hAnsi="宋体"/>
          <w:color w:val="auto"/>
          <w:kern w:val="0"/>
          <w:sz w:val="24"/>
          <w:highlight w:val="none"/>
          <w:lang w:eastAsia="zh-CN"/>
        </w:rPr>
        <w:t>谈判采购文件</w:t>
      </w:r>
      <w:r>
        <w:rPr>
          <w:rFonts w:hint="eastAsia" w:ascii="宋体" w:hAnsi="宋体"/>
          <w:color w:val="auto"/>
          <w:kern w:val="0"/>
          <w:sz w:val="24"/>
          <w:highlight w:val="none"/>
        </w:rPr>
        <w:t>》、成交人</w:t>
      </w:r>
      <w:r>
        <w:rPr>
          <w:rFonts w:ascii="宋体" w:hAnsi="宋体"/>
          <w:color w:val="auto"/>
          <w:kern w:val="0"/>
          <w:sz w:val="24"/>
          <w:highlight w:val="none"/>
        </w:rPr>
        <w:t>的</w:t>
      </w:r>
      <w:r>
        <w:rPr>
          <w:rFonts w:hint="eastAsia" w:ascii="宋体" w:hAnsi="宋体"/>
          <w:color w:val="auto"/>
          <w:kern w:val="0"/>
          <w:sz w:val="24"/>
          <w:highlight w:val="none"/>
          <w:lang w:eastAsia="zh-CN"/>
        </w:rPr>
        <w:t>谈判文件</w:t>
      </w:r>
      <w:r>
        <w:rPr>
          <w:rFonts w:ascii="宋体" w:hAnsi="宋体"/>
          <w:color w:val="auto"/>
          <w:kern w:val="0"/>
          <w:sz w:val="24"/>
          <w:highlight w:val="none"/>
        </w:rPr>
        <w:t>及双方确认的澄清文件等，均为有法律约束力的合同组成的一部分</w:t>
      </w:r>
      <w:r>
        <w:rPr>
          <w:rFonts w:ascii="宋体" w:hAnsi="宋体"/>
          <w:color w:val="auto"/>
          <w:kern w:val="0"/>
          <w:sz w:val="28"/>
          <w:szCs w:val="28"/>
          <w:highlight w:val="none"/>
        </w:rPr>
        <w:t>。</w:t>
      </w:r>
    </w:p>
    <w:p w14:paraId="262025DB">
      <w:pPr>
        <w:widowControl/>
        <w:jc w:val="center"/>
        <w:rPr>
          <w:rFonts w:ascii="宋体" w:hAnsi="宋体"/>
          <w:color w:val="auto"/>
          <w:kern w:val="0"/>
          <w:sz w:val="28"/>
          <w:szCs w:val="28"/>
          <w:highlight w:val="none"/>
        </w:rPr>
      </w:pPr>
    </w:p>
    <w:p w14:paraId="1795D5C3">
      <w:pPr>
        <w:widowControl/>
        <w:jc w:val="center"/>
        <w:rPr>
          <w:rFonts w:ascii="宋体" w:hAnsi="宋体"/>
          <w:color w:val="auto"/>
          <w:kern w:val="0"/>
          <w:sz w:val="28"/>
          <w:szCs w:val="28"/>
          <w:highlight w:val="none"/>
        </w:rPr>
      </w:pPr>
    </w:p>
    <w:p w14:paraId="47743CB1">
      <w:pPr>
        <w:widowControl/>
        <w:jc w:val="center"/>
        <w:rPr>
          <w:rFonts w:ascii="宋体" w:hAnsi="宋体"/>
          <w:color w:val="auto"/>
          <w:kern w:val="0"/>
          <w:sz w:val="28"/>
          <w:szCs w:val="28"/>
          <w:highlight w:val="none"/>
        </w:rPr>
      </w:pPr>
    </w:p>
    <w:p w14:paraId="1526B64E">
      <w:pPr>
        <w:widowControl/>
        <w:jc w:val="center"/>
        <w:rPr>
          <w:rFonts w:ascii="宋体" w:hAnsi="宋体"/>
          <w:color w:val="auto"/>
          <w:kern w:val="0"/>
          <w:sz w:val="28"/>
          <w:szCs w:val="28"/>
          <w:highlight w:val="none"/>
        </w:rPr>
      </w:pPr>
    </w:p>
    <w:p w14:paraId="50666A10">
      <w:pPr>
        <w:widowControl/>
        <w:jc w:val="center"/>
        <w:rPr>
          <w:rFonts w:ascii="宋体" w:hAnsi="宋体"/>
          <w:color w:val="auto"/>
          <w:kern w:val="0"/>
          <w:sz w:val="28"/>
          <w:szCs w:val="28"/>
          <w:highlight w:val="none"/>
        </w:rPr>
      </w:pPr>
    </w:p>
    <w:p w14:paraId="28D1142C">
      <w:pPr>
        <w:widowControl/>
        <w:jc w:val="center"/>
        <w:rPr>
          <w:rFonts w:ascii="宋体" w:hAnsi="宋体"/>
          <w:color w:val="auto"/>
          <w:kern w:val="0"/>
          <w:sz w:val="28"/>
          <w:szCs w:val="28"/>
          <w:highlight w:val="none"/>
        </w:rPr>
      </w:pPr>
    </w:p>
    <w:p w14:paraId="2B96AF18">
      <w:pPr>
        <w:widowControl/>
        <w:jc w:val="center"/>
        <w:rPr>
          <w:rFonts w:ascii="宋体" w:hAnsi="宋体"/>
          <w:color w:val="auto"/>
          <w:kern w:val="0"/>
          <w:sz w:val="28"/>
          <w:szCs w:val="28"/>
          <w:highlight w:val="none"/>
        </w:rPr>
      </w:pPr>
    </w:p>
    <w:p w14:paraId="3E5C901C">
      <w:pPr>
        <w:widowControl/>
        <w:jc w:val="center"/>
        <w:rPr>
          <w:rFonts w:ascii="宋体" w:hAnsi="宋体"/>
          <w:color w:val="auto"/>
          <w:kern w:val="0"/>
          <w:sz w:val="28"/>
          <w:szCs w:val="28"/>
          <w:highlight w:val="none"/>
        </w:rPr>
      </w:pPr>
    </w:p>
    <w:p w14:paraId="4CF9F60F">
      <w:pPr>
        <w:widowControl/>
        <w:jc w:val="center"/>
        <w:rPr>
          <w:rFonts w:ascii="宋体" w:hAnsi="宋体"/>
          <w:color w:val="auto"/>
          <w:kern w:val="0"/>
          <w:sz w:val="28"/>
          <w:szCs w:val="28"/>
          <w:highlight w:val="none"/>
        </w:rPr>
      </w:pPr>
    </w:p>
    <w:p w14:paraId="7DEBD5FA">
      <w:pPr>
        <w:widowControl/>
        <w:jc w:val="center"/>
        <w:rPr>
          <w:rFonts w:ascii="宋体" w:hAnsi="宋体"/>
          <w:color w:val="auto"/>
          <w:kern w:val="0"/>
          <w:sz w:val="28"/>
          <w:szCs w:val="28"/>
          <w:highlight w:val="none"/>
        </w:rPr>
      </w:pPr>
    </w:p>
    <w:p w14:paraId="617DA809">
      <w:pPr>
        <w:widowControl/>
        <w:jc w:val="center"/>
        <w:rPr>
          <w:rFonts w:ascii="宋体" w:hAnsi="宋体"/>
          <w:color w:val="auto"/>
          <w:kern w:val="0"/>
          <w:sz w:val="28"/>
          <w:szCs w:val="28"/>
          <w:highlight w:val="none"/>
        </w:rPr>
      </w:pPr>
    </w:p>
    <w:p w14:paraId="3F134DE5">
      <w:pPr>
        <w:widowControl/>
        <w:jc w:val="center"/>
        <w:rPr>
          <w:rFonts w:ascii="宋体" w:hAnsi="宋体"/>
          <w:color w:val="auto"/>
          <w:kern w:val="0"/>
          <w:sz w:val="28"/>
          <w:szCs w:val="28"/>
          <w:highlight w:val="none"/>
        </w:rPr>
      </w:pPr>
    </w:p>
    <w:p w14:paraId="7296C5CD">
      <w:pPr>
        <w:widowControl/>
        <w:jc w:val="center"/>
        <w:rPr>
          <w:rFonts w:ascii="宋体" w:hAnsi="宋体"/>
          <w:color w:val="auto"/>
          <w:kern w:val="0"/>
          <w:sz w:val="28"/>
          <w:szCs w:val="28"/>
          <w:highlight w:val="none"/>
        </w:rPr>
      </w:pPr>
    </w:p>
    <w:p w14:paraId="5AE877F2">
      <w:pPr>
        <w:widowControl/>
        <w:jc w:val="center"/>
        <w:rPr>
          <w:rFonts w:ascii="宋体" w:hAnsi="宋体"/>
          <w:color w:val="auto"/>
          <w:kern w:val="0"/>
          <w:sz w:val="28"/>
          <w:szCs w:val="28"/>
          <w:highlight w:val="none"/>
        </w:rPr>
      </w:pPr>
    </w:p>
    <w:p w14:paraId="38AB1D5F">
      <w:pPr>
        <w:widowControl/>
        <w:jc w:val="center"/>
        <w:rPr>
          <w:rFonts w:ascii="宋体" w:hAnsi="宋体"/>
          <w:color w:val="auto"/>
          <w:kern w:val="0"/>
          <w:sz w:val="28"/>
          <w:szCs w:val="28"/>
          <w:highlight w:val="none"/>
        </w:rPr>
      </w:pPr>
    </w:p>
    <w:p w14:paraId="552E16DF">
      <w:pPr>
        <w:widowControl/>
        <w:jc w:val="center"/>
        <w:rPr>
          <w:rFonts w:ascii="宋体" w:hAnsi="宋体"/>
          <w:color w:val="auto"/>
          <w:kern w:val="0"/>
          <w:sz w:val="28"/>
          <w:szCs w:val="28"/>
          <w:highlight w:val="none"/>
        </w:rPr>
      </w:pPr>
    </w:p>
    <w:p w14:paraId="375FCDC5">
      <w:pPr>
        <w:widowControl/>
        <w:jc w:val="center"/>
        <w:rPr>
          <w:rFonts w:hint="eastAsia" w:ascii="宋体" w:hAnsi="宋体" w:eastAsia="宋体"/>
          <w:color w:val="auto"/>
          <w:kern w:val="0"/>
          <w:sz w:val="28"/>
          <w:szCs w:val="28"/>
          <w:highlight w:val="none"/>
          <w:lang w:eastAsia="zh-CN"/>
        </w:rPr>
      </w:pPr>
    </w:p>
    <w:p w14:paraId="15CC2C76">
      <w:pPr>
        <w:widowControl/>
        <w:jc w:val="center"/>
        <w:rPr>
          <w:rFonts w:hint="eastAsia" w:ascii="宋体" w:hAnsi="宋体" w:eastAsia="宋体"/>
          <w:color w:val="auto"/>
          <w:kern w:val="0"/>
          <w:sz w:val="28"/>
          <w:szCs w:val="28"/>
          <w:highlight w:val="none"/>
          <w:lang w:eastAsia="zh-CN"/>
        </w:rPr>
      </w:pPr>
    </w:p>
    <w:p w14:paraId="361EF9E6">
      <w:pPr>
        <w:widowControl/>
        <w:jc w:val="center"/>
        <w:rPr>
          <w:rFonts w:hint="eastAsia" w:ascii="宋体" w:hAnsi="宋体" w:eastAsia="宋体"/>
          <w:color w:val="auto"/>
          <w:kern w:val="0"/>
          <w:sz w:val="28"/>
          <w:szCs w:val="28"/>
          <w:highlight w:val="none"/>
          <w:lang w:eastAsia="zh-CN"/>
        </w:rPr>
      </w:pPr>
    </w:p>
    <w:p w14:paraId="2112BA94">
      <w:pPr>
        <w:widowControl/>
        <w:jc w:val="center"/>
        <w:rPr>
          <w:rFonts w:hint="eastAsia" w:ascii="宋体" w:hAnsi="宋体" w:eastAsia="宋体"/>
          <w:color w:val="auto"/>
          <w:kern w:val="0"/>
          <w:sz w:val="28"/>
          <w:szCs w:val="28"/>
          <w:highlight w:val="none"/>
          <w:lang w:eastAsia="zh-CN"/>
        </w:rPr>
      </w:pPr>
    </w:p>
    <w:p w14:paraId="2B3C8583">
      <w:pPr>
        <w:widowControl/>
        <w:jc w:val="center"/>
        <w:rPr>
          <w:rFonts w:ascii="宋体" w:hAnsi="宋体"/>
          <w:color w:val="auto"/>
          <w:kern w:val="0"/>
          <w:sz w:val="28"/>
          <w:szCs w:val="28"/>
          <w:highlight w:val="none"/>
        </w:rPr>
      </w:pPr>
    </w:p>
    <w:p w14:paraId="27C17D8E">
      <w:pPr>
        <w:widowControl/>
        <w:jc w:val="both"/>
        <w:rPr>
          <w:rFonts w:ascii="宋体" w:hAnsi="宋体"/>
          <w:color w:val="auto"/>
          <w:kern w:val="0"/>
          <w:sz w:val="28"/>
          <w:szCs w:val="28"/>
          <w:highlight w:val="none"/>
        </w:rPr>
      </w:pPr>
    </w:p>
    <w:p w14:paraId="0FB70F48">
      <w:pPr>
        <w:pStyle w:val="2"/>
        <w:spacing w:before="240" w:beforeLines="100" w:after="360" w:afterLines="150" w:line="276" w:lineRule="auto"/>
        <w:jc w:val="center"/>
        <w:rPr>
          <w:rFonts w:ascii="宋体" w:hAnsi="宋体"/>
          <w:b w:val="0"/>
          <w:color w:val="auto"/>
          <w:highlight w:val="none"/>
        </w:rPr>
      </w:pPr>
      <w:r>
        <w:rPr>
          <w:rFonts w:hint="eastAsia" w:ascii="宋体" w:hAnsi="宋体"/>
          <w:color w:val="auto"/>
          <w:highlight w:val="none"/>
        </w:rPr>
        <w:t>第四章</w:t>
      </w:r>
      <w:r>
        <w:rPr>
          <w:rFonts w:ascii="宋体" w:hAnsi="宋体"/>
          <w:color w:val="auto"/>
          <w:highlight w:val="none"/>
        </w:rPr>
        <w:t xml:space="preserve">  </w:t>
      </w:r>
      <w:r>
        <w:rPr>
          <w:rFonts w:hint="eastAsia" w:ascii="宋体" w:hAnsi="宋体"/>
          <w:color w:val="auto"/>
          <w:highlight w:val="none"/>
        </w:rPr>
        <w:t>附件</w:t>
      </w:r>
      <w:r>
        <w:rPr>
          <w:rFonts w:ascii="宋体" w:hAnsi="宋体"/>
          <w:color w:val="auto"/>
          <w:highlight w:val="none"/>
        </w:rPr>
        <w:t>—</w:t>
      </w:r>
      <w:r>
        <w:rPr>
          <w:rFonts w:hint="eastAsia" w:ascii="宋体" w:hAnsi="宋体"/>
          <w:color w:val="auto"/>
          <w:highlight w:val="none"/>
          <w:lang w:eastAsia="zh-CN"/>
        </w:rPr>
        <w:t>谈判文件</w:t>
      </w:r>
      <w:r>
        <w:rPr>
          <w:rFonts w:ascii="宋体" w:hAnsi="宋体"/>
          <w:color w:val="auto"/>
          <w:highlight w:val="none"/>
        </w:rPr>
        <w:t>格式</w:t>
      </w:r>
    </w:p>
    <w:p w14:paraId="287F80F6">
      <w:pPr>
        <w:rPr>
          <w:rFonts w:ascii="宋体" w:hAnsi="宋体"/>
          <w:b/>
          <w:color w:val="auto"/>
          <w:kern w:val="0"/>
          <w:sz w:val="24"/>
          <w:highlight w:val="none"/>
        </w:rPr>
      </w:pPr>
    </w:p>
    <w:p w14:paraId="20EED002">
      <w:pPr>
        <w:ind w:firstLine="643" w:firstLineChars="200"/>
        <w:jc w:val="center"/>
        <w:rPr>
          <w:rFonts w:ascii="宋体" w:hAnsi="宋体"/>
          <w:b/>
          <w:color w:val="auto"/>
          <w:kern w:val="0"/>
          <w:sz w:val="32"/>
          <w:highlight w:val="none"/>
        </w:rPr>
      </w:pPr>
      <w:r>
        <w:rPr>
          <w:rFonts w:hint="eastAsia" w:ascii="宋体" w:hAnsi="宋体"/>
          <w:b/>
          <w:color w:val="auto"/>
          <w:kern w:val="0"/>
          <w:sz w:val="32"/>
          <w:highlight w:val="none"/>
        </w:rPr>
        <w:t xml:space="preserve">附件1 </w:t>
      </w:r>
      <w:r>
        <w:rPr>
          <w:rFonts w:hint="eastAsia" w:ascii="宋体" w:hAnsi="宋体"/>
          <w:b/>
          <w:color w:val="auto"/>
          <w:kern w:val="0"/>
          <w:sz w:val="32"/>
          <w:highlight w:val="none"/>
          <w:lang w:val="en-US" w:eastAsia="zh-CN"/>
        </w:rPr>
        <w:t>谈判</w:t>
      </w:r>
      <w:r>
        <w:rPr>
          <w:rFonts w:hint="eastAsia" w:ascii="宋体" w:hAnsi="宋体"/>
          <w:b/>
          <w:color w:val="auto"/>
          <w:kern w:val="0"/>
          <w:sz w:val="32"/>
          <w:highlight w:val="none"/>
        </w:rPr>
        <w:t>响应书</w:t>
      </w:r>
    </w:p>
    <w:p w14:paraId="1905B96E">
      <w:pPr>
        <w:rPr>
          <w:rFonts w:ascii="宋体" w:hAnsi="宋体"/>
          <w:color w:val="auto"/>
          <w:sz w:val="24"/>
          <w:highlight w:val="none"/>
        </w:rPr>
      </w:pPr>
    </w:p>
    <w:p w14:paraId="28A66F27">
      <w:pPr>
        <w:rPr>
          <w:rFonts w:ascii="宋体" w:hAnsi="宋体"/>
          <w:color w:val="auto"/>
          <w:sz w:val="24"/>
          <w:highlight w:val="none"/>
        </w:rPr>
      </w:pPr>
      <w:r>
        <w:rPr>
          <w:rFonts w:ascii="宋体" w:hAnsi="宋体"/>
          <w:color w:val="auto"/>
          <w:sz w:val="24"/>
          <w:highlight w:val="none"/>
        </w:rPr>
        <w:t>致：</w:t>
      </w:r>
      <w:r>
        <w:rPr>
          <w:rFonts w:hint="eastAsia" w:ascii="宋体" w:hAnsi="宋体"/>
          <w:color w:val="auto"/>
          <w:sz w:val="24"/>
          <w:highlight w:val="none"/>
          <w:u w:val="single"/>
        </w:rPr>
        <w:t>重庆国际复合材料股份有限公司</w:t>
      </w:r>
    </w:p>
    <w:p w14:paraId="0112EB22">
      <w:pPr>
        <w:rPr>
          <w:rFonts w:ascii="宋体" w:hAnsi="宋体"/>
          <w:color w:val="auto"/>
          <w:sz w:val="24"/>
          <w:highlight w:val="none"/>
        </w:rPr>
      </w:pPr>
    </w:p>
    <w:p w14:paraId="1B730A4F">
      <w:pPr>
        <w:pStyle w:val="38"/>
        <w:rPr>
          <w:rFonts w:ascii="宋体" w:hAnsi="宋体"/>
          <w:color w:val="auto"/>
          <w:highlight w:val="none"/>
        </w:rPr>
      </w:pPr>
      <w:r>
        <w:rPr>
          <w:rFonts w:ascii="宋体" w:hAnsi="宋体"/>
          <w:color w:val="auto"/>
          <w:highlight w:val="none"/>
        </w:rPr>
        <w:t>根据贵方</w:t>
      </w:r>
      <w:r>
        <w:rPr>
          <w:rFonts w:hint="eastAsia" w:ascii="宋体" w:hAnsi="宋体"/>
          <w:color w:val="auto"/>
          <w:highlight w:val="none"/>
          <w:u w:val="single"/>
          <w:lang w:val="en-US" w:eastAsia="zh-CN"/>
        </w:rPr>
        <w:t xml:space="preserve"> </w:t>
      </w:r>
      <w:r>
        <w:rPr>
          <w:rFonts w:hint="eastAsia" w:ascii="宋体" w:hAnsi="宋体"/>
          <w:color w:val="auto"/>
          <w:highlight w:val="none"/>
          <w:u w:val="single"/>
          <w:lang w:eastAsia="zh-CN"/>
        </w:rPr>
        <w:t>长寿厂区配电房及控制室增设火灾自动报警装置工程</w:t>
      </w:r>
      <w:r>
        <w:rPr>
          <w:rFonts w:hint="eastAsia" w:ascii="宋体" w:hAnsi="宋体"/>
          <w:color w:val="auto"/>
          <w:highlight w:val="none"/>
          <w:u w:val="single"/>
          <w:lang w:val="en-US" w:eastAsia="zh-CN"/>
        </w:rPr>
        <w:t xml:space="preserve"> </w:t>
      </w:r>
      <w:r>
        <w:rPr>
          <w:rFonts w:hint="eastAsia" w:ascii="宋体" w:hAnsi="宋体"/>
          <w:color w:val="auto"/>
          <w:highlight w:val="none"/>
          <w:lang w:eastAsia="zh-CN"/>
        </w:rPr>
        <w:t>谈判采购</w:t>
      </w:r>
      <w:r>
        <w:rPr>
          <w:rFonts w:ascii="宋体" w:hAnsi="宋体"/>
          <w:color w:val="auto"/>
          <w:highlight w:val="none"/>
        </w:rPr>
        <w:t>，</w:t>
      </w:r>
      <w:r>
        <w:rPr>
          <w:rFonts w:hint="eastAsia" w:ascii="宋体" w:hAnsi="宋体"/>
          <w:color w:val="auto"/>
          <w:highlight w:val="none"/>
          <w:lang w:eastAsia="zh-CN"/>
        </w:rPr>
        <w:t>谈判文件</w:t>
      </w:r>
      <w:r>
        <w:rPr>
          <w:rFonts w:ascii="宋体" w:hAnsi="宋体"/>
          <w:color w:val="auto"/>
          <w:highlight w:val="none"/>
        </w:rPr>
        <w:t>签字人</w:t>
      </w:r>
      <w:r>
        <w:rPr>
          <w:rFonts w:ascii="宋体" w:hAnsi="宋体"/>
          <w:color w:val="auto"/>
          <w:highlight w:val="none"/>
          <w:u w:val="single"/>
        </w:rPr>
        <w:t xml:space="preserve"> （</w:t>
      </w:r>
      <w:r>
        <w:rPr>
          <w:rFonts w:ascii="宋体" w:hAnsi="宋体"/>
          <w:i/>
          <w:color w:val="auto"/>
          <w:highlight w:val="none"/>
          <w:u w:val="single"/>
        </w:rPr>
        <w:t>姓名、职务</w:t>
      </w:r>
      <w:r>
        <w:rPr>
          <w:rFonts w:ascii="宋体" w:hAnsi="宋体"/>
          <w:color w:val="auto"/>
          <w:highlight w:val="none"/>
          <w:u w:val="single"/>
        </w:rPr>
        <w:t xml:space="preserve">） </w:t>
      </w:r>
      <w:r>
        <w:rPr>
          <w:rFonts w:ascii="宋体" w:hAnsi="宋体"/>
          <w:color w:val="auto"/>
          <w:highlight w:val="none"/>
        </w:rPr>
        <w:t>经正式授权并代表</w:t>
      </w:r>
      <w:r>
        <w:rPr>
          <w:rFonts w:ascii="宋体" w:hAnsi="宋体"/>
          <w:color w:val="auto"/>
          <w:highlight w:val="none"/>
          <w:u w:val="single"/>
        </w:rPr>
        <w:t>（</w:t>
      </w:r>
      <w:r>
        <w:rPr>
          <w:rFonts w:hint="eastAsia" w:ascii="宋体" w:hAnsi="宋体"/>
          <w:i/>
          <w:color w:val="auto"/>
          <w:highlight w:val="none"/>
          <w:u w:val="single"/>
          <w:lang w:eastAsia="zh-CN"/>
        </w:rPr>
        <w:t>报价人</w:t>
      </w:r>
      <w:r>
        <w:rPr>
          <w:rFonts w:ascii="宋体" w:hAnsi="宋体"/>
          <w:i/>
          <w:color w:val="auto"/>
          <w:highlight w:val="none"/>
          <w:u w:val="single"/>
        </w:rPr>
        <w:t>名称、地址</w:t>
      </w:r>
      <w:r>
        <w:rPr>
          <w:rFonts w:ascii="宋体" w:hAnsi="宋体"/>
          <w:color w:val="auto"/>
          <w:highlight w:val="none"/>
          <w:u w:val="single"/>
        </w:rPr>
        <w:t xml:space="preserve">） </w:t>
      </w:r>
      <w:r>
        <w:rPr>
          <w:rFonts w:ascii="宋体" w:hAnsi="宋体"/>
          <w:color w:val="auto"/>
          <w:highlight w:val="none"/>
        </w:rPr>
        <w:t>提交下述</w:t>
      </w:r>
      <w:r>
        <w:rPr>
          <w:rFonts w:hint="eastAsia" w:ascii="宋体" w:hAnsi="宋体"/>
          <w:color w:val="auto"/>
          <w:highlight w:val="none"/>
          <w:lang w:eastAsia="zh-CN"/>
        </w:rPr>
        <w:t>谈判文件</w:t>
      </w:r>
      <w:r>
        <w:rPr>
          <w:rFonts w:ascii="宋体" w:hAnsi="宋体"/>
          <w:color w:val="auto"/>
          <w:highlight w:val="none"/>
        </w:rPr>
        <w:t>正本一份、副本</w:t>
      </w:r>
      <w:r>
        <w:rPr>
          <w:rFonts w:hint="eastAsia" w:ascii="宋体" w:hAnsi="宋体"/>
          <w:color w:val="auto"/>
          <w:highlight w:val="none"/>
        </w:rPr>
        <w:t>一</w:t>
      </w:r>
      <w:r>
        <w:rPr>
          <w:rFonts w:ascii="宋体" w:hAnsi="宋体"/>
          <w:color w:val="auto"/>
          <w:highlight w:val="none"/>
        </w:rPr>
        <w:t>份</w:t>
      </w:r>
      <w:r>
        <w:rPr>
          <w:rFonts w:hint="eastAsia" w:ascii="宋体" w:hAnsi="宋体"/>
          <w:color w:val="auto"/>
          <w:highlight w:val="none"/>
        </w:rPr>
        <w:t>及</w:t>
      </w:r>
      <w:r>
        <w:rPr>
          <w:rFonts w:ascii="宋体" w:hAnsi="宋体"/>
          <w:color w:val="auto"/>
          <w:highlight w:val="none"/>
        </w:rPr>
        <w:t>电子文件一份</w:t>
      </w:r>
      <w:r>
        <w:rPr>
          <w:rFonts w:hint="eastAsia" w:ascii="宋体" w:hAnsi="宋体"/>
          <w:color w:val="auto"/>
          <w:highlight w:val="none"/>
        </w:rPr>
        <w:t>。</w:t>
      </w:r>
    </w:p>
    <w:p w14:paraId="0C51B02E">
      <w:pPr>
        <w:pStyle w:val="38"/>
        <w:numPr>
          <w:ilvl w:val="0"/>
          <w:numId w:val="3"/>
        </w:numPr>
        <w:ind w:firstLineChars="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基本情况表</w:t>
      </w:r>
    </w:p>
    <w:p w14:paraId="7BBB2E0E">
      <w:pPr>
        <w:pStyle w:val="38"/>
        <w:numPr>
          <w:ilvl w:val="0"/>
          <w:numId w:val="3"/>
        </w:numPr>
        <w:ind w:firstLineChars="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资格证明文件</w:t>
      </w:r>
    </w:p>
    <w:p w14:paraId="362B1A7B">
      <w:pPr>
        <w:pStyle w:val="38"/>
        <w:numPr>
          <w:ilvl w:val="0"/>
          <w:numId w:val="3"/>
        </w:numPr>
        <w:ind w:firstLineChars="0"/>
        <w:rPr>
          <w:rFonts w:ascii="宋体" w:hAnsi="宋体"/>
          <w:color w:val="auto"/>
          <w:highlight w:val="none"/>
        </w:rPr>
      </w:pPr>
      <w:r>
        <w:rPr>
          <w:rFonts w:hint="eastAsia" w:ascii="宋体" w:hAnsi="宋体"/>
          <w:color w:val="auto"/>
          <w:highlight w:val="none"/>
        </w:rPr>
        <w:t>对</w:t>
      </w:r>
      <w:r>
        <w:rPr>
          <w:rFonts w:hint="eastAsia" w:ascii="宋体" w:hAnsi="宋体"/>
          <w:color w:val="auto"/>
          <w:highlight w:val="none"/>
          <w:lang w:eastAsia="zh-CN"/>
        </w:rPr>
        <w:t>谈判采购文件</w:t>
      </w:r>
      <w:r>
        <w:rPr>
          <w:rFonts w:ascii="宋体" w:hAnsi="宋体"/>
          <w:color w:val="auto"/>
          <w:highlight w:val="none"/>
        </w:rPr>
        <w:t>第三</w:t>
      </w:r>
      <w:r>
        <w:rPr>
          <w:rFonts w:hint="eastAsia" w:ascii="宋体" w:hAnsi="宋体"/>
          <w:color w:val="auto"/>
          <w:highlight w:val="none"/>
        </w:rPr>
        <w:t>章</w:t>
      </w:r>
      <w:r>
        <w:rPr>
          <w:rFonts w:ascii="宋体" w:hAnsi="宋体"/>
          <w:color w:val="auto"/>
          <w:highlight w:val="none"/>
        </w:rPr>
        <w:t>“</w:t>
      </w:r>
      <w:r>
        <w:rPr>
          <w:rFonts w:hint="eastAsia" w:ascii="宋体" w:hAnsi="宋体"/>
          <w:color w:val="auto"/>
          <w:highlight w:val="none"/>
          <w:lang w:eastAsia="zh-CN"/>
        </w:rPr>
        <w:t>报价人</w:t>
      </w:r>
      <w:r>
        <w:rPr>
          <w:rFonts w:hint="eastAsia" w:ascii="宋体" w:hAnsi="宋体"/>
          <w:color w:val="auto"/>
          <w:highlight w:val="none"/>
        </w:rPr>
        <w:t>须知</w:t>
      </w:r>
      <w:r>
        <w:rPr>
          <w:rFonts w:ascii="宋体" w:hAnsi="宋体"/>
          <w:color w:val="auto"/>
          <w:highlight w:val="none"/>
        </w:rPr>
        <w:t>”</w:t>
      </w:r>
      <w:r>
        <w:rPr>
          <w:rFonts w:hint="eastAsia" w:ascii="宋体" w:hAnsi="宋体"/>
          <w:color w:val="auto"/>
          <w:highlight w:val="none"/>
        </w:rPr>
        <w:t>的</w:t>
      </w:r>
      <w:r>
        <w:rPr>
          <w:rFonts w:ascii="宋体" w:hAnsi="宋体"/>
          <w:color w:val="auto"/>
          <w:highlight w:val="none"/>
        </w:rPr>
        <w:t>响应文件</w:t>
      </w:r>
      <w:r>
        <w:rPr>
          <w:rFonts w:hint="eastAsia" w:ascii="宋体" w:hAnsi="宋体"/>
          <w:color w:val="auto"/>
          <w:highlight w:val="none"/>
        </w:rPr>
        <w:t xml:space="preserve">   </w:t>
      </w:r>
    </w:p>
    <w:p w14:paraId="1B1A76C2">
      <w:pPr>
        <w:pStyle w:val="38"/>
        <w:tabs>
          <w:tab w:val="left" w:pos="780"/>
        </w:tabs>
        <w:ind w:firstLine="0" w:firstLineChars="0"/>
        <w:rPr>
          <w:rFonts w:ascii="宋体" w:hAnsi="宋体"/>
          <w:color w:val="auto"/>
          <w:highlight w:val="none"/>
        </w:rPr>
      </w:pPr>
      <w:r>
        <w:rPr>
          <w:rFonts w:hint="eastAsia" w:ascii="宋体" w:hAnsi="宋体"/>
          <w:color w:val="auto"/>
          <w:highlight w:val="none"/>
        </w:rPr>
        <w:t>　　据此函</w:t>
      </w:r>
      <w:r>
        <w:rPr>
          <w:rFonts w:ascii="宋体" w:hAnsi="宋体"/>
          <w:color w:val="auto"/>
          <w:highlight w:val="none"/>
        </w:rPr>
        <w:t>，</w:t>
      </w:r>
      <w:r>
        <w:rPr>
          <w:rFonts w:hint="eastAsia" w:ascii="宋体" w:hAnsi="宋体"/>
          <w:color w:val="auto"/>
          <w:highlight w:val="none"/>
        </w:rPr>
        <w:t>签字</w:t>
      </w:r>
      <w:r>
        <w:rPr>
          <w:rFonts w:ascii="宋体" w:hAnsi="宋体"/>
          <w:color w:val="auto"/>
          <w:highlight w:val="none"/>
        </w:rPr>
        <w:t>代表宣布同意如下：</w:t>
      </w:r>
    </w:p>
    <w:p w14:paraId="4A0D873C">
      <w:pPr>
        <w:pStyle w:val="38"/>
        <w:tabs>
          <w:tab w:val="left" w:pos="780"/>
        </w:tabs>
        <w:ind w:firstLineChars="0"/>
        <w:rPr>
          <w:rFonts w:ascii="宋体" w:hAnsi="宋体"/>
          <w:color w:val="auto"/>
          <w:highlight w:val="none"/>
        </w:rPr>
      </w:pPr>
      <w:r>
        <w:rPr>
          <w:rFonts w:hint="eastAsia" w:ascii="宋体" w:hAnsi="宋体"/>
          <w:color w:val="auto"/>
          <w:highlight w:val="none"/>
        </w:rPr>
        <w:t>1、</w:t>
      </w:r>
      <w:r>
        <w:rPr>
          <w:rFonts w:ascii="宋体" w:hAnsi="宋体"/>
          <w:color w:val="auto"/>
          <w:highlight w:val="none"/>
        </w:rPr>
        <w:t>按</w:t>
      </w:r>
      <w:r>
        <w:rPr>
          <w:rFonts w:hint="eastAsia" w:ascii="宋体" w:hAnsi="宋体"/>
          <w:color w:val="auto"/>
          <w:highlight w:val="none"/>
          <w:lang w:eastAsia="zh-CN"/>
        </w:rPr>
        <w:t>谈判采购文件</w:t>
      </w:r>
      <w:r>
        <w:rPr>
          <w:rFonts w:ascii="宋体" w:hAnsi="宋体"/>
          <w:color w:val="auto"/>
          <w:highlight w:val="none"/>
        </w:rPr>
        <w:t>要求提交服务方案。</w:t>
      </w:r>
    </w:p>
    <w:p w14:paraId="38F88D09">
      <w:pPr>
        <w:pStyle w:val="38"/>
        <w:tabs>
          <w:tab w:val="left" w:pos="780"/>
        </w:tabs>
        <w:ind w:firstLineChars="0"/>
        <w:rPr>
          <w:rFonts w:ascii="宋体" w:hAnsi="宋体"/>
          <w:color w:val="auto"/>
          <w:highlight w:val="none"/>
        </w:rPr>
      </w:pPr>
      <w:r>
        <w:rPr>
          <w:rFonts w:hint="eastAsia" w:ascii="宋体" w:hAnsi="宋体"/>
          <w:color w:val="auto"/>
          <w:highlight w:val="none"/>
        </w:rPr>
        <w:t>2、</w:t>
      </w:r>
      <w:r>
        <w:rPr>
          <w:rFonts w:hint="eastAsia" w:ascii="宋体" w:hAnsi="宋体"/>
          <w:color w:val="auto"/>
          <w:highlight w:val="none"/>
          <w:lang w:eastAsia="zh-CN"/>
        </w:rPr>
        <w:t>报价人</w:t>
      </w:r>
      <w:r>
        <w:rPr>
          <w:rFonts w:ascii="宋体" w:hAnsi="宋体"/>
          <w:color w:val="auto"/>
          <w:highlight w:val="none"/>
        </w:rPr>
        <w:t>已详细审查全部</w:t>
      </w:r>
      <w:r>
        <w:rPr>
          <w:rFonts w:hint="eastAsia" w:ascii="宋体" w:hAnsi="宋体"/>
          <w:color w:val="auto"/>
          <w:highlight w:val="none"/>
          <w:lang w:eastAsia="zh-CN"/>
        </w:rPr>
        <w:t>谈判采购文件</w:t>
      </w:r>
      <w:r>
        <w:rPr>
          <w:rFonts w:ascii="宋体" w:hAnsi="宋体"/>
          <w:color w:val="auto"/>
          <w:highlight w:val="none"/>
        </w:rPr>
        <w:t>，包括修改文件（</w:t>
      </w:r>
      <w:r>
        <w:rPr>
          <w:rFonts w:hint="eastAsia" w:ascii="宋体" w:hAnsi="宋体"/>
          <w:color w:val="auto"/>
          <w:highlight w:val="none"/>
        </w:rPr>
        <w:t>如有</w:t>
      </w:r>
      <w:r>
        <w:rPr>
          <w:rFonts w:ascii="宋体" w:hAnsi="宋体"/>
          <w:color w:val="auto"/>
          <w:highlight w:val="none"/>
        </w:rPr>
        <w:t>的话）</w:t>
      </w:r>
      <w:r>
        <w:rPr>
          <w:rFonts w:hint="eastAsia" w:ascii="宋体" w:hAnsi="宋体"/>
          <w:color w:val="auto"/>
          <w:highlight w:val="none"/>
        </w:rPr>
        <w:t>以及</w:t>
      </w:r>
      <w:r>
        <w:rPr>
          <w:rFonts w:ascii="宋体" w:hAnsi="宋体"/>
          <w:color w:val="auto"/>
          <w:highlight w:val="none"/>
        </w:rPr>
        <w:t>全部参考资料和有关附件。</w:t>
      </w:r>
      <w:r>
        <w:rPr>
          <w:rFonts w:hint="eastAsia" w:ascii="宋体" w:hAnsi="宋体"/>
          <w:color w:val="auto"/>
          <w:highlight w:val="none"/>
        </w:rPr>
        <w:t>我们完全</w:t>
      </w:r>
      <w:r>
        <w:rPr>
          <w:rFonts w:ascii="宋体" w:hAnsi="宋体"/>
          <w:color w:val="auto"/>
          <w:highlight w:val="none"/>
        </w:rPr>
        <w:t>理解并同意放弃对</w:t>
      </w:r>
      <w:r>
        <w:rPr>
          <w:rFonts w:hint="eastAsia" w:ascii="宋体" w:hAnsi="宋体"/>
          <w:color w:val="auto"/>
          <w:highlight w:val="none"/>
        </w:rPr>
        <w:t>这</w:t>
      </w:r>
      <w:r>
        <w:rPr>
          <w:rFonts w:ascii="宋体" w:hAnsi="宋体"/>
          <w:color w:val="auto"/>
          <w:highlight w:val="none"/>
        </w:rPr>
        <w:t>方面有不明</w:t>
      </w:r>
      <w:r>
        <w:rPr>
          <w:rFonts w:hint="eastAsia" w:ascii="宋体" w:hAnsi="宋体"/>
          <w:color w:val="auto"/>
          <w:highlight w:val="none"/>
        </w:rPr>
        <w:t>及</w:t>
      </w:r>
      <w:r>
        <w:rPr>
          <w:rFonts w:ascii="宋体" w:hAnsi="宋体"/>
          <w:color w:val="auto"/>
          <w:highlight w:val="none"/>
        </w:rPr>
        <w:t>误解的</w:t>
      </w:r>
      <w:r>
        <w:rPr>
          <w:rFonts w:hint="eastAsia" w:ascii="宋体" w:hAnsi="宋体"/>
          <w:color w:val="auto"/>
          <w:highlight w:val="none"/>
        </w:rPr>
        <w:t>权利</w:t>
      </w:r>
      <w:r>
        <w:rPr>
          <w:rFonts w:ascii="宋体" w:hAnsi="宋体"/>
          <w:color w:val="auto"/>
          <w:highlight w:val="none"/>
        </w:rPr>
        <w:t>。</w:t>
      </w:r>
    </w:p>
    <w:p w14:paraId="6BC32075">
      <w:pPr>
        <w:pStyle w:val="38"/>
        <w:numPr>
          <w:ilvl w:val="0"/>
          <w:numId w:val="4"/>
        </w:numPr>
        <w:tabs>
          <w:tab w:val="left" w:pos="780"/>
        </w:tabs>
        <w:ind w:firstLineChars="0"/>
        <w:rPr>
          <w:rFonts w:ascii="宋体" w:hAnsi="宋体"/>
          <w:color w:val="auto"/>
          <w:highlight w:val="none"/>
        </w:rPr>
      </w:pPr>
      <w:r>
        <w:rPr>
          <w:rFonts w:hint="eastAsia" w:ascii="宋体" w:hAnsi="宋体"/>
          <w:color w:val="auto"/>
          <w:highlight w:val="none"/>
        </w:rPr>
        <w:t>本</w:t>
      </w:r>
      <w:r>
        <w:rPr>
          <w:rFonts w:hint="eastAsia" w:ascii="宋体" w:hAnsi="宋体"/>
          <w:color w:val="auto"/>
          <w:highlight w:val="none"/>
          <w:lang w:eastAsia="zh-CN"/>
        </w:rPr>
        <w:t>谈判文件</w:t>
      </w:r>
      <w:r>
        <w:rPr>
          <w:rFonts w:ascii="宋体" w:hAnsi="宋体"/>
          <w:color w:val="auto"/>
          <w:highlight w:val="none"/>
        </w:rPr>
        <w:t>自</w:t>
      </w:r>
      <w:r>
        <w:rPr>
          <w:rFonts w:hint="eastAsia" w:ascii="宋体" w:hAnsi="宋体"/>
          <w:color w:val="auto"/>
          <w:highlight w:val="none"/>
        </w:rPr>
        <w:t>投递截止</w:t>
      </w:r>
      <w:r>
        <w:rPr>
          <w:rFonts w:ascii="宋体" w:hAnsi="宋体"/>
          <w:color w:val="auto"/>
          <w:highlight w:val="none"/>
        </w:rPr>
        <w:t>之日起</w:t>
      </w:r>
      <w:r>
        <w:rPr>
          <w:rFonts w:hint="eastAsia" w:ascii="宋体" w:hAnsi="宋体"/>
          <w:color w:val="auto"/>
          <w:highlight w:val="none"/>
        </w:rPr>
        <w:t>有效期</w:t>
      </w:r>
      <w:r>
        <w:rPr>
          <w:rFonts w:ascii="宋体" w:hAnsi="宋体"/>
          <w:color w:val="auto"/>
          <w:highlight w:val="none"/>
        </w:rPr>
        <w:t>为</w:t>
      </w:r>
      <w:r>
        <w:rPr>
          <w:rFonts w:hint="eastAsia" w:ascii="宋体" w:hAnsi="宋体"/>
          <w:color w:val="auto"/>
          <w:highlight w:val="none"/>
        </w:rPr>
        <w:t>90天</w:t>
      </w:r>
      <w:r>
        <w:rPr>
          <w:rFonts w:ascii="宋体" w:hAnsi="宋体"/>
          <w:color w:val="auto"/>
          <w:highlight w:val="none"/>
        </w:rPr>
        <w:t>。</w:t>
      </w:r>
    </w:p>
    <w:p w14:paraId="6428078A">
      <w:pPr>
        <w:pStyle w:val="38"/>
        <w:tabs>
          <w:tab w:val="left" w:pos="780"/>
        </w:tabs>
        <w:ind w:firstLineChars="0"/>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hint="eastAsia" w:ascii="宋体" w:hAnsi="宋体"/>
          <w:color w:val="auto"/>
          <w:highlight w:val="none"/>
          <w:lang w:eastAsia="zh-CN"/>
        </w:rPr>
        <w:t>报价人</w:t>
      </w:r>
      <w:r>
        <w:rPr>
          <w:rFonts w:hint="eastAsia" w:ascii="宋体" w:hAnsi="宋体"/>
          <w:color w:val="auto"/>
          <w:highlight w:val="none"/>
        </w:rPr>
        <w:t>已</w:t>
      </w:r>
      <w:r>
        <w:rPr>
          <w:rFonts w:ascii="宋体" w:hAnsi="宋体"/>
          <w:color w:val="auto"/>
          <w:highlight w:val="none"/>
        </w:rPr>
        <w:t>提供按照贵方可能要求的与其</w:t>
      </w:r>
      <w:r>
        <w:rPr>
          <w:rFonts w:hint="eastAsia" w:ascii="宋体" w:hAnsi="宋体"/>
          <w:color w:val="auto"/>
          <w:highlight w:val="none"/>
          <w:lang w:eastAsia="zh-CN"/>
        </w:rPr>
        <w:t>谈判采购</w:t>
      </w:r>
      <w:r>
        <w:rPr>
          <w:rFonts w:ascii="宋体" w:hAnsi="宋体"/>
          <w:color w:val="auto"/>
          <w:highlight w:val="none"/>
        </w:rPr>
        <w:t>有关的一切数据或资料，完全理解贵方不一定接</w:t>
      </w:r>
      <w:r>
        <w:rPr>
          <w:rFonts w:hint="eastAsia" w:ascii="宋体" w:hAnsi="宋体"/>
          <w:color w:val="auto"/>
          <w:highlight w:val="none"/>
        </w:rPr>
        <w:t>受</w:t>
      </w:r>
      <w:r>
        <w:rPr>
          <w:rFonts w:ascii="宋体" w:hAnsi="宋体"/>
          <w:color w:val="auto"/>
          <w:highlight w:val="none"/>
        </w:rPr>
        <w:t>最低报价或收到的任何</w:t>
      </w:r>
      <w:r>
        <w:rPr>
          <w:rFonts w:hint="eastAsia" w:ascii="宋体" w:hAnsi="宋体"/>
          <w:color w:val="auto"/>
          <w:highlight w:val="none"/>
          <w:lang w:eastAsia="zh-CN"/>
        </w:rPr>
        <w:t>谈判文件</w:t>
      </w:r>
      <w:r>
        <w:rPr>
          <w:rFonts w:ascii="宋体" w:hAnsi="宋体"/>
          <w:color w:val="auto"/>
          <w:highlight w:val="none"/>
        </w:rPr>
        <w:t>。</w:t>
      </w:r>
    </w:p>
    <w:p w14:paraId="406E3618">
      <w:pPr>
        <w:pStyle w:val="38"/>
        <w:tabs>
          <w:tab w:val="left" w:pos="780"/>
        </w:tabs>
        <w:ind w:firstLineChars="0"/>
        <w:rPr>
          <w:rFonts w:ascii="宋体" w:hAnsi="宋体"/>
          <w:color w:val="auto"/>
          <w:highlight w:val="none"/>
        </w:rPr>
      </w:pPr>
      <w:r>
        <w:rPr>
          <w:rFonts w:ascii="宋体" w:hAnsi="宋体"/>
          <w:color w:val="auto"/>
          <w:highlight w:val="none"/>
        </w:rPr>
        <w:t>5</w:t>
      </w:r>
      <w:r>
        <w:rPr>
          <w:rFonts w:hint="eastAsia" w:ascii="宋体" w:hAnsi="宋体"/>
          <w:color w:val="auto"/>
          <w:highlight w:val="none"/>
        </w:rPr>
        <w:t>、与</w:t>
      </w:r>
      <w:r>
        <w:rPr>
          <w:rFonts w:ascii="宋体" w:hAnsi="宋体"/>
          <w:color w:val="auto"/>
          <w:highlight w:val="none"/>
        </w:rPr>
        <w:t>本</w:t>
      </w:r>
      <w:r>
        <w:rPr>
          <w:rFonts w:hint="eastAsia" w:ascii="宋体" w:hAnsi="宋体"/>
          <w:color w:val="auto"/>
          <w:highlight w:val="none"/>
          <w:lang w:eastAsia="zh-CN"/>
        </w:rPr>
        <w:t>谈判采购</w:t>
      </w:r>
      <w:r>
        <w:rPr>
          <w:rFonts w:ascii="宋体" w:hAnsi="宋体"/>
          <w:color w:val="auto"/>
          <w:highlight w:val="none"/>
        </w:rPr>
        <w:t>有关的一切正式往来通讯请寄：</w:t>
      </w:r>
    </w:p>
    <w:p w14:paraId="485045B9">
      <w:pPr>
        <w:pStyle w:val="38"/>
        <w:rPr>
          <w:rFonts w:ascii="宋体" w:hAnsi="宋体"/>
          <w:color w:val="auto"/>
          <w:highlight w:val="none"/>
        </w:rPr>
      </w:pPr>
      <w:r>
        <w:rPr>
          <w:rFonts w:ascii="宋体" w:hAnsi="宋体"/>
          <w:color w:val="auto"/>
          <w:highlight w:val="none"/>
        </w:rPr>
        <w:t>地    址：</w:t>
      </w:r>
      <w:r>
        <w:rPr>
          <w:rFonts w:ascii="宋体" w:hAnsi="宋体"/>
          <w:color w:val="auto"/>
          <w:highlight w:val="none"/>
          <w:u w:val="single"/>
        </w:rPr>
        <w:t xml:space="preserve">                     </w:t>
      </w:r>
      <w:r>
        <w:rPr>
          <w:rFonts w:ascii="宋体" w:hAnsi="宋体"/>
          <w:color w:val="auto"/>
          <w:highlight w:val="none"/>
        </w:rPr>
        <w:t>邮政编码：</w:t>
      </w:r>
      <w:r>
        <w:rPr>
          <w:rFonts w:ascii="宋体" w:hAnsi="宋体"/>
          <w:color w:val="auto"/>
          <w:highlight w:val="none"/>
          <w:u w:val="single"/>
        </w:rPr>
        <w:t xml:space="preserve">                      </w:t>
      </w:r>
    </w:p>
    <w:p w14:paraId="657A4D1D">
      <w:pPr>
        <w:pStyle w:val="38"/>
        <w:rPr>
          <w:rFonts w:ascii="宋体" w:hAnsi="宋体"/>
          <w:color w:val="auto"/>
          <w:highlight w:val="none"/>
        </w:rPr>
      </w:pPr>
      <w:r>
        <w:rPr>
          <w:rFonts w:ascii="宋体" w:hAnsi="宋体"/>
          <w:color w:val="auto"/>
          <w:highlight w:val="none"/>
        </w:rPr>
        <w:t>电话号码：</w:t>
      </w:r>
      <w:r>
        <w:rPr>
          <w:rFonts w:ascii="宋体" w:hAnsi="宋体"/>
          <w:color w:val="auto"/>
          <w:highlight w:val="none"/>
          <w:u w:val="single"/>
        </w:rPr>
        <w:t xml:space="preserve">                     </w:t>
      </w:r>
      <w:r>
        <w:rPr>
          <w:rFonts w:ascii="宋体" w:hAnsi="宋体"/>
          <w:color w:val="auto"/>
          <w:highlight w:val="none"/>
        </w:rPr>
        <w:t>传真号码：</w:t>
      </w:r>
      <w:r>
        <w:rPr>
          <w:rFonts w:ascii="宋体" w:hAnsi="宋体"/>
          <w:color w:val="auto"/>
          <w:highlight w:val="none"/>
          <w:u w:val="single"/>
        </w:rPr>
        <w:t xml:space="preserve">                      </w:t>
      </w:r>
    </w:p>
    <w:p w14:paraId="41079BDA">
      <w:pPr>
        <w:pStyle w:val="38"/>
        <w:rPr>
          <w:rFonts w:ascii="宋体" w:hAnsi="宋体"/>
          <w:color w:val="auto"/>
          <w:highlight w:val="none"/>
        </w:rPr>
      </w:pPr>
      <w:r>
        <w:rPr>
          <w:rFonts w:ascii="宋体" w:hAnsi="宋体"/>
          <w:color w:val="auto"/>
          <w:highlight w:val="none"/>
        </w:rPr>
        <w:t>电子邮件：</w:t>
      </w:r>
      <w:r>
        <w:rPr>
          <w:rFonts w:ascii="宋体" w:hAnsi="宋体"/>
          <w:color w:val="auto"/>
          <w:highlight w:val="none"/>
          <w:u w:val="single"/>
        </w:rPr>
        <w:t xml:space="preserve">                             </w:t>
      </w:r>
    </w:p>
    <w:p w14:paraId="4711CB52">
      <w:pPr>
        <w:pStyle w:val="38"/>
        <w:spacing w:line="480" w:lineRule="auto"/>
        <w:ind w:firstLine="3120" w:firstLineChars="1300"/>
        <w:rPr>
          <w:rFonts w:ascii="宋体" w:hAnsi="宋体"/>
          <w:color w:val="auto"/>
          <w:highlight w:val="none"/>
        </w:rPr>
      </w:pPr>
      <w:r>
        <w:rPr>
          <w:rFonts w:ascii="宋体" w:hAnsi="宋体"/>
          <w:color w:val="auto"/>
          <w:highlight w:val="none"/>
        </w:rPr>
        <w:t xml:space="preserve">授权代表签字：                         </w:t>
      </w:r>
    </w:p>
    <w:p w14:paraId="57082EB2">
      <w:pPr>
        <w:pStyle w:val="38"/>
        <w:spacing w:line="480" w:lineRule="auto"/>
        <w:ind w:firstLine="3360" w:firstLineChars="140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名称：              （加盖公章）</w:t>
      </w:r>
    </w:p>
    <w:p w14:paraId="7507061F">
      <w:pPr>
        <w:pStyle w:val="38"/>
        <w:spacing w:line="480" w:lineRule="auto"/>
        <w:ind w:firstLine="6960" w:firstLineChars="2900"/>
        <w:rPr>
          <w:rFonts w:ascii="宋体" w:hAnsi="宋体"/>
          <w:color w:val="auto"/>
          <w:highlight w:val="none"/>
        </w:rPr>
      </w:pPr>
      <w:r>
        <w:rPr>
          <w:rFonts w:ascii="宋体" w:hAnsi="宋体"/>
          <w:color w:val="auto"/>
          <w:highlight w:val="none"/>
        </w:rPr>
        <w:t>日期：</w:t>
      </w:r>
      <w:r>
        <w:rPr>
          <w:rFonts w:hint="eastAsia" w:ascii="宋体" w:hAnsi="宋体"/>
          <w:color w:val="auto"/>
          <w:highlight w:val="none"/>
        </w:rPr>
        <w:t xml:space="preserve">  </w:t>
      </w:r>
    </w:p>
    <w:p w14:paraId="2549CDF7">
      <w:pPr>
        <w:spacing w:line="480" w:lineRule="auto"/>
        <w:ind w:firstLine="7590" w:firstLineChars="2700"/>
        <w:rPr>
          <w:rFonts w:ascii="宋体" w:hAnsi="宋体"/>
          <w:b/>
          <w:color w:val="auto"/>
          <w:kern w:val="0"/>
          <w:sz w:val="28"/>
          <w:szCs w:val="28"/>
          <w:highlight w:val="none"/>
        </w:rPr>
      </w:pPr>
      <w:r>
        <w:rPr>
          <w:rFonts w:ascii="宋体" w:hAnsi="宋体"/>
          <w:b/>
          <w:color w:val="auto"/>
          <w:kern w:val="0"/>
          <w:sz w:val="28"/>
          <w:szCs w:val="28"/>
          <w:highlight w:val="none"/>
        </w:rPr>
        <w:br w:type="page"/>
      </w:r>
    </w:p>
    <w:p w14:paraId="38D761C5">
      <w:pPr>
        <w:pStyle w:val="38"/>
        <w:spacing w:line="480" w:lineRule="auto"/>
        <w:ind w:firstLine="643"/>
        <w:jc w:val="center"/>
        <w:rPr>
          <w:rFonts w:ascii="宋体" w:hAnsi="宋体"/>
          <w:b/>
          <w:color w:val="auto"/>
          <w:kern w:val="0"/>
          <w:sz w:val="32"/>
          <w:highlight w:val="none"/>
        </w:rPr>
      </w:pPr>
      <w:r>
        <w:rPr>
          <w:rFonts w:hint="eastAsia" w:ascii="宋体" w:hAnsi="宋体"/>
          <w:b/>
          <w:color w:val="auto"/>
          <w:kern w:val="0"/>
          <w:sz w:val="32"/>
          <w:highlight w:val="none"/>
        </w:rPr>
        <w:t>附件</w:t>
      </w:r>
      <w:r>
        <w:rPr>
          <w:rFonts w:ascii="宋体" w:hAnsi="宋体"/>
          <w:b/>
          <w:color w:val="auto"/>
          <w:kern w:val="0"/>
          <w:sz w:val="32"/>
          <w:highlight w:val="none"/>
        </w:rPr>
        <w:t xml:space="preserve">2  </w:t>
      </w:r>
      <w:r>
        <w:rPr>
          <w:rFonts w:hint="eastAsia" w:ascii="宋体" w:hAnsi="宋体"/>
          <w:b/>
          <w:color w:val="auto"/>
          <w:kern w:val="0"/>
          <w:sz w:val="32"/>
          <w:highlight w:val="none"/>
        </w:rPr>
        <w:t>法定代表人授权书</w:t>
      </w:r>
    </w:p>
    <w:p w14:paraId="6E4B615E">
      <w:pPr>
        <w:pStyle w:val="38"/>
        <w:spacing w:line="480" w:lineRule="auto"/>
        <w:ind w:firstLine="482"/>
        <w:jc w:val="center"/>
        <w:rPr>
          <w:rFonts w:ascii="宋体" w:hAnsi="宋体"/>
          <w:b/>
          <w:color w:val="auto"/>
          <w:kern w:val="0"/>
          <w:highlight w:val="none"/>
        </w:rPr>
      </w:pPr>
    </w:p>
    <w:p w14:paraId="7383CA72">
      <w:pPr>
        <w:spacing w:line="480" w:lineRule="auto"/>
        <w:ind w:firstLine="480" w:firstLineChars="200"/>
        <w:jc w:val="left"/>
        <w:rPr>
          <w:rFonts w:ascii="宋体" w:hAnsi="宋体"/>
          <w:color w:val="auto"/>
          <w:sz w:val="24"/>
          <w:highlight w:val="none"/>
        </w:rPr>
      </w:pPr>
      <w:r>
        <w:rPr>
          <w:rFonts w:hint="eastAsia" w:ascii="宋体" w:hAnsi="宋体"/>
          <w:color w:val="auto"/>
          <w:sz w:val="24"/>
          <w:highlight w:val="none"/>
        </w:rPr>
        <w:t>本授权书声明：注册于</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lang w:eastAsia="zh-CN"/>
        </w:rPr>
        <w:t>报价人</w:t>
      </w:r>
      <w:r>
        <w:rPr>
          <w:rFonts w:hint="eastAsia" w:ascii="宋体" w:hAnsi="宋体"/>
          <w:i/>
          <w:color w:val="auto"/>
          <w:sz w:val="24"/>
          <w:highlight w:val="none"/>
        </w:rPr>
        <w:t>注册地址</w:t>
      </w:r>
      <w:r>
        <w:rPr>
          <w:rFonts w:hint="eastAsia" w:ascii="宋体" w:hAnsi="宋体"/>
          <w:color w:val="auto"/>
          <w:sz w:val="24"/>
          <w:highlight w:val="none"/>
        </w:rPr>
        <w:t>）的（</w:t>
      </w:r>
      <w:r>
        <w:rPr>
          <w:rFonts w:hint="eastAsia" w:ascii="宋体" w:hAnsi="宋体"/>
          <w:i/>
          <w:color w:val="auto"/>
          <w:sz w:val="24"/>
          <w:highlight w:val="none"/>
          <w:lang w:eastAsia="zh-CN"/>
        </w:rPr>
        <w:t>报价人</w:t>
      </w:r>
      <w:r>
        <w:rPr>
          <w:rFonts w:hint="eastAsia" w:ascii="宋体" w:hAnsi="宋体"/>
          <w:i/>
          <w:color w:val="auto"/>
          <w:sz w:val="24"/>
          <w:highlight w:val="none"/>
        </w:rPr>
        <w:t>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的（</w:t>
      </w:r>
      <w:r>
        <w:rPr>
          <w:rFonts w:hint="eastAsia" w:ascii="宋体" w:hAnsi="宋体"/>
          <w:i/>
          <w:color w:val="auto"/>
          <w:sz w:val="24"/>
          <w:highlight w:val="none"/>
        </w:rPr>
        <w:t>法定代表人姓名、职务</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授权 （</w:t>
      </w:r>
      <w:r>
        <w:rPr>
          <w:rFonts w:hint="eastAsia" w:ascii="宋体" w:hAnsi="宋体"/>
          <w:i/>
          <w:color w:val="auto"/>
          <w:sz w:val="24"/>
          <w:highlight w:val="none"/>
        </w:rPr>
        <w:t>单位名称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的</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rPr>
        <w:t>被授权人的姓名、职务</w:t>
      </w:r>
      <w:r>
        <w:rPr>
          <w:rFonts w:hint="eastAsia" w:ascii="宋体" w:hAnsi="宋体"/>
          <w:color w:val="auto"/>
          <w:sz w:val="24"/>
          <w:highlight w:val="none"/>
        </w:rPr>
        <w:t>）为</w:t>
      </w:r>
      <w:r>
        <w:rPr>
          <w:rFonts w:ascii="宋体" w:hAnsi="宋体"/>
          <w:color w:val="auto"/>
          <w:sz w:val="24"/>
          <w:highlight w:val="none"/>
        </w:rPr>
        <w:t>(</w:t>
      </w:r>
      <w:r>
        <w:rPr>
          <w:rFonts w:hint="eastAsia" w:ascii="宋体" w:hAnsi="宋体"/>
          <w:i/>
          <w:color w:val="auto"/>
          <w:sz w:val="24"/>
          <w:highlight w:val="none"/>
          <w:lang w:eastAsia="zh-CN"/>
        </w:rPr>
        <w:t>报价人</w:t>
      </w:r>
      <w:r>
        <w:rPr>
          <w:rFonts w:hint="eastAsia" w:ascii="宋体" w:hAnsi="宋体"/>
          <w:i/>
          <w:color w:val="auto"/>
          <w:sz w:val="24"/>
          <w:highlight w:val="none"/>
        </w:rPr>
        <w:t>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 xml:space="preserve">的合法代理人，就 </w:t>
      </w:r>
      <w:r>
        <w:rPr>
          <w:rFonts w:hint="eastAsia" w:ascii="宋体" w:hAnsi="宋体"/>
          <w:color w:val="auto"/>
          <w:kern w:val="0"/>
          <w:sz w:val="24"/>
          <w:highlight w:val="none"/>
          <w:u w:val="single"/>
        </w:rPr>
        <w:t>重庆国际复合材料股份有限公司</w:t>
      </w:r>
      <w:r>
        <w:rPr>
          <w:rFonts w:hint="eastAsia" w:ascii="宋体" w:hAnsi="宋体"/>
          <w:color w:val="auto"/>
          <w:kern w:val="0"/>
          <w:sz w:val="24"/>
          <w:highlight w:val="none"/>
          <w:u w:val="single"/>
          <w:lang w:val="en-US" w:eastAsia="zh-CN"/>
        </w:rPr>
        <w:t>长寿厂区配电房及控制室增设火灾自动报警装置工程</w:t>
      </w:r>
      <w:r>
        <w:rPr>
          <w:rFonts w:hint="eastAsia" w:ascii="宋体" w:hAnsi="宋体"/>
          <w:color w:val="auto"/>
          <w:kern w:val="0"/>
          <w:sz w:val="24"/>
          <w:highlight w:val="none"/>
          <w:u w:val="single"/>
        </w:rPr>
        <w:t xml:space="preserve"> </w:t>
      </w:r>
      <w:r>
        <w:rPr>
          <w:rFonts w:hint="eastAsia" w:ascii="宋体" w:hAnsi="宋体" w:cs="Arial"/>
          <w:color w:val="auto"/>
          <w:sz w:val="24"/>
          <w:highlight w:val="none"/>
        </w:rPr>
        <w:t>的</w:t>
      </w:r>
      <w:r>
        <w:rPr>
          <w:rFonts w:hint="eastAsia" w:ascii="宋体" w:hAnsi="宋体"/>
          <w:color w:val="auto"/>
          <w:sz w:val="24"/>
          <w:highlight w:val="none"/>
          <w:lang w:eastAsia="zh-CN"/>
        </w:rPr>
        <w:t>谈判采购</w:t>
      </w:r>
      <w:r>
        <w:rPr>
          <w:rFonts w:hint="eastAsia" w:ascii="宋体" w:hAnsi="宋体"/>
          <w:color w:val="auto"/>
          <w:sz w:val="24"/>
          <w:highlight w:val="none"/>
        </w:rPr>
        <w:t>，以</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lang w:eastAsia="zh-CN"/>
        </w:rPr>
        <w:t>报价人</w:t>
      </w:r>
      <w:r>
        <w:rPr>
          <w:rFonts w:hint="eastAsia" w:ascii="宋体" w:hAnsi="宋体"/>
          <w:i/>
          <w:color w:val="auto"/>
          <w:sz w:val="24"/>
          <w:highlight w:val="none"/>
        </w:rPr>
        <w:t>名称</w:t>
      </w:r>
      <w:r>
        <w:rPr>
          <w:rFonts w:hint="eastAsia" w:ascii="宋体" w:hAnsi="宋体"/>
          <w:color w:val="auto"/>
          <w:sz w:val="24"/>
          <w:highlight w:val="none"/>
        </w:rPr>
        <w:t>）的名义处理一切与之有关的事务。被授权人无转委托权。</w:t>
      </w:r>
    </w:p>
    <w:p w14:paraId="7F213EE3">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本授权书于</w:t>
      </w:r>
      <w:r>
        <w:rPr>
          <w:rFonts w:ascii="宋体" w:hAnsi="宋体"/>
          <w:color w:val="auto"/>
          <w:sz w:val="24"/>
          <w:highlight w:val="none"/>
          <w:u w:val="single"/>
        </w:rPr>
        <w:t xml:space="preserve">      </w:t>
      </w:r>
      <w:r>
        <w:rPr>
          <w:rFonts w:hint="eastAsia" w:ascii="宋体" w:hAnsi="宋体"/>
          <w:color w:val="auto"/>
          <w:sz w:val="24"/>
          <w:highlight w:val="none"/>
        </w:rPr>
        <w:t>年</w:t>
      </w:r>
      <w:r>
        <w:rPr>
          <w:rFonts w:ascii="宋体" w:hAnsi="宋体"/>
          <w:color w:val="auto"/>
          <w:sz w:val="24"/>
          <w:highlight w:val="none"/>
          <w:u w:val="single"/>
        </w:rPr>
        <w:t xml:space="preserve">      </w:t>
      </w:r>
      <w:r>
        <w:rPr>
          <w:rFonts w:hint="eastAsia" w:ascii="宋体" w:hAnsi="宋体"/>
          <w:color w:val="auto"/>
          <w:sz w:val="24"/>
          <w:highlight w:val="none"/>
        </w:rPr>
        <w:t>月</w:t>
      </w:r>
      <w:r>
        <w:rPr>
          <w:rFonts w:ascii="宋体" w:hAnsi="宋体"/>
          <w:color w:val="auto"/>
          <w:sz w:val="24"/>
          <w:highlight w:val="none"/>
          <w:u w:val="single"/>
        </w:rPr>
        <w:t xml:space="preserve">      </w:t>
      </w:r>
      <w:r>
        <w:rPr>
          <w:rFonts w:hint="eastAsia" w:ascii="宋体" w:hAnsi="宋体"/>
          <w:color w:val="auto"/>
          <w:sz w:val="24"/>
          <w:highlight w:val="none"/>
        </w:rPr>
        <w:t>日签字生效。</w:t>
      </w:r>
    </w:p>
    <w:p w14:paraId="767C8172">
      <w:pPr>
        <w:spacing w:line="480" w:lineRule="auto"/>
        <w:rPr>
          <w:rFonts w:ascii="宋体" w:hAnsi="宋体"/>
          <w:color w:val="auto"/>
          <w:sz w:val="24"/>
          <w:highlight w:val="none"/>
        </w:rPr>
      </w:pPr>
    </w:p>
    <w:p w14:paraId="726DDC7B">
      <w:pPr>
        <w:spacing w:line="480" w:lineRule="auto"/>
        <w:rPr>
          <w:rFonts w:ascii="宋体" w:hAnsi="宋体"/>
          <w:color w:val="auto"/>
          <w:sz w:val="24"/>
          <w:highlight w:val="none"/>
          <w:u w:val="single"/>
        </w:rPr>
      </w:pPr>
      <w:r>
        <w:rPr>
          <w:rFonts w:hint="eastAsia" w:ascii="宋体" w:hAnsi="宋体"/>
          <w:color w:val="auto"/>
          <w:sz w:val="24"/>
          <w:highlight w:val="none"/>
        </w:rPr>
        <w:t>法定代表人签字：</w:t>
      </w:r>
      <w:r>
        <w:rPr>
          <w:rFonts w:hint="eastAsia" w:ascii="宋体" w:hAnsi="宋体"/>
          <w:color w:val="auto"/>
          <w:sz w:val="24"/>
          <w:highlight w:val="none"/>
          <w:u w:val="single"/>
        </w:rPr>
        <w:t xml:space="preserve">                            </w:t>
      </w:r>
    </w:p>
    <w:p w14:paraId="315E4754">
      <w:pPr>
        <w:spacing w:line="480" w:lineRule="auto"/>
        <w:rPr>
          <w:rFonts w:ascii="宋体" w:hAnsi="宋体"/>
          <w:color w:val="auto"/>
          <w:sz w:val="24"/>
          <w:highlight w:val="none"/>
          <w:u w:val="single"/>
        </w:rPr>
      </w:pPr>
      <w:r>
        <w:rPr>
          <w:rFonts w:hint="eastAsia" w:ascii="宋体" w:hAnsi="宋体"/>
          <w:color w:val="auto"/>
          <w:sz w:val="24"/>
          <w:highlight w:val="none"/>
        </w:rPr>
        <w:t>被授权人签字：</w:t>
      </w:r>
      <w:r>
        <w:rPr>
          <w:rFonts w:hint="eastAsia" w:ascii="宋体" w:hAnsi="宋体"/>
          <w:color w:val="auto"/>
          <w:sz w:val="24"/>
          <w:highlight w:val="none"/>
          <w:u w:val="single"/>
        </w:rPr>
        <w:t xml:space="preserve">                              </w:t>
      </w:r>
    </w:p>
    <w:p w14:paraId="2E5FB047">
      <w:pPr>
        <w:rPr>
          <w:rFonts w:ascii="宋体" w:hAnsi="宋体"/>
          <w:color w:val="auto"/>
          <w:highlight w:val="none"/>
        </w:rPr>
      </w:pPr>
    </w:p>
    <w:p w14:paraId="44E0F070">
      <w:pPr>
        <w:spacing w:line="360" w:lineRule="auto"/>
        <w:rPr>
          <w:rFonts w:ascii="宋体" w:hAnsi="宋体"/>
          <w:color w:val="auto"/>
          <w:sz w:val="24"/>
          <w:highlight w:val="none"/>
        </w:rPr>
      </w:pPr>
      <w:r>
        <w:rPr>
          <w:rFonts w:hint="eastAsia" w:ascii="宋体" w:hAnsi="宋体"/>
          <w:color w:val="auto"/>
          <w:sz w:val="24"/>
          <w:highlight w:val="none"/>
          <w:lang w:eastAsia="zh-CN"/>
        </w:rPr>
        <w:t>报价人</w:t>
      </w:r>
      <w:r>
        <w:rPr>
          <w:rFonts w:hint="eastAsia" w:ascii="宋体" w:hAnsi="宋体"/>
          <w:color w:val="auto"/>
          <w:sz w:val="24"/>
          <w:highlight w:val="none"/>
        </w:rPr>
        <w:t>名称：</w:t>
      </w:r>
      <w:r>
        <w:rPr>
          <w:rFonts w:hint="eastAsia" w:ascii="宋体" w:hAnsi="宋体"/>
          <w:color w:val="auto"/>
          <w:sz w:val="24"/>
          <w:highlight w:val="none"/>
          <w:u w:val="single"/>
        </w:rPr>
        <w:t xml:space="preserve">                       </w:t>
      </w:r>
      <w:r>
        <w:rPr>
          <w:rFonts w:hint="eastAsia" w:ascii="宋体" w:hAnsi="宋体"/>
          <w:color w:val="auto"/>
          <w:sz w:val="24"/>
          <w:highlight w:val="none"/>
        </w:rPr>
        <w:t>（盖章）</w:t>
      </w:r>
    </w:p>
    <w:p w14:paraId="079919BA">
      <w:pPr>
        <w:spacing w:line="360" w:lineRule="auto"/>
        <w:rPr>
          <w:rFonts w:ascii="宋体" w:hAnsi="宋体"/>
          <w:color w:val="auto"/>
          <w:sz w:val="24"/>
          <w:highlight w:val="none"/>
        </w:rPr>
      </w:pPr>
    </w:p>
    <w:p w14:paraId="694E7006">
      <w:pPr>
        <w:spacing w:line="360" w:lineRule="auto"/>
        <w:rPr>
          <w:rFonts w:ascii="宋体" w:hAnsi="宋体"/>
          <w:color w:val="auto"/>
          <w:sz w:val="18"/>
          <w:szCs w:val="18"/>
          <w:highlight w:val="none"/>
        </w:rPr>
        <w:sectPr>
          <w:headerReference r:id="rId3" w:type="default"/>
          <w:footerReference r:id="rId4" w:type="default"/>
          <w:pgSz w:w="11906" w:h="16838"/>
          <w:pgMar w:top="1440" w:right="1800" w:bottom="1440" w:left="1800" w:header="851" w:footer="992" w:gutter="0"/>
          <w:cols w:space="720" w:num="1"/>
          <w:docGrid w:linePitch="312" w:charSpace="0"/>
        </w:sectPr>
      </w:pPr>
      <w:r>
        <w:rPr>
          <w:rFonts w:hint="eastAsia" w:ascii="宋体" w:hAnsi="宋体"/>
          <w:color w:val="auto"/>
          <w:sz w:val="24"/>
          <w:highlight w:val="none"/>
        </w:rPr>
        <w:t xml:space="preserve">日期：     年    月 </w:t>
      </w:r>
      <w:r>
        <w:rPr>
          <w:rFonts w:ascii="宋体" w:hAnsi="宋体"/>
          <w:color w:val="auto"/>
          <w:sz w:val="24"/>
          <w:highlight w:val="none"/>
        </w:rPr>
        <w:t xml:space="preserve">   </w:t>
      </w:r>
      <w:r>
        <w:rPr>
          <w:rFonts w:hint="eastAsia" w:ascii="宋体" w:hAnsi="宋体"/>
          <w:color w:val="auto"/>
          <w:sz w:val="24"/>
          <w:highlight w:val="none"/>
        </w:rPr>
        <w:t>日</w:t>
      </w:r>
    </w:p>
    <w:p w14:paraId="4FF7624E">
      <w:pPr>
        <w:widowControl/>
        <w:jc w:val="center"/>
        <w:rPr>
          <w:rFonts w:ascii="宋体" w:hAnsi="宋体"/>
          <w:b/>
          <w:color w:val="auto"/>
          <w:kern w:val="0"/>
          <w:sz w:val="32"/>
          <w:szCs w:val="28"/>
          <w:highlight w:val="none"/>
        </w:rPr>
      </w:pPr>
      <w:r>
        <w:rPr>
          <w:rFonts w:hint="eastAsia" w:ascii="宋体" w:hAnsi="宋体"/>
          <w:b/>
          <w:color w:val="auto"/>
          <w:kern w:val="0"/>
          <w:sz w:val="32"/>
          <w:szCs w:val="28"/>
          <w:highlight w:val="none"/>
        </w:rPr>
        <w:t>附件</w:t>
      </w:r>
      <w:r>
        <w:rPr>
          <w:rFonts w:ascii="宋体" w:hAnsi="宋体"/>
          <w:b/>
          <w:color w:val="auto"/>
          <w:kern w:val="0"/>
          <w:sz w:val="32"/>
          <w:szCs w:val="28"/>
          <w:highlight w:val="none"/>
        </w:rPr>
        <w:t xml:space="preserve">3 </w:t>
      </w:r>
      <w:r>
        <w:rPr>
          <w:rFonts w:hint="eastAsia" w:ascii="宋体" w:hAnsi="宋体"/>
          <w:b/>
          <w:color w:val="auto"/>
          <w:kern w:val="0"/>
          <w:sz w:val="32"/>
          <w:szCs w:val="28"/>
          <w:highlight w:val="none"/>
        </w:rPr>
        <w:t>资格</w:t>
      </w:r>
      <w:r>
        <w:rPr>
          <w:rFonts w:ascii="宋体" w:hAnsi="宋体"/>
          <w:b/>
          <w:color w:val="auto"/>
          <w:kern w:val="0"/>
          <w:sz w:val="32"/>
          <w:szCs w:val="28"/>
          <w:highlight w:val="none"/>
        </w:rPr>
        <w:t>证明文件</w:t>
      </w:r>
    </w:p>
    <w:p w14:paraId="65E209A6">
      <w:pPr>
        <w:widowControl/>
        <w:jc w:val="center"/>
        <w:rPr>
          <w:rFonts w:ascii="宋体" w:hAnsi="宋体"/>
          <w:color w:val="auto"/>
          <w:sz w:val="24"/>
          <w:highlight w:val="none"/>
        </w:rPr>
      </w:pPr>
    </w:p>
    <w:p w14:paraId="382E21F8">
      <w:pPr>
        <w:pStyle w:val="38"/>
        <w:ind w:firstLine="0" w:firstLineChars="0"/>
        <w:rPr>
          <w:rFonts w:ascii="宋体" w:hAnsi="宋体"/>
          <w:b/>
          <w:color w:val="auto"/>
          <w:highlight w:val="none"/>
        </w:rPr>
      </w:pPr>
      <w:r>
        <w:rPr>
          <w:rFonts w:hint="eastAsia" w:ascii="宋体" w:hAnsi="宋体"/>
          <w:color w:val="auto"/>
          <w:highlight w:val="none"/>
          <w:lang w:eastAsia="zh-CN"/>
        </w:rPr>
        <w:t>报价人</w:t>
      </w:r>
      <w:r>
        <w:rPr>
          <w:rFonts w:hint="eastAsia" w:ascii="宋体" w:hAnsi="宋体"/>
          <w:color w:val="auto"/>
          <w:highlight w:val="none"/>
        </w:rPr>
        <w:t>提交</w:t>
      </w:r>
      <w:r>
        <w:rPr>
          <w:rFonts w:ascii="宋体" w:hAnsi="宋体"/>
          <w:color w:val="auto"/>
          <w:highlight w:val="none"/>
        </w:rPr>
        <w:t>下列</w:t>
      </w:r>
      <w:r>
        <w:rPr>
          <w:rFonts w:hint="eastAsia" w:ascii="宋体" w:hAnsi="宋体"/>
          <w:color w:val="auto"/>
          <w:highlight w:val="none"/>
        </w:rPr>
        <w:t>资格证明文件</w:t>
      </w:r>
    </w:p>
    <w:p w14:paraId="05DADDE4">
      <w:pPr>
        <w:pStyle w:val="38"/>
        <w:rPr>
          <w:rFonts w:ascii="宋体" w:hAnsi="宋体"/>
          <w:color w:val="auto"/>
          <w:highlight w:val="none"/>
        </w:rPr>
      </w:pPr>
      <w:r>
        <w:rPr>
          <w:rFonts w:hint="eastAsia" w:ascii="宋体" w:hAnsi="宋体"/>
          <w:color w:val="auto"/>
          <w:highlight w:val="none"/>
        </w:rPr>
        <w:t>（1）</w:t>
      </w:r>
      <w:r>
        <w:rPr>
          <w:rFonts w:ascii="宋体" w:hAnsi="宋体"/>
          <w:color w:val="auto"/>
          <w:highlight w:val="none"/>
        </w:rPr>
        <w:t>企业法人营业执照副本</w:t>
      </w:r>
      <w:r>
        <w:rPr>
          <w:rFonts w:hint="eastAsia" w:ascii="宋体" w:hAnsi="宋体"/>
          <w:color w:val="auto"/>
          <w:highlight w:val="none"/>
        </w:rPr>
        <w:t>（清晰</w:t>
      </w:r>
      <w:r>
        <w:rPr>
          <w:rFonts w:ascii="宋体" w:hAnsi="宋体"/>
          <w:color w:val="auto"/>
          <w:highlight w:val="none"/>
        </w:rPr>
        <w:t>复印件</w:t>
      </w:r>
      <w:r>
        <w:rPr>
          <w:rFonts w:hint="eastAsia" w:ascii="宋体" w:hAnsi="宋体"/>
          <w:color w:val="auto"/>
          <w:highlight w:val="none"/>
        </w:rPr>
        <w:t>并</w:t>
      </w:r>
      <w:r>
        <w:rPr>
          <w:rFonts w:ascii="宋体" w:hAnsi="宋体"/>
          <w:color w:val="auto"/>
          <w:highlight w:val="none"/>
        </w:rPr>
        <w:t>加盖有效公章</w:t>
      </w:r>
      <w:r>
        <w:rPr>
          <w:rFonts w:hint="eastAsia" w:ascii="宋体" w:hAnsi="宋体"/>
          <w:color w:val="auto"/>
          <w:highlight w:val="none"/>
        </w:rPr>
        <w:t>）</w:t>
      </w:r>
    </w:p>
    <w:p w14:paraId="398D8C03">
      <w:pPr>
        <w:pStyle w:val="38"/>
        <w:rPr>
          <w:rFonts w:ascii="宋体" w:hAnsi="宋体"/>
          <w:color w:val="auto"/>
          <w:highlight w:val="none"/>
        </w:rPr>
      </w:pPr>
      <w:r>
        <w:rPr>
          <w:rFonts w:hint="eastAsia" w:ascii="宋体" w:hAnsi="宋体"/>
          <w:color w:val="auto"/>
          <w:highlight w:val="none"/>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w:t>
      </w:r>
      <w:r>
        <w:rPr>
          <w:rFonts w:hint="eastAsia" w:ascii="宋体" w:hAnsi="宋体"/>
          <w:color w:val="auto"/>
          <w:highlight w:val="none"/>
          <w:lang w:eastAsia="zh-CN"/>
        </w:rPr>
        <w:t>谈判文件</w:t>
      </w:r>
      <w:r>
        <w:rPr>
          <w:rFonts w:hint="eastAsia" w:ascii="宋体" w:hAnsi="宋体"/>
          <w:color w:val="auto"/>
          <w:highlight w:val="none"/>
        </w:rPr>
        <w:t>截止时间前一天。</w:t>
      </w:r>
    </w:p>
    <w:p w14:paraId="75482289">
      <w:pPr>
        <w:pStyle w:val="38"/>
        <w:rPr>
          <w:rFonts w:ascii="宋体" w:hAnsi="宋体"/>
          <w:color w:val="auto"/>
          <w:highlight w:val="none"/>
        </w:rPr>
      </w:pPr>
      <w:r>
        <w:rPr>
          <w:rFonts w:hint="eastAsia" w:ascii="宋体" w:hAnsi="宋体"/>
          <w:color w:val="auto"/>
          <w:highlight w:val="none"/>
        </w:rPr>
        <w:t>（3）</w:t>
      </w:r>
      <w:r>
        <w:rPr>
          <w:rFonts w:hint="eastAsia" w:ascii="宋体" w:hAnsi="宋体"/>
          <w:snapToGrid w:val="0"/>
          <w:color w:val="auto"/>
          <w:kern w:val="0"/>
          <w:szCs w:val="21"/>
          <w:highlight w:val="none"/>
        </w:rPr>
        <w:t>建设行政主管部门颁发的有效的建筑工程施工总承包三级及以上资质</w:t>
      </w:r>
      <w:r>
        <w:rPr>
          <w:rFonts w:hint="eastAsia" w:cs="宋体"/>
          <w:color w:val="auto"/>
          <w:highlight w:val="none"/>
          <w:lang w:bidi="ar"/>
        </w:rPr>
        <w:t>证明材料</w:t>
      </w:r>
    </w:p>
    <w:p w14:paraId="3A94CE50">
      <w:pPr>
        <w:pStyle w:val="38"/>
        <w:rPr>
          <w:rFonts w:ascii="宋体" w:hAnsi="宋体"/>
          <w:color w:val="auto"/>
          <w:highlight w:val="none"/>
        </w:rPr>
      </w:pPr>
      <w:r>
        <w:rPr>
          <w:rFonts w:hint="eastAsia" w:ascii="宋体" w:hAnsi="宋体"/>
          <w:color w:val="auto"/>
          <w:highlight w:val="none"/>
        </w:rPr>
        <w:t>（4）其他</w:t>
      </w:r>
      <w:r>
        <w:rPr>
          <w:rFonts w:ascii="宋体" w:hAnsi="宋体"/>
          <w:color w:val="auto"/>
          <w:highlight w:val="none"/>
        </w:rPr>
        <w:t>证明文件和材料</w:t>
      </w:r>
    </w:p>
    <w:p w14:paraId="05FEF539">
      <w:pPr>
        <w:tabs>
          <w:tab w:val="left" w:pos="3840"/>
          <w:tab w:val="left" w:pos="5300"/>
        </w:tabs>
        <w:autoSpaceDE w:val="0"/>
        <w:autoSpaceDN w:val="0"/>
        <w:adjustRightInd w:val="0"/>
        <w:snapToGrid w:val="0"/>
        <w:spacing w:line="360" w:lineRule="auto"/>
        <w:rPr>
          <w:rFonts w:ascii="宋体" w:hAnsi="宋体"/>
          <w:color w:val="auto"/>
          <w:sz w:val="24"/>
          <w:highlight w:val="none"/>
        </w:rPr>
      </w:pPr>
      <w:r>
        <w:rPr>
          <w:rFonts w:ascii="宋体" w:hAnsi="宋体"/>
          <w:color w:val="auto"/>
          <w:sz w:val="24"/>
          <w:highlight w:val="none"/>
        </w:rPr>
        <w:br w:type="page"/>
      </w:r>
    </w:p>
    <w:p w14:paraId="356D0A4C">
      <w:pPr>
        <w:widowControl/>
        <w:jc w:val="center"/>
        <w:rPr>
          <w:rFonts w:ascii="宋体" w:hAnsi="宋体"/>
          <w:b/>
          <w:color w:val="auto"/>
          <w:kern w:val="0"/>
          <w:sz w:val="32"/>
          <w:szCs w:val="28"/>
          <w:highlight w:val="none"/>
        </w:rPr>
      </w:pPr>
      <w:r>
        <w:rPr>
          <w:rFonts w:hint="eastAsia" w:ascii="宋体" w:hAnsi="宋体"/>
          <w:b/>
          <w:color w:val="auto"/>
          <w:kern w:val="0"/>
          <w:sz w:val="32"/>
          <w:szCs w:val="28"/>
          <w:highlight w:val="none"/>
        </w:rPr>
        <w:t>附件4  报价函</w:t>
      </w:r>
    </w:p>
    <w:p w14:paraId="3D751796">
      <w:pPr>
        <w:pStyle w:val="67"/>
        <w:spacing w:before="0" w:after="0" w:line="360" w:lineRule="auto"/>
        <w:jc w:val="center"/>
        <w:rPr>
          <w:rStyle w:val="68"/>
          <w:rFonts w:ascii="Times New Roman" w:hAnsi="Times New Roman" w:eastAsia="宋体"/>
          <w:color w:val="auto"/>
          <w:sz w:val="28"/>
          <w:szCs w:val="24"/>
          <w:highlight w:val="none"/>
        </w:rPr>
      </w:pPr>
      <w:r>
        <w:rPr>
          <w:rStyle w:val="68"/>
          <w:rFonts w:ascii="Times New Roman" w:hAnsi="Times New Roman" w:eastAsia="宋体"/>
          <w:color w:val="auto"/>
          <w:sz w:val="28"/>
          <w:highlight w:val="none"/>
        </w:rPr>
        <w:t xml:space="preserve">（一） </w:t>
      </w:r>
      <w:r>
        <w:rPr>
          <w:rStyle w:val="68"/>
          <w:rFonts w:hint="eastAsia" w:ascii="Times New Roman" w:hAnsi="Times New Roman" w:eastAsia="宋体"/>
          <w:color w:val="auto"/>
          <w:sz w:val="28"/>
          <w:highlight w:val="none"/>
          <w:lang w:val="en-US" w:eastAsia="zh-CN"/>
        </w:rPr>
        <w:t>报价</w:t>
      </w:r>
      <w:r>
        <w:rPr>
          <w:rStyle w:val="68"/>
          <w:rFonts w:ascii="Times New Roman" w:hAnsi="Times New Roman" w:eastAsia="宋体"/>
          <w:color w:val="auto"/>
          <w:sz w:val="28"/>
          <w:highlight w:val="none"/>
        </w:rPr>
        <w:t>函</w:t>
      </w:r>
    </w:p>
    <w:p w14:paraId="3BC4F679">
      <w:pPr>
        <w:spacing w:line="360" w:lineRule="auto"/>
        <w:rPr>
          <w:rStyle w:val="68"/>
          <w:rFonts w:ascii="Times New Roman" w:hAnsi="Times New Roman" w:eastAsia="宋体"/>
          <w:color w:val="auto"/>
          <w:position w:val="6"/>
          <w:szCs w:val="21"/>
          <w:highlight w:val="none"/>
        </w:rPr>
      </w:pPr>
    </w:p>
    <w:p w14:paraId="303E096B">
      <w:pPr>
        <w:tabs>
          <w:tab w:val="left" w:pos="2640"/>
        </w:tabs>
        <w:autoSpaceDE w:val="0"/>
        <w:autoSpaceDN w:val="0"/>
        <w:adjustRightInd w:val="0"/>
        <w:spacing w:line="220" w:lineRule="exact"/>
        <w:ind w:left="12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u w:val="single"/>
          <w:lang w:val="en-US" w:eastAsia="zh-CN"/>
        </w:rPr>
        <w:t>重庆国际复合材料股份有限公司</w:t>
      </w:r>
      <w:r>
        <w:rPr>
          <w:rFonts w:hint="eastAsia" w:ascii="宋体" w:hAnsi="宋体" w:cs="MingLiU"/>
          <w:snapToGrid w:val="0"/>
          <w:color w:val="auto"/>
          <w:kern w:val="0"/>
          <w:szCs w:val="21"/>
          <w:highlight w:val="none"/>
        </w:rPr>
        <w:t>：</w:t>
      </w:r>
    </w:p>
    <w:p w14:paraId="2DA8E2DB">
      <w:pPr>
        <w:autoSpaceDE w:val="0"/>
        <w:autoSpaceDN w:val="0"/>
        <w:adjustRightInd w:val="0"/>
        <w:spacing w:before="15" w:line="140" w:lineRule="exact"/>
        <w:jc w:val="left"/>
        <w:rPr>
          <w:rFonts w:ascii="宋体" w:hAnsi="宋体" w:cs="MingLiU"/>
          <w:snapToGrid w:val="0"/>
          <w:color w:val="auto"/>
          <w:kern w:val="0"/>
          <w:sz w:val="14"/>
          <w:szCs w:val="14"/>
          <w:highlight w:val="none"/>
        </w:rPr>
      </w:pPr>
    </w:p>
    <w:p w14:paraId="0C84620D">
      <w:pPr>
        <w:autoSpaceDE w:val="0"/>
        <w:autoSpaceDN w:val="0"/>
        <w:adjustRightInd w:val="0"/>
        <w:spacing w:line="200" w:lineRule="exact"/>
        <w:jc w:val="left"/>
        <w:rPr>
          <w:rFonts w:ascii="宋体" w:hAnsi="宋体" w:cs="MingLiU"/>
          <w:snapToGrid w:val="0"/>
          <w:color w:val="auto"/>
          <w:kern w:val="0"/>
          <w:sz w:val="20"/>
          <w:szCs w:val="20"/>
          <w:highlight w:val="none"/>
        </w:rPr>
      </w:pPr>
    </w:p>
    <w:p w14:paraId="16730DBE">
      <w:pPr>
        <w:tabs>
          <w:tab w:val="left" w:pos="2655"/>
          <w:tab w:val="left" w:pos="3520"/>
          <w:tab w:val="left" w:pos="4920"/>
          <w:tab w:val="left" w:pos="5715"/>
          <w:tab w:val="left" w:pos="6945"/>
          <w:tab w:val="left" w:pos="7980"/>
        </w:tabs>
        <w:autoSpaceDE w:val="0"/>
        <w:autoSpaceDN w:val="0"/>
        <w:adjustRightInd w:val="0"/>
        <w:spacing w:line="354" w:lineRule="auto"/>
        <w:ind w:left="120" w:leftChars="57" w:right="94" w:firstLine="420" w:firstLineChars="200"/>
        <w:rPr>
          <w:rFonts w:ascii="宋体" w:hAnsi="宋体" w:cs="MingLiU"/>
          <w:snapToGrid w:val="0"/>
          <w:color w:val="auto"/>
          <w:kern w:val="0"/>
          <w:szCs w:val="21"/>
          <w:highlight w:val="none"/>
        </w:rPr>
      </w:pPr>
      <w:r>
        <w:rPr>
          <w:rFonts w:ascii="宋体" w:hAnsi="宋体"/>
          <w:snapToGrid w:val="0"/>
          <w:color w:val="auto"/>
          <w:kern w:val="0"/>
          <w:szCs w:val="21"/>
          <w:highlight w:val="none"/>
        </w:rPr>
        <w:t>1</w:t>
      </w:r>
      <w:r>
        <w:rPr>
          <w:rFonts w:hint="eastAsia" w:ascii="宋体" w:hAnsi="宋体" w:cs="MingLiU"/>
          <w:snapToGrid w:val="0"/>
          <w:color w:val="auto"/>
          <w:kern w:val="0"/>
          <w:szCs w:val="21"/>
          <w:highlight w:val="none"/>
        </w:rPr>
        <w:t>．我方已仔细研究了</w:t>
      </w:r>
      <w:r>
        <w:rPr>
          <w:rFonts w:hint="eastAsia" w:ascii="宋体" w:hAnsi="宋体" w:cs="MingLiU"/>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u w:val="single"/>
          <w:lang w:eastAsia="zh-CN"/>
        </w:rPr>
        <w:t>长寿厂区配电房及控制室增设火灾自动报警装置工程</w:t>
      </w:r>
      <w:r>
        <w:rPr>
          <w:rFonts w:hint="eastAsia" w:ascii="宋体" w:hAnsi="宋体" w:eastAsia="宋体" w:cs="MingLiU"/>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lang w:val="en-US" w:eastAsia="zh-CN"/>
        </w:rPr>
        <w:t>谈判采购文件</w:t>
      </w:r>
      <w:r>
        <w:rPr>
          <w:rFonts w:hint="eastAsia" w:ascii="宋体" w:hAnsi="宋体" w:cs="MingLiU"/>
          <w:snapToGrid w:val="0"/>
          <w:color w:val="auto"/>
          <w:kern w:val="0"/>
          <w:szCs w:val="21"/>
          <w:highlight w:val="none"/>
        </w:rPr>
        <w:t>的全部内容，愿意以人民币（大写）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hint="eastAsia" w:ascii="宋体" w:hAnsi="宋体" w:cs="MingLiU"/>
          <w:snapToGrid w:val="0"/>
          <w:color w:val="auto"/>
          <w:kern w:val="0"/>
          <w:szCs w:val="21"/>
          <w:highlight w:val="none"/>
          <w:lang w:val="en-US" w:eastAsia="zh-CN"/>
        </w:rPr>
        <w:t>作为本项目的总报价，其中安全文明施工费为：</w:t>
      </w:r>
      <w:r>
        <w:rPr>
          <w:rFonts w:hint="eastAsia" w:ascii="宋体" w:hAnsi="宋体" w:cs="MingLiU"/>
          <w:snapToGrid w:val="0"/>
          <w:color w:val="auto"/>
          <w:kern w:val="0"/>
          <w:szCs w:val="21"/>
          <w:highlight w:val="none"/>
        </w:rPr>
        <w:t>（大写）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），该</w:t>
      </w:r>
      <w:r>
        <w:rPr>
          <w:rFonts w:cs="MingLiU"/>
          <w:snapToGrid w:val="0"/>
          <w:color w:val="auto"/>
          <w:kern w:val="0"/>
          <w:highlight w:val="none"/>
        </w:rPr>
        <w:t>项目</w:t>
      </w:r>
      <w:r>
        <w:rPr>
          <w:rFonts w:hint="eastAsia" w:cs="MingLiU"/>
          <w:snapToGrid w:val="0"/>
          <w:color w:val="auto"/>
          <w:kern w:val="0"/>
          <w:highlight w:val="none"/>
          <w:lang w:val="en-US" w:eastAsia="zh-CN"/>
        </w:rPr>
        <w:t>项目经理</w:t>
      </w:r>
      <w:r>
        <w:rPr>
          <w:rFonts w:cs="MingLiU"/>
          <w:snapToGrid w:val="0"/>
          <w:color w:val="auto"/>
          <w:kern w:val="0"/>
          <w:highlight w:val="none"/>
        </w:rPr>
        <w:t>为</w:t>
      </w:r>
      <w:r>
        <w:rPr>
          <w:rFonts w:hint="eastAsia" w:cs="MingLiU"/>
          <w:snapToGrid w:val="0"/>
          <w:color w:val="auto"/>
          <w:kern w:val="0"/>
          <w:highlight w:val="none"/>
          <w:lang w:val="en-US" w:eastAsia="zh-CN"/>
        </w:rPr>
        <w:t xml:space="preserve"> </w:t>
      </w:r>
      <w:r>
        <w:rPr>
          <w:rFonts w:hint="eastAsia" w:cs="MingLiU"/>
          <w:snapToGrid w:val="0"/>
          <w:color w:val="auto"/>
          <w:kern w:val="0"/>
          <w:highlight w:val="none"/>
          <w:u w:val="single"/>
          <w:lang w:val="en-US" w:eastAsia="zh-CN"/>
        </w:rPr>
        <w:t xml:space="preserve">     </w:t>
      </w:r>
      <w:r>
        <w:rPr>
          <w:rFonts w:hint="eastAsia" w:ascii="宋体" w:hAnsi="宋体"/>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rPr>
        <w:t>，</w:t>
      </w:r>
      <w:r>
        <w:rPr>
          <w:rFonts w:hint="eastAsia" w:ascii="宋体" w:hAnsi="宋体" w:cs="宋体"/>
          <w:color w:val="auto"/>
          <w:highlight w:val="none"/>
        </w:rPr>
        <w:t>服务期：</w:t>
      </w:r>
      <w:r>
        <w:rPr>
          <w:rFonts w:hint="eastAsia" w:ascii="宋体" w:hAnsi="宋体" w:cs="宋体"/>
          <w:color w:val="auto"/>
          <w:highlight w:val="none"/>
          <w:u w:val="single"/>
        </w:rPr>
        <w:t>（满足/不满足）</w:t>
      </w:r>
      <w:r>
        <w:rPr>
          <w:rFonts w:hint="eastAsia" w:ascii="宋体" w:hAnsi="宋体" w:cs="宋体"/>
          <w:color w:val="auto"/>
          <w:highlight w:val="none"/>
          <w:lang w:val="en-US" w:eastAsia="zh-CN"/>
        </w:rPr>
        <w:t>询比采购文件</w:t>
      </w:r>
      <w:r>
        <w:rPr>
          <w:rFonts w:hint="eastAsia" w:ascii="宋体" w:hAnsi="宋体" w:cs="宋体"/>
          <w:color w:val="auto"/>
          <w:highlight w:val="none"/>
        </w:rPr>
        <w:t>要求</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 xml:space="preserve"> </w:t>
      </w:r>
      <w:r>
        <w:rPr>
          <w:rFonts w:hint="eastAsia" w:ascii="宋体" w:hAnsi="宋体" w:cs="MingLiU"/>
          <w:snapToGrid w:val="0"/>
          <w:color w:val="auto"/>
          <w:kern w:val="0"/>
          <w:szCs w:val="21"/>
          <w:highlight w:val="none"/>
        </w:rPr>
        <w:t>按合同约定实施</w:t>
      </w:r>
      <w:r>
        <w:rPr>
          <w:rFonts w:hint="eastAsia" w:ascii="宋体" w:hAnsi="宋体" w:cs="MingLiU"/>
          <w:snapToGrid w:val="0"/>
          <w:color w:val="auto"/>
          <w:kern w:val="0"/>
          <w:szCs w:val="21"/>
          <w:highlight w:val="none"/>
          <w:lang w:val="en-US" w:eastAsia="zh-CN"/>
        </w:rPr>
        <w:t>相关</w:t>
      </w:r>
      <w:r>
        <w:rPr>
          <w:rFonts w:hint="eastAsia" w:ascii="宋体" w:hAnsi="宋体" w:cs="宋体"/>
          <w:color w:val="auto"/>
          <w:szCs w:val="21"/>
          <w:highlight w:val="none"/>
        </w:rPr>
        <w:t>工作</w:t>
      </w:r>
      <w:r>
        <w:rPr>
          <w:rFonts w:hint="eastAsia" w:ascii="宋体" w:hAnsi="宋体" w:cs="MingLiU"/>
          <w:snapToGrid w:val="0"/>
          <w:color w:val="auto"/>
          <w:kern w:val="0"/>
          <w:szCs w:val="21"/>
          <w:highlight w:val="none"/>
        </w:rPr>
        <w:t>。</w:t>
      </w:r>
    </w:p>
    <w:p w14:paraId="698BAE8A">
      <w:pPr>
        <w:autoSpaceDE w:val="0"/>
        <w:autoSpaceDN w:val="0"/>
        <w:adjustRightInd w:val="0"/>
        <w:spacing w:before="15"/>
        <w:ind w:left="540" w:right="-20"/>
        <w:jc w:val="left"/>
        <w:rPr>
          <w:rFonts w:ascii="宋体" w:hAnsi="宋体" w:cs="MingLiU"/>
          <w:snapToGrid w:val="0"/>
          <w:color w:val="auto"/>
          <w:kern w:val="0"/>
          <w:szCs w:val="21"/>
          <w:highlight w:val="none"/>
        </w:rPr>
      </w:pPr>
      <w:r>
        <w:rPr>
          <w:rFonts w:ascii="宋体" w:hAnsi="宋体"/>
          <w:snapToGrid w:val="0"/>
          <w:color w:val="auto"/>
          <w:kern w:val="0"/>
          <w:szCs w:val="21"/>
          <w:highlight w:val="none"/>
        </w:rPr>
        <w:t>2</w:t>
      </w:r>
      <w:r>
        <w:rPr>
          <w:rFonts w:hint="eastAsia" w:ascii="宋体" w:hAnsi="宋体" w:cs="MingLiU"/>
          <w:snapToGrid w:val="0"/>
          <w:color w:val="auto"/>
          <w:kern w:val="0"/>
          <w:szCs w:val="21"/>
          <w:highlight w:val="none"/>
        </w:rPr>
        <w:t>．我方承诺在</w:t>
      </w:r>
      <w:r>
        <w:rPr>
          <w:rFonts w:hint="eastAsia" w:ascii="宋体" w:hAnsi="宋体" w:cs="MingLiU"/>
          <w:snapToGrid w:val="0"/>
          <w:color w:val="auto"/>
          <w:kern w:val="0"/>
          <w:szCs w:val="21"/>
          <w:highlight w:val="none"/>
          <w:lang w:val="en-US" w:eastAsia="zh-CN"/>
        </w:rPr>
        <w:t>竞价</w:t>
      </w:r>
      <w:r>
        <w:rPr>
          <w:rFonts w:hint="eastAsia" w:ascii="宋体" w:hAnsi="宋体" w:cs="MingLiU"/>
          <w:snapToGrid w:val="0"/>
          <w:color w:val="auto"/>
          <w:kern w:val="0"/>
          <w:szCs w:val="21"/>
          <w:highlight w:val="none"/>
        </w:rPr>
        <w:t>有效期内不修改、撤销</w:t>
      </w:r>
      <w:r>
        <w:rPr>
          <w:rFonts w:hint="eastAsia" w:ascii="宋体" w:hAnsi="宋体" w:cs="MingLiU"/>
          <w:snapToGrid w:val="0"/>
          <w:color w:val="auto"/>
          <w:kern w:val="0"/>
          <w:szCs w:val="21"/>
          <w:highlight w:val="none"/>
          <w:lang w:val="en-US" w:eastAsia="zh-CN"/>
        </w:rPr>
        <w:t>谈判文件</w:t>
      </w:r>
      <w:r>
        <w:rPr>
          <w:rFonts w:hint="eastAsia" w:ascii="宋体" w:hAnsi="宋体" w:cs="MingLiU"/>
          <w:snapToGrid w:val="0"/>
          <w:color w:val="auto"/>
          <w:kern w:val="0"/>
          <w:szCs w:val="21"/>
          <w:highlight w:val="none"/>
        </w:rPr>
        <w:t>。</w:t>
      </w:r>
    </w:p>
    <w:p w14:paraId="79A42529">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6F6CDCDA">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29ADCADB">
      <w:pPr>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3</w:t>
      </w:r>
      <w:r>
        <w:rPr>
          <w:rFonts w:hint="eastAsia" w:ascii="宋体" w:hAnsi="宋体" w:cs="MingLiU"/>
          <w:snapToGrid w:val="0"/>
          <w:color w:val="auto"/>
          <w:kern w:val="0"/>
          <w:szCs w:val="21"/>
          <w:highlight w:val="none"/>
        </w:rPr>
        <w:t>．如我方中选：</w:t>
      </w:r>
    </w:p>
    <w:p w14:paraId="7A5A80DC">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797CDB1E">
      <w:pPr>
        <w:autoSpaceDE w:val="0"/>
        <w:autoSpaceDN w:val="0"/>
        <w:adjustRightInd w:val="0"/>
        <w:spacing w:line="354" w:lineRule="auto"/>
        <w:ind w:left="120" w:right="-9" w:firstLine="420"/>
        <w:jc w:val="left"/>
        <w:rPr>
          <w:rFonts w:ascii="宋体" w:hAnsi="宋体" w:eastAsia="宋体" w:cs="Times New Roman"/>
          <w:snapToGrid w:val="0"/>
          <w:color w:val="auto"/>
          <w:kern w:val="0"/>
          <w:szCs w:val="21"/>
          <w:highlight w:val="none"/>
        </w:rPr>
      </w:pPr>
      <w:r>
        <w:rPr>
          <w:rFonts w:hint="eastAsia" w:ascii="宋体" w:hAnsi="宋体" w:eastAsia="宋体" w:cs="Times New Roman"/>
          <w:snapToGrid w:val="0"/>
          <w:color w:val="auto"/>
          <w:kern w:val="0"/>
          <w:szCs w:val="21"/>
          <w:highlight w:val="none"/>
        </w:rPr>
        <w:t>（</w:t>
      </w:r>
      <w:r>
        <w:rPr>
          <w:rFonts w:ascii="宋体" w:hAnsi="宋体" w:eastAsia="宋体" w:cs="Times New Roman"/>
          <w:snapToGrid w:val="0"/>
          <w:color w:val="auto"/>
          <w:kern w:val="0"/>
          <w:szCs w:val="21"/>
          <w:highlight w:val="none"/>
        </w:rPr>
        <w:t>1</w:t>
      </w:r>
      <w:r>
        <w:rPr>
          <w:rFonts w:hint="eastAsia" w:ascii="宋体" w:hAnsi="宋体" w:eastAsia="宋体" w:cs="Times New Roman"/>
          <w:snapToGrid w:val="0"/>
          <w:color w:val="auto"/>
          <w:kern w:val="0"/>
          <w:szCs w:val="21"/>
          <w:highlight w:val="none"/>
        </w:rPr>
        <w:t>）我方承诺在收到</w:t>
      </w:r>
      <w:r>
        <w:rPr>
          <w:rFonts w:hint="eastAsia" w:ascii="宋体" w:hAnsi="宋体" w:eastAsia="宋体" w:cs="Times New Roman"/>
          <w:snapToGrid w:val="0"/>
          <w:color w:val="auto"/>
          <w:kern w:val="0"/>
          <w:szCs w:val="21"/>
          <w:highlight w:val="none"/>
          <w:lang w:val="en-US" w:eastAsia="zh-CN"/>
        </w:rPr>
        <w:t>成交</w:t>
      </w:r>
      <w:r>
        <w:rPr>
          <w:rFonts w:hint="eastAsia" w:ascii="宋体" w:hAnsi="宋体" w:eastAsia="宋体" w:cs="Times New Roman"/>
          <w:snapToGrid w:val="0"/>
          <w:color w:val="auto"/>
          <w:kern w:val="0"/>
          <w:szCs w:val="21"/>
          <w:highlight w:val="none"/>
        </w:rPr>
        <w:t>通知书后，在</w:t>
      </w:r>
      <w:r>
        <w:rPr>
          <w:rFonts w:hint="eastAsia" w:ascii="宋体" w:hAnsi="宋体" w:eastAsia="宋体" w:cs="Times New Roman"/>
          <w:snapToGrid w:val="0"/>
          <w:color w:val="auto"/>
          <w:kern w:val="0"/>
          <w:szCs w:val="21"/>
          <w:highlight w:val="none"/>
          <w:lang w:val="en-US" w:eastAsia="zh-CN"/>
        </w:rPr>
        <w:t>成交</w:t>
      </w:r>
      <w:r>
        <w:rPr>
          <w:rFonts w:hint="eastAsia" w:ascii="宋体" w:hAnsi="宋体" w:eastAsia="宋体" w:cs="Times New Roman"/>
          <w:snapToGrid w:val="0"/>
          <w:color w:val="auto"/>
          <w:kern w:val="0"/>
          <w:szCs w:val="21"/>
          <w:highlight w:val="none"/>
        </w:rPr>
        <w:t>通知书规定的期限内与你方签订合同。</w:t>
      </w:r>
    </w:p>
    <w:p w14:paraId="1D7D3630">
      <w:pPr>
        <w:autoSpaceDE w:val="0"/>
        <w:autoSpaceDN w:val="0"/>
        <w:adjustRightInd w:val="0"/>
        <w:spacing w:line="354" w:lineRule="auto"/>
        <w:ind w:left="120" w:right="-9" w:firstLine="420"/>
        <w:jc w:val="left"/>
        <w:rPr>
          <w:rFonts w:ascii="宋体" w:hAnsi="宋体" w:eastAsia="宋体" w:cs="Times New Roman"/>
          <w:snapToGrid w:val="0"/>
          <w:color w:val="auto"/>
          <w:kern w:val="0"/>
          <w:szCs w:val="21"/>
          <w:highlight w:val="none"/>
        </w:rPr>
      </w:pPr>
      <w:r>
        <w:rPr>
          <w:rFonts w:hint="eastAsia" w:ascii="宋体" w:hAnsi="宋体" w:eastAsia="宋体" w:cs="Times New Roman"/>
          <w:snapToGrid w:val="0"/>
          <w:color w:val="auto"/>
          <w:kern w:val="0"/>
          <w:szCs w:val="21"/>
          <w:highlight w:val="none"/>
          <w:lang w:eastAsia="zh-CN"/>
        </w:rPr>
        <w:t>（</w:t>
      </w:r>
      <w:r>
        <w:rPr>
          <w:rFonts w:hint="eastAsia" w:ascii="宋体" w:hAnsi="宋体" w:eastAsia="宋体" w:cs="Times New Roman"/>
          <w:snapToGrid w:val="0"/>
          <w:color w:val="auto"/>
          <w:kern w:val="0"/>
          <w:szCs w:val="21"/>
          <w:highlight w:val="none"/>
          <w:lang w:val="en-US" w:eastAsia="zh-CN"/>
        </w:rPr>
        <w:t>2</w:t>
      </w:r>
      <w:r>
        <w:rPr>
          <w:rFonts w:hint="eastAsia" w:ascii="宋体" w:hAnsi="宋体" w:eastAsia="宋体" w:cs="Times New Roman"/>
          <w:snapToGrid w:val="0"/>
          <w:color w:val="auto"/>
          <w:kern w:val="0"/>
          <w:szCs w:val="21"/>
          <w:highlight w:val="none"/>
          <w:lang w:eastAsia="zh-CN"/>
        </w:rPr>
        <w:t>）</w:t>
      </w:r>
      <w:r>
        <w:rPr>
          <w:rFonts w:hint="eastAsia" w:ascii="宋体" w:hAnsi="宋体" w:eastAsia="宋体" w:cs="Times New Roman"/>
          <w:snapToGrid w:val="0"/>
          <w:color w:val="auto"/>
          <w:kern w:val="0"/>
          <w:szCs w:val="21"/>
          <w:highlight w:val="none"/>
        </w:rPr>
        <w:t>我方承诺在合同约定的期限内完成全部合同工作。</w:t>
      </w:r>
    </w:p>
    <w:p w14:paraId="32B88F48">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22741C5F">
      <w:pPr>
        <w:autoSpaceDE w:val="0"/>
        <w:autoSpaceDN w:val="0"/>
        <w:adjustRightInd w:val="0"/>
        <w:spacing w:line="354" w:lineRule="auto"/>
        <w:ind w:left="120" w:right="-9" w:firstLine="4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4</w:t>
      </w:r>
      <w:r>
        <w:rPr>
          <w:rFonts w:hint="eastAsia" w:ascii="宋体" w:hAnsi="宋体" w:cs="MingLiU"/>
          <w:snapToGrid w:val="0"/>
          <w:color w:val="auto"/>
          <w:kern w:val="0"/>
          <w:szCs w:val="21"/>
          <w:highlight w:val="none"/>
        </w:rPr>
        <w:t>．我方在此声明，所递交的</w:t>
      </w:r>
      <w:r>
        <w:rPr>
          <w:rFonts w:hint="eastAsia" w:ascii="宋体" w:hAnsi="宋体" w:cs="MingLiU"/>
          <w:snapToGrid w:val="0"/>
          <w:color w:val="auto"/>
          <w:kern w:val="0"/>
          <w:szCs w:val="21"/>
          <w:highlight w:val="none"/>
          <w:lang w:val="en-US" w:eastAsia="zh-CN"/>
        </w:rPr>
        <w:t>谈判文件</w:t>
      </w:r>
      <w:r>
        <w:rPr>
          <w:rFonts w:hint="eastAsia" w:ascii="宋体" w:hAnsi="宋体" w:cs="MingLiU"/>
          <w:snapToGrid w:val="0"/>
          <w:color w:val="auto"/>
          <w:kern w:val="0"/>
          <w:szCs w:val="21"/>
          <w:highlight w:val="none"/>
        </w:rPr>
        <w:t>及有关资料内容完整、真实和准确。</w:t>
      </w:r>
    </w:p>
    <w:p w14:paraId="5623B420">
      <w:pPr>
        <w:tabs>
          <w:tab w:val="left" w:pos="4940"/>
        </w:tabs>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5</w:t>
      </w:r>
      <w:r>
        <w:rPr>
          <w:rFonts w:hint="eastAsia" w:ascii="宋体" w:hAnsi="宋体" w:cs="MingLiU"/>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r>
        <w:rPr>
          <w:rFonts w:hint="eastAsia" w:ascii="宋体" w:hAnsi="宋体" w:cs="MingLiU"/>
          <w:snapToGrid w:val="0"/>
          <w:color w:val="auto"/>
          <w:kern w:val="0"/>
          <w:szCs w:val="21"/>
          <w:highlight w:val="none"/>
        </w:rPr>
        <w:t>（其他补充说明）。</w:t>
      </w:r>
    </w:p>
    <w:p w14:paraId="46376A48">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6BC47B1C">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A49B1D0">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6A65A8A">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7ADDC9E4">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19270A3">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r>
        <w:rPr>
          <w:rFonts w:hint="eastAsia" w:ascii="宋体" w:hAnsi="宋体"/>
          <w:snapToGrid w:val="0"/>
          <w:color w:val="auto"/>
          <w:kern w:val="0"/>
          <w:szCs w:val="21"/>
          <w:highlight w:val="none"/>
          <w:lang w:val="en-US" w:eastAsia="zh-CN"/>
        </w:rPr>
        <w:t>报价人</w:t>
      </w:r>
      <w:r>
        <w:rPr>
          <w:rFonts w:hint="eastAsia" w:ascii="宋体" w:hAnsi="宋体" w:cs="MingLiU"/>
          <w:snapToGrid w:val="0"/>
          <w:color w:val="auto"/>
          <w:kern w:val="0"/>
          <w:szCs w:val="21"/>
          <w:highlight w:val="none"/>
        </w:rPr>
        <w:t>：</w:t>
      </w: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（盖单位法人章）</w:t>
      </w:r>
      <w:r>
        <w:rPr>
          <w:rFonts w:ascii="宋体" w:hAnsi="宋体"/>
          <w:snapToGrid w:val="0"/>
          <w:color w:val="auto"/>
          <w:kern w:val="0"/>
          <w:szCs w:val="21"/>
          <w:highlight w:val="none"/>
        </w:rPr>
        <w:t xml:space="preserve"> </w:t>
      </w:r>
    </w:p>
    <w:p w14:paraId="4BCB3BDB">
      <w:pPr>
        <w:tabs>
          <w:tab w:val="left" w:pos="7140"/>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法定代表人或其委托代理人：</w:t>
      </w:r>
      <w:r>
        <w:rPr>
          <w:rFonts w:hint="eastAsia" w:ascii="宋体" w:hAnsi="宋体" w:cs="MingLiU"/>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hint="eastAsia" w:ascii="宋体" w:hAnsi="宋体" w:cs="MingLiU"/>
          <w:snapToGrid w:val="0"/>
          <w:color w:val="auto"/>
          <w:kern w:val="0"/>
          <w:szCs w:val="21"/>
          <w:highlight w:val="none"/>
        </w:rPr>
        <w:t>（签字或盖章）</w:t>
      </w:r>
    </w:p>
    <w:p w14:paraId="73541E6A">
      <w:pPr>
        <w:tabs>
          <w:tab w:val="left" w:pos="7035"/>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地址：</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p>
    <w:p w14:paraId="441F67A1">
      <w:pPr>
        <w:tabs>
          <w:tab w:val="left" w:pos="8300"/>
        </w:tabs>
        <w:autoSpaceDE w:val="0"/>
        <w:autoSpaceDN w:val="0"/>
        <w:adjustRightInd w:val="0"/>
        <w:spacing w:before="1"/>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网址：</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6F5515FA">
      <w:pPr>
        <w:autoSpaceDE w:val="0"/>
        <w:autoSpaceDN w:val="0"/>
        <w:adjustRightInd w:val="0"/>
        <w:spacing w:before="14" w:line="200" w:lineRule="exact"/>
        <w:jc w:val="left"/>
        <w:rPr>
          <w:rFonts w:ascii="宋体" w:hAnsi="宋体" w:cs="MingLiU"/>
          <w:snapToGrid w:val="0"/>
          <w:color w:val="auto"/>
          <w:kern w:val="0"/>
          <w:sz w:val="20"/>
          <w:szCs w:val="20"/>
          <w:highlight w:val="none"/>
        </w:rPr>
      </w:pPr>
    </w:p>
    <w:p w14:paraId="1D6DC73B">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电话：</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5883FE6E">
      <w:pPr>
        <w:autoSpaceDE w:val="0"/>
        <w:autoSpaceDN w:val="0"/>
        <w:adjustRightInd w:val="0"/>
        <w:spacing w:before="13" w:line="200" w:lineRule="exact"/>
        <w:jc w:val="left"/>
        <w:rPr>
          <w:rFonts w:ascii="宋体" w:hAnsi="宋体" w:cs="MingLiU"/>
          <w:snapToGrid w:val="0"/>
          <w:color w:val="auto"/>
          <w:kern w:val="0"/>
          <w:sz w:val="20"/>
          <w:szCs w:val="20"/>
          <w:highlight w:val="none"/>
        </w:rPr>
      </w:pPr>
    </w:p>
    <w:p w14:paraId="00F7FEED">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传真：</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05029239">
      <w:pPr>
        <w:tabs>
          <w:tab w:val="left" w:pos="8300"/>
        </w:tabs>
        <w:autoSpaceDE w:val="0"/>
        <w:autoSpaceDN w:val="0"/>
        <w:adjustRightInd w:val="0"/>
        <w:spacing w:line="220" w:lineRule="exact"/>
        <w:ind w:left="3796" w:right="-20"/>
        <w:jc w:val="left"/>
        <w:rPr>
          <w:rFonts w:ascii="宋体" w:hAnsi="宋体" w:cs="MingLiU"/>
          <w:snapToGrid w:val="0"/>
          <w:color w:val="auto"/>
          <w:kern w:val="0"/>
          <w:szCs w:val="21"/>
          <w:highlight w:val="none"/>
        </w:rPr>
      </w:pPr>
    </w:p>
    <w:p w14:paraId="57BC2C48">
      <w:pPr>
        <w:tabs>
          <w:tab w:val="left" w:pos="8300"/>
        </w:tabs>
        <w:autoSpaceDE w:val="0"/>
        <w:autoSpaceDN w:val="0"/>
        <w:adjustRightInd w:val="0"/>
        <w:spacing w:line="220" w:lineRule="exact"/>
        <w:ind w:left="1985" w:right="-20"/>
        <w:jc w:val="left"/>
        <w:rPr>
          <w:rFonts w:ascii="宋体" w:hAnsi="宋体" w:cs="MingLiU"/>
          <w:snapToGrid w:val="0"/>
          <w:color w:val="auto"/>
          <w:kern w:val="0"/>
          <w:sz w:val="20"/>
          <w:szCs w:val="20"/>
          <w:highlight w:val="none"/>
        </w:rPr>
      </w:pPr>
      <w:r>
        <w:rPr>
          <w:rFonts w:hint="eastAsia" w:ascii="宋体" w:hAnsi="宋体" w:cs="MingLiU"/>
          <w:snapToGrid w:val="0"/>
          <w:color w:val="auto"/>
          <w:kern w:val="0"/>
          <w:szCs w:val="21"/>
          <w:highlight w:val="none"/>
        </w:rPr>
        <w:t>邮政编码：</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w:t>
      </w:r>
    </w:p>
    <w:p w14:paraId="1273AAD0">
      <w:pPr>
        <w:tabs>
          <w:tab w:val="left" w:pos="6000"/>
          <w:tab w:val="left" w:pos="7040"/>
          <w:tab w:val="left" w:pos="8100"/>
        </w:tabs>
        <w:autoSpaceDE w:val="0"/>
        <w:autoSpaceDN w:val="0"/>
        <w:adjustRightInd w:val="0"/>
        <w:spacing w:line="220" w:lineRule="exact"/>
        <w:ind w:right="-20"/>
        <w:jc w:val="left"/>
        <w:rPr>
          <w:rFonts w:ascii="宋体" w:hAnsi="宋体" w:cs="MingLiU"/>
          <w:snapToGrid w:val="0"/>
          <w:color w:val="auto"/>
          <w:kern w:val="0"/>
          <w:szCs w:val="21"/>
          <w:highlight w:val="none"/>
          <w:u w:val="single"/>
        </w:rPr>
      </w:pPr>
    </w:p>
    <w:p w14:paraId="5CC73277">
      <w:pPr>
        <w:spacing w:line="360" w:lineRule="auto"/>
        <w:ind w:firstLine="2377" w:firstLineChars="1132"/>
        <w:rPr>
          <w:rStyle w:val="68"/>
          <w:rFonts w:ascii="Times New Roman" w:hAnsi="Times New Roman" w:eastAsia="宋体"/>
          <w:color w:val="auto"/>
          <w:w w:val="99"/>
          <w:highlight w:val="none"/>
        </w:rPr>
      </w:pP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年</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月</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日</w:t>
      </w:r>
    </w:p>
    <w:p w14:paraId="3C2B8868">
      <w:pPr>
        <w:widowControl/>
        <w:jc w:val="center"/>
        <w:rPr>
          <w:rFonts w:ascii="宋体" w:hAnsi="宋体"/>
          <w:bCs/>
          <w:color w:val="auto"/>
          <w:kern w:val="0"/>
          <w:sz w:val="28"/>
          <w:szCs w:val="28"/>
          <w:highlight w:val="none"/>
        </w:rPr>
      </w:pPr>
    </w:p>
    <w:p w14:paraId="57AA8196">
      <w:pPr>
        <w:widowControl/>
        <w:jc w:val="center"/>
        <w:rPr>
          <w:rFonts w:hint="eastAsia" w:ascii="宋体" w:hAnsi="宋体"/>
          <w:bCs/>
          <w:color w:val="auto"/>
          <w:kern w:val="0"/>
          <w:sz w:val="28"/>
          <w:szCs w:val="28"/>
          <w:highlight w:val="none"/>
          <w:lang w:val="en-US" w:eastAsia="zh-CN"/>
        </w:rPr>
      </w:pPr>
    </w:p>
    <w:p w14:paraId="426BCC3E">
      <w:pPr>
        <w:widowControl/>
        <w:jc w:val="center"/>
        <w:rPr>
          <w:rFonts w:hint="eastAsia" w:ascii="宋体" w:hAnsi="宋体"/>
          <w:bCs/>
          <w:color w:val="auto"/>
          <w:kern w:val="0"/>
          <w:sz w:val="28"/>
          <w:szCs w:val="28"/>
          <w:highlight w:val="none"/>
          <w:lang w:val="en-US" w:eastAsia="zh-CN"/>
        </w:rPr>
      </w:pPr>
      <w:r>
        <w:rPr>
          <w:rFonts w:hint="eastAsia" w:ascii="宋体" w:hAnsi="宋体"/>
          <w:bCs/>
          <w:color w:val="auto"/>
          <w:kern w:val="0"/>
          <w:sz w:val="28"/>
          <w:szCs w:val="28"/>
          <w:highlight w:val="none"/>
          <w:lang w:val="en-US" w:eastAsia="zh-CN"/>
        </w:rPr>
        <w:t>附件5.合同模板</w:t>
      </w:r>
    </w:p>
    <w:p w14:paraId="48318B2E">
      <w:pPr>
        <w:jc w:val="left"/>
        <w:rPr>
          <w:rFonts w:eastAsia="仿宋_GB2312"/>
          <w:bCs/>
          <w:color w:val="auto"/>
          <w:sz w:val="32"/>
          <w:szCs w:val="32"/>
          <w:highlight w:val="none"/>
        </w:rPr>
      </w:pPr>
      <w:r>
        <w:rPr>
          <w:rFonts w:eastAsia="仿宋_GB2312"/>
          <w:bCs/>
          <w:color w:val="auto"/>
          <w:sz w:val="32"/>
          <w:szCs w:val="32"/>
          <w:highlight w:val="none"/>
        </w:rPr>
        <w:t>（GF—201</w:t>
      </w:r>
      <w:r>
        <w:rPr>
          <w:rFonts w:hint="eastAsia" w:eastAsia="仿宋_GB2312"/>
          <w:bCs/>
          <w:color w:val="auto"/>
          <w:sz w:val="32"/>
          <w:szCs w:val="32"/>
          <w:highlight w:val="none"/>
        </w:rPr>
        <w:t>7</w:t>
      </w:r>
      <w:r>
        <w:rPr>
          <w:rFonts w:eastAsia="仿宋_GB2312"/>
          <w:bCs/>
          <w:color w:val="auto"/>
          <w:sz w:val="32"/>
          <w:szCs w:val="32"/>
          <w:highlight w:val="none"/>
        </w:rPr>
        <w:t>—</w:t>
      </w:r>
      <w:r>
        <w:rPr>
          <w:rFonts w:hint="eastAsia" w:eastAsia="仿宋_GB2312"/>
          <w:bCs/>
          <w:color w:val="auto"/>
          <w:sz w:val="32"/>
          <w:szCs w:val="32"/>
          <w:highlight w:val="none"/>
        </w:rPr>
        <w:t>0201）</w:t>
      </w:r>
    </w:p>
    <w:p w14:paraId="0D06A495">
      <w:pPr>
        <w:jc w:val="center"/>
        <w:rPr>
          <w:rFonts w:eastAsia="华文中宋"/>
          <w:b/>
          <w:color w:val="auto"/>
          <w:sz w:val="52"/>
          <w:szCs w:val="52"/>
          <w:highlight w:val="none"/>
        </w:rPr>
      </w:pPr>
    </w:p>
    <w:p w14:paraId="00CBA05A">
      <w:pPr>
        <w:jc w:val="center"/>
        <w:rPr>
          <w:rFonts w:eastAsia="华文中宋"/>
          <w:b/>
          <w:color w:val="auto"/>
          <w:sz w:val="52"/>
          <w:szCs w:val="52"/>
          <w:highlight w:val="none"/>
        </w:rPr>
      </w:pPr>
    </w:p>
    <w:p w14:paraId="1F9BFD51">
      <w:pPr>
        <w:jc w:val="center"/>
        <w:rPr>
          <w:rFonts w:eastAsia="华文中宋"/>
          <w:b/>
          <w:color w:val="auto"/>
          <w:sz w:val="52"/>
          <w:szCs w:val="52"/>
          <w:highlight w:val="none"/>
        </w:rPr>
      </w:pPr>
    </w:p>
    <w:p w14:paraId="62A03A48">
      <w:pPr>
        <w:jc w:val="center"/>
        <w:rPr>
          <w:rFonts w:eastAsia="华文中宋"/>
          <w:b/>
          <w:color w:val="auto"/>
          <w:sz w:val="52"/>
          <w:szCs w:val="52"/>
          <w:highlight w:val="none"/>
        </w:rPr>
      </w:pPr>
    </w:p>
    <w:p w14:paraId="6D38CBC9">
      <w:pPr>
        <w:jc w:val="center"/>
        <w:rPr>
          <w:rFonts w:eastAsia="华文中宋"/>
          <w:b/>
          <w:color w:val="auto"/>
          <w:sz w:val="52"/>
          <w:szCs w:val="52"/>
          <w:highlight w:val="none"/>
        </w:rPr>
      </w:pPr>
      <w:r>
        <w:rPr>
          <w:rFonts w:eastAsia="华文中宋"/>
          <w:b/>
          <w:color w:val="auto"/>
          <w:sz w:val="72"/>
          <w:szCs w:val="52"/>
          <w:highlight w:val="none"/>
        </w:rPr>
        <w:t>建设工程施工合同</w:t>
      </w:r>
      <w:r>
        <w:rPr>
          <w:rFonts w:eastAsia="华文中宋"/>
          <w:b/>
          <w:color w:val="auto"/>
          <w:sz w:val="52"/>
          <w:szCs w:val="52"/>
          <w:highlight w:val="none"/>
        </w:rPr>
        <w:br w:type="textWrapping"/>
      </w:r>
    </w:p>
    <w:p w14:paraId="6403F256">
      <w:pPr>
        <w:jc w:val="center"/>
        <w:rPr>
          <w:rFonts w:eastAsia="华文中宋"/>
          <w:b/>
          <w:color w:val="auto"/>
          <w:sz w:val="52"/>
          <w:szCs w:val="52"/>
          <w:highlight w:val="none"/>
        </w:rPr>
      </w:pPr>
    </w:p>
    <w:p w14:paraId="02E98D46">
      <w:pPr>
        <w:jc w:val="center"/>
        <w:rPr>
          <w:rFonts w:eastAsia="黑体"/>
          <w:b/>
          <w:color w:val="auto"/>
          <w:sz w:val="72"/>
          <w:szCs w:val="72"/>
          <w:highlight w:val="none"/>
        </w:rPr>
      </w:pPr>
    </w:p>
    <w:p w14:paraId="601FC1DD">
      <w:pPr>
        <w:jc w:val="center"/>
        <w:rPr>
          <w:rFonts w:eastAsia="楷体_GB2312"/>
          <w:b/>
          <w:color w:val="auto"/>
          <w:sz w:val="72"/>
          <w:szCs w:val="72"/>
          <w:highlight w:val="none"/>
        </w:rPr>
      </w:pPr>
    </w:p>
    <w:p w14:paraId="40353A78">
      <w:pPr>
        <w:jc w:val="center"/>
        <w:rPr>
          <w:rFonts w:eastAsia="黑体"/>
          <w:b/>
          <w:color w:val="auto"/>
          <w:sz w:val="52"/>
          <w:szCs w:val="52"/>
          <w:highlight w:val="none"/>
        </w:rPr>
      </w:pPr>
    </w:p>
    <w:p w14:paraId="3E8CA89D">
      <w:pPr>
        <w:rPr>
          <w:b/>
          <w:color w:val="auto"/>
          <w:sz w:val="28"/>
          <w:szCs w:val="28"/>
          <w:highlight w:val="none"/>
        </w:rPr>
      </w:pPr>
    </w:p>
    <w:p w14:paraId="5FC1DA7C">
      <w:pPr>
        <w:rPr>
          <w:b/>
          <w:color w:val="auto"/>
          <w:sz w:val="28"/>
          <w:szCs w:val="28"/>
          <w:highlight w:val="none"/>
        </w:rPr>
      </w:pPr>
    </w:p>
    <w:p w14:paraId="235AC03B">
      <w:pPr>
        <w:rPr>
          <w:b/>
          <w:color w:val="auto"/>
          <w:sz w:val="28"/>
          <w:szCs w:val="28"/>
          <w:highlight w:val="none"/>
        </w:rPr>
      </w:pPr>
    </w:p>
    <w:p w14:paraId="6099E156">
      <w:pPr>
        <w:rPr>
          <w:b/>
          <w:color w:val="auto"/>
          <w:sz w:val="28"/>
          <w:szCs w:val="28"/>
          <w:highlight w:val="none"/>
        </w:rPr>
      </w:pPr>
    </w:p>
    <w:p w14:paraId="7BE3FB16">
      <w:pPr>
        <w:rPr>
          <w:b/>
          <w:color w:val="auto"/>
          <w:sz w:val="28"/>
          <w:szCs w:val="28"/>
          <w:highlight w:val="none"/>
        </w:rPr>
      </w:pPr>
    </w:p>
    <w:p w14:paraId="427FA556">
      <w:pPr>
        <w:ind w:right="2719" w:rightChars="1295" w:firstLine="2738" w:firstLineChars="1304"/>
        <w:jc w:val="distribute"/>
        <w:rPr>
          <w:b/>
          <w:color w:val="auto"/>
          <w:sz w:val="32"/>
          <w:szCs w:val="28"/>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2" name="文本框 2"/>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14:paraId="13D5DF1D">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59264;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c0tcdgAAAAJAQAADwAAAAAAAAABACAAAAAiAAAAZHJz&#10;L2Rvd25yZXYueG1sUEsBAhQAFAAAAAgAh07iQBMA6w8EAgAADAQAAA4AAAAAAAAAAQAgAAAAJwEA&#10;AGRycy9lMm9Eb2MueG1sUEsFBgAAAAAGAAYAWQEAAJ0FAAAAAA==&#10;">
                <v:fill on="f" focussize="0,0"/>
                <v:stroke color="#FFFFFF" joinstyle="miter"/>
                <v:imagedata o:title=""/>
                <o:lock v:ext="edit" aspectratio="f"/>
                <v:textbox>
                  <w:txbxContent>
                    <w:p w14:paraId="13D5DF1D">
                      <w:pPr>
                        <w:rPr>
                          <w:b/>
                          <w:bCs/>
                          <w:sz w:val="32"/>
                        </w:rPr>
                      </w:pPr>
                      <w:r>
                        <w:rPr>
                          <w:rFonts w:hint="eastAsia"/>
                          <w:b/>
                          <w:bCs/>
                          <w:sz w:val="32"/>
                        </w:rPr>
                        <w:t>制定</w:t>
                      </w:r>
                    </w:p>
                  </w:txbxContent>
                </v:textbox>
              </v:shape>
            </w:pict>
          </mc:Fallback>
        </mc:AlternateContent>
      </w:r>
      <w:r>
        <w:rPr>
          <w:b/>
          <w:color w:val="auto"/>
          <w:sz w:val="32"/>
          <w:szCs w:val="28"/>
          <w:highlight w:val="none"/>
        </w:rPr>
        <w:t>住房城乡建设部</w:t>
      </w:r>
    </w:p>
    <w:p w14:paraId="58D4DD82">
      <w:pPr>
        <w:ind w:right="2719" w:rightChars="1295" w:firstLine="2750" w:firstLineChars="856"/>
        <w:jc w:val="distribute"/>
        <w:rPr>
          <w:b/>
          <w:color w:val="auto"/>
          <w:sz w:val="32"/>
          <w:szCs w:val="28"/>
          <w:highlight w:val="none"/>
        </w:rPr>
        <w:sectPr>
          <w:footerReference r:id="rId6" w:type="first"/>
          <w:footerReference r:id="rId5" w:type="default"/>
          <w:pgSz w:w="11906" w:h="16838"/>
          <w:pgMar w:top="1418" w:right="1555" w:bottom="1418" w:left="1531" w:header="851" w:footer="992" w:gutter="0"/>
          <w:pgNumType w:start="1"/>
          <w:cols w:space="720" w:num="1"/>
          <w:titlePg/>
          <w:docGrid w:type="lines" w:linePitch="312" w:charSpace="0"/>
        </w:sectPr>
      </w:pPr>
      <w:r>
        <w:rPr>
          <w:b/>
          <w:color w:val="auto"/>
          <w:sz w:val="32"/>
          <w:szCs w:val="28"/>
          <w:highlight w:val="none"/>
        </w:rPr>
        <w:t>国家工商行政管理总局</w:t>
      </w:r>
      <w:bookmarkStart w:id="82" w:name="_Toc296890982"/>
      <w:bookmarkStart w:id="83" w:name="_Toc296503025"/>
    </w:p>
    <w:p w14:paraId="1B72B590">
      <w:pPr>
        <w:tabs>
          <w:tab w:val="left" w:pos="2424"/>
        </w:tabs>
        <w:rPr>
          <w:rFonts w:ascii="华文中宋" w:hAnsi="华文中宋" w:eastAsia="华文中宋"/>
          <w:color w:val="auto"/>
          <w:sz w:val="44"/>
          <w:szCs w:val="44"/>
          <w:highlight w:val="none"/>
        </w:rPr>
      </w:pPr>
      <w:bookmarkStart w:id="84" w:name="_Toc351203480"/>
      <w:r>
        <w:rPr>
          <w:color w:val="auto"/>
          <w:highlight w:val="none"/>
        </w:rPr>
        <w:tab/>
      </w:r>
      <w:r>
        <w:rPr>
          <w:rFonts w:ascii="华文中宋" w:hAnsi="华文中宋" w:eastAsia="华文中宋"/>
          <w:color w:val="auto"/>
          <w:sz w:val="44"/>
          <w:szCs w:val="44"/>
          <w:highlight w:val="none"/>
        </w:rPr>
        <w:tab/>
      </w:r>
    </w:p>
    <w:p w14:paraId="2B41F7A4">
      <w:pPr>
        <w:tabs>
          <w:tab w:val="left" w:pos="2424"/>
        </w:tabs>
        <w:jc w:val="center"/>
        <w:rPr>
          <w:rFonts w:eastAsia="华文中宋"/>
          <w:b/>
          <w:color w:val="auto"/>
          <w:sz w:val="44"/>
          <w:szCs w:val="44"/>
          <w:highlight w:val="none"/>
        </w:rPr>
      </w:pPr>
      <w:r>
        <w:rPr>
          <w:rFonts w:ascii="华文中宋" w:hAnsi="华文中宋" w:eastAsia="华文中宋"/>
          <w:color w:val="auto"/>
          <w:sz w:val="44"/>
          <w:szCs w:val="44"/>
          <w:highlight w:val="none"/>
        </w:rPr>
        <w:t>第一部分 合同协议书</w:t>
      </w:r>
      <w:bookmarkEnd w:id="82"/>
      <w:bookmarkEnd w:id="83"/>
      <w:bookmarkEnd w:id="84"/>
    </w:p>
    <w:p w14:paraId="6F822A2D">
      <w:pPr>
        <w:spacing w:line="360" w:lineRule="auto"/>
        <w:rPr>
          <w:rFonts w:eastAsia="仿宋_GB2312"/>
          <w:b/>
          <w:color w:val="auto"/>
          <w:sz w:val="30"/>
          <w:szCs w:val="30"/>
          <w:highlight w:val="none"/>
          <w:u w:val="single"/>
        </w:rPr>
      </w:pPr>
      <w:r>
        <w:rPr>
          <w:rFonts w:eastAsia="仿宋_GB2312"/>
          <w:b/>
          <w:color w:val="auto"/>
          <w:sz w:val="30"/>
          <w:szCs w:val="30"/>
          <w:highlight w:val="none"/>
        </w:rPr>
        <w:t>发包人（全称）：</w:t>
      </w:r>
      <w:r>
        <w:rPr>
          <w:rFonts w:eastAsia="仿宋_GB2312"/>
          <w:b/>
          <w:color w:val="auto"/>
          <w:sz w:val="30"/>
          <w:szCs w:val="30"/>
          <w:highlight w:val="none"/>
          <w:u w:val="single"/>
        </w:rPr>
        <w:t xml:space="preserve">                                    </w:t>
      </w:r>
    </w:p>
    <w:p w14:paraId="43BFDC62">
      <w:pPr>
        <w:spacing w:line="360" w:lineRule="auto"/>
        <w:rPr>
          <w:rFonts w:eastAsia="仿宋_GB2312"/>
          <w:b/>
          <w:color w:val="auto"/>
          <w:sz w:val="30"/>
          <w:szCs w:val="30"/>
          <w:highlight w:val="none"/>
          <w:u w:val="single"/>
        </w:rPr>
      </w:pPr>
      <w:r>
        <w:rPr>
          <w:rFonts w:eastAsia="仿宋_GB2312"/>
          <w:b/>
          <w:color w:val="auto"/>
          <w:sz w:val="30"/>
          <w:szCs w:val="30"/>
          <w:highlight w:val="none"/>
        </w:rPr>
        <w:t>承包人（全称）：</w:t>
      </w:r>
      <w:r>
        <w:rPr>
          <w:rFonts w:eastAsia="仿宋_GB2312"/>
          <w:b/>
          <w:color w:val="auto"/>
          <w:sz w:val="30"/>
          <w:szCs w:val="30"/>
          <w:highlight w:val="none"/>
          <w:u w:val="single"/>
        </w:rPr>
        <w:t xml:space="preserve">                                    </w:t>
      </w:r>
    </w:p>
    <w:p w14:paraId="32AE93C2">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根据《</w:t>
      </w:r>
      <w:r>
        <w:rPr>
          <w:rFonts w:hint="eastAsia" w:eastAsia="仿宋_GB2312"/>
          <w:color w:val="auto"/>
          <w:sz w:val="30"/>
          <w:szCs w:val="30"/>
          <w:highlight w:val="none"/>
        </w:rPr>
        <w:t>中华人民共和国民法典</w:t>
      </w:r>
      <w:r>
        <w:rPr>
          <w:rFonts w:eastAsia="仿宋_GB2312"/>
          <w:color w:val="auto"/>
          <w:sz w:val="30"/>
          <w:szCs w:val="30"/>
          <w:highlight w:val="none"/>
        </w:rPr>
        <w:t>》、《中华人民共和国建筑法》及有关法律规定，遵循平等、自愿、公平和诚实信用的原则，双方就</w:t>
      </w:r>
    </w:p>
    <w:p w14:paraId="534E7DBE">
      <w:pPr>
        <w:spacing w:line="360" w:lineRule="auto"/>
        <w:rPr>
          <w:rFonts w:eastAsia="仿宋_GB2312"/>
          <w:color w:val="auto"/>
          <w:sz w:val="30"/>
          <w:szCs w:val="30"/>
          <w:highlight w:val="none"/>
        </w:rPr>
      </w:pPr>
      <w:r>
        <w:rPr>
          <w:rFonts w:eastAsia="仿宋_GB2312"/>
          <w:color w:val="auto"/>
          <w:sz w:val="30"/>
          <w:szCs w:val="30"/>
          <w:highlight w:val="none"/>
          <w:u w:val="single"/>
        </w:rPr>
        <w:t xml:space="preserve">                 </w:t>
      </w:r>
      <w:r>
        <w:rPr>
          <w:rFonts w:eastAsia="仿宋_GB2312"/>
          <w:color w:val="auto"/>
          <w:sz w:val="30"/>
          <w:szCs w:val="30"/>
          <w:highlight w:val="none"/>
        </w:rPr>
        <w:t>工程施工及有关事项协商一致</w:t>
      </w:r>
      <w:r>
        <w:rPr>
          <w:rFonts w:hint="eastAsia" w:eastAsia="仿宋_GB2312"/>
          <w:color w:val="auto"/>
          <w:sz w:val="30"/>
          <w:szCs w:val="30"/>
          <w:highlight w:val="none"/>
        </w:rPr>
        <w:t>，</w:t>
      </w:r>
      <w:r>
        <w:rPr>
          <w:rFonts w:eastAsia="仿宋_GB2312"/>
          <w:color w:val="auto"/>
          <w:sz w:val="30"/>
          <w:szCs w:val="30"/>
          <w:highlight w:val="none"/>
        </w:rPr>
        <w:t>共同达成如下协议：</w:t>
      </w:r>
    </w:p>
    <w:p w14:paraId="0E5A8CAC">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5" w:name="_Toc351203481"/>
      <w:r>
        <w:rPr>
          <w:rFonts w:ascii="Times New Roman" w:hAnsi="Times New Roman" w:eastAsia="黑体"/>
          <w:b w:val="0"/>
          <w:color w:val="auto"/>
          <w:sz w:val="32"/>
          <w:szCs w:val="32"/>
          <w:highlight w:val="none"/>
        </w:rPr>
        <w:t>一、工程概况</w:t>
      </w:r>
      <w:bookmarkEnd w:id="85"/>
    </w:p>
    <w:p w14:paraId="609D50CC">
      <w:pPr>
        <w:spacing w:line="360" w:lineRule="auto"/>
        <w:ind w:firstLine="588" w:firstLineChars="196"/>
        <w:rPr>
          <w:rFonts w:eastAsia="仿宋_GB2312"/>
          <w:color w:val="auto"/>
          <w:sz w:val="30"/>
          <w:szCs w:val="30"/>
          <w:highlight w:val="none"/>
          <w:u w:val="single"/>
        </w:rPr>
      </w:pPr>
      <w:r>
        <w:rPr>
          <w:rFonts w:eastAsia="仿宋_GB2312"/>
          <w:bCs/>
          <w:color w:val="auto"/>
          <w:sz w:val="30"/>
          <w:szCs w:val="30"/>
          <w:highlight w:val="none"/>
        </w:rPr>
        <w:t>1.工程名称</w:t>
      </w:r>
      <w:r>
        <w:rPr>
          <w:rFonts w:eastAsia="仿宋_GB2312"/>
          <w:color w:val="auto"/>
          <w:sz w:val="30"/>
          <w:szCs w:val="30"/>
          <w:highlight w:val="none"/>
        </w:rPr>
        <w:t>：</w:t>
      </w:r>
      <w:r>
        <w:rPr>
          <w:rFonts w:eastAsia="仿宋_GB2312"/>
          <w:color w:val="auto"/>
          <w:sz w:val="30"/>
          <w:szCs w:val="30"/>
          <w:highlight w:val="none"/>
          <w:u w:val="single"/>
        </w:rPr>
        <w:t xml:space="preserve">                              </w:t>
      </w:r>
      <w:r>
        <w:rPr>
          <w:rFonts w:eastAsia="仿宋_GB2312"/>
          <w:color w:val="auto"/>
          <w:sz w:val="30"/>
          <w:szCs w:val="30"/>
          <w:highlight w:val="none"/>
        </w:rPr>
        <w:t>。</w:t>
      </w:r>
    </w:p>
    <w:p w14:paraId="05E7DE61">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2.工程地点：</w:t>
      </w:r>
      <w:r>
        <w:rPr>
          <w:rFonts w:eastAsia="仿宋_GB2312"/>
          <w:color w:val="auto"/>
          <w:sz w:val="30"/>
          <w:szCs w:val="30"/>
          <w:highlight w:val="none"/>
          <w:u w:val="single"/>
        </w:rPr>
        <w:t xml:space="preserve">                              </w:t>
      </w:r>
      <w:r>
        <w:rPr>
          <w:rFonts w:eastAsia="仿宋_GB2312"/>
          <w:color w:val="auto"/>
          <w:sz w:val="30"/>
          <w:szCs w:val="30"/>
          <w:highlight w:val="none"/>
        </w:rPr>
        <w:t>。</w:t>
      </w:r>
    </w:p>
    <w:p w14:paraId="08D00BE5">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3.工程立项批准文号：</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4AC1CB5D">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4.资金来源：</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0E654466">
      <w:pPr>
        <w:spacing w:line="360" w:lineRule="auto"/>
        <w:ind w:firstLine="588" w:firstLineChars="196"/>
        <w:rPr>
          <w:rFonts w:eastAsia="仿宋_GB2312"/>
          <w:bCs/>
          <w:color w:val="auto"/>
          <w:sz w:val="30"/>
          <w:szCs w:val="30"/>
          <w:highlight w:val="none"/>
        </w:rPr>
      </w:pPr>
      <w:r>
        <w:rPr>
          <w:rFonts w:hint="eastAsia" w:eastAsia="仿宋_GB2312"/>
          <w:bCs/>
          <w:color w:val="auto"/>
          <w:sz w:val="30"/>
          <w:szCs w:val="30"/>
          <w:highlight w:val="none"/>
        </w:rPr>
        <w:t>5.工程内容：</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1F658214">
      <w:pPr>
        <w:spacing w:line="360" w:lineRule="auto"/>
        <w:ind w:firstLine="600" w:firstLineChars="200"/>
        <w:rPr>
          <w:rFonts w:eastAsia="仿宋_GB2312"/>
          <w:color w:val="auto"/>
          <w:sz w:val="30"/>
          <w:szCs w:val="30"/>
          <w:highlight w:val="none"/>
        </w:rPr>
      </w:pPr>
      <w:r>
        <w:rPr>
          <w:rFonts w:hint="eastAsia" w:eastAsia="仿宋_GB2312"/>
          <w:bCs/>
          <w:color w:val="auto"/>
          <w:sz w:val="30"/>
          <w:szCs w:val="30"/>
          <w:highlight w:val="none"/>
        </w:rPr>
        <w:t>6</w:t>
      </w:r>
      <w:r>
        <w:rPr>
          <w:rFonts w:eastAsia="仿宋_GB2312"/>
          <w:bCs/>
          <w:color w:val="auto"/>
          <w:sz w:val="30"/>
          <w:szCs w:val="30"/>
          <w:highlight w:val="none"/>
        </w:rPr>
        <w:t>.工程承包范围：</w:t>
      </w:r>
      <w:r>
        <w:rPr>
          <w:rFonts w:eastAsia="仿宋_GB2312"/>
          <w:color w:val="auto"/>
          <w:sz w:val="30"/>
          <w:szCs w:val="30"/>
          <w:highlight w:val="none"/>
          <w:u w:val="single"/>
        </w:rPr>
        <w:t xml:space="preserve">                          </w:t>
      </w:r>
      <w:r>
        <w:rPr>
          <w:rFonts w:eastAsia="仿宋_GB2312"/>
          <w:color w:val="auto"/>
          <w:sz w:val="30"/>
          <w:szCs w:val="30"/>
          <w:highlight w:val="none"/>
        </w:rPr>
        <w:t>。</w:t>
      </w:r>
    </w:p>
    <w:p w14:paraId="7BC668BE">
      <w:pPr>
        <w:pStyle w:val="8"/>
        <w:ind w:left="0" w:leftChars="0" w:right="63" w:firstLine="600" w:firstLineChars="200"/>
        <w:jc w:val="both"/>
        <w:rPr>
          <w:color w:val="auto"/>
          <w:highlight w:val="none"/>
        </w:rPr>
      </w:pPr>
      <w:r>
        <w:rPr>
          <w:rFonts w:hint="eastAsia" w:eastAsia="仿宋_GB2312"/>
          <w:bCs/>
          <w:color w:val="auto"/>
          <w:sz w:val="30"/>
          <w:szCs w:val="30"/>
          <w:highlight w:val="none"/>
        </w:rPr>
        <w:t>7</w:t>
      </w:r>
      <w:r>
        <w:rPr>
          <w:rFonts w:eastAsia="仿宋_GB2312"/>
          <w:bCs/>
          <w:color w:val="auto"/>
          <w:sz w:val="30"/>
          <w:szCs w:val="30"/>
          <w:highlight w:val="none"/>
        </w:rPr>
        <w:t>.</w:t>
      </w:r>
      <w:r>
        <w:rPr>
          <w:rFonts w:hint="eastAsia" w:eastAsia="仿宋_GB2312"/>
          <w:bCs/>
          <w:color w:val="auto"/>
          <w:sz w:val="30"/>
          <w:szCs w:val="30"/>
          <w:highlight w:val="none"/>
        </w:rPr>
        <w:t>甲供材</w:t>
      </w:r>
      <w:r>
        <w:rPr>
          <w:rFonts w:eastAsia="仿宋_GB2312"/>
          <w:bCs/>
          <w:color w:val="auto"/>
          <w:sz w:val="30"/>
          <w:szCs w:val="30"/>
          <w:highlight w:val="none"/>
        </w:rPr>
        <w:t>范围：</w:t>
      </w:r>
      <w:r>
        <w:rPr>
          <w:rFonts w:eastAsia="仿宋_GB2312"/>
          <w:color w:val="auto"/>
          <w:sz w:val="30"/>
          <w:szCs w:val="30"/>
          <w:highlight w:val="none"/>
          <w:u w:val="single"/>
        </w:rPr>
        <w:t xml:space="preserve">                            </w:t>
      </w:r>
      <w:r>
        <w:rPr>
          <w:rFonts w:eastAsia="仿宋_GB2312"/>
          <w:color w:val="auto"/>
          <w:sz w:val="30"/>
          <w:szCs w:val="30"/>
          <w:highlight w:val="none"/>
        </w:rPr>
        <w:t>。</w:t>
      </w:r>
    </w:p>
    <w:p w14:paraId="292045DD">
      <w:pPr>
        <w:pStyle w:val="8"/>
        <w:ind w:left="63" w:right="63"/>
        <w:rPr>
          <w:color w:val="auto"/>
          <w:highlight w:val="none"/>
        </w:rPr>
      </w:pPr>
    </w:p>
    <w:p w14:paraId="542D4545">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 xml:space="preserve">   </w:t>
      </w:r>
      <w:bookmarkStart w:id="86" w:name="_Toc351203482"/>
      <w:r>
        <w:rPr>
          <w:rFonts w:ascii="Times New Roman" w:hAnsi="Times New Roman" w:eastAsia="黑体"/>
          <w:b w:val="0"/>
          <w:color w:val="auto"/>
          <w:sz w:val="32"/>
          <w:szCs w:val="32"/>
          <w:highlight w:val="none"/>
        </w:rPr>
        <w:t>二、合同工期</w:t>
      </w:r>
      <w:bookmarkEnd w:id="86"/>
    </w:p>
    <w:p w14:paraId="4AF9CEC2">
      <w:pPr>
        <w:spacing w:line="360" w:lineRule="auto"/>
        <w:ind w:firstLine="459"/>
        <w:rPr>
          <w:rFonts w:eastAsia="仿宋_GB2312"/>
          <w:color w:val="auto"/>
          <w:sz w:val="30"/>
          <w:szCs w:val="30"/>
          <w:highlight w:val="none"/>
        </w:rPr>
      </w:pPr>
      <w:r>
        <w:rPr>
          <w:rFonts w:eastAsia="仿宋_GB2312"/>
          <w:color w:val="auto"/>
          <w:sz w:val="30"/>
          <w:szCs w:val="30"/>
          <w:highlight w:val="none"/>
        </w:rPr>
        <w:t>计划开工日期：</w:t>
      </w:r>
      <w:r>
        <w:rPr>
          <w:rFonts w:eastAsia="仿宋_GB2312"/>
          <w:color w:val="auto"/>
          <w:sz w:val="30"/>
          <w:szCs w:val="30"/>
          <w:highlight w:val="none"/>
          <w:u w:val="single"/>
        </w:rPr>
        <w:t xml:space="preserve">      </w:t>
      </w:r>
      <w:r>
        <w:rPr>
          <w:rFonts w:eastAsia="仿宋_GB2312"/>
          <w:color w:val="auto"/>
          <w:sz w:val="30"/>
          <w:szCs w:val="30"/>
          <w:highlight w:val="none"/>
        </w:rPr>
        <w:t>年</w:t>
      </w:r>
      <w:r>
        <w:rPr>
          <w:rFonts w:eastAsia="仿宋_GB2312"/>
          <w:color w:val="auto"/>
          <w:sz w:val="30"/>
          <w:szCs w:val="30"/>
          <w:highlight w:val="none"/>
          <w:u w:val="single"/>
        </w:rPr>
        <w:t xml:space="preserve">      </w:t>
      </w:r>
      <w:r>
        <w:rPr>
          <w:rFonts w:eastAsia="仿宋_GB2312"/>
          <w:color w:val="auto"/>
          <w:sz w:val="30"/>
          <w:szCs w:val="30"/>
          <w:highlight w:val="none"/>
        </w:rPr>
        <w:t>月</w:t>
      </w:r>
      <w:r>
        <w:rPr>
          <w:rFonts w:eastAsia="仿宋_GB2312"/>
          <w:color w:val="auto"/>
          <w:sz w:val="30"/>
          <w:szCs w:val="30"/>
          <w:highlight w:val="none"/>
          <w:u w:val="single"/>
        </w:rPr>
        <w:t xml:space="preserve">      </w:t>
      </w:r>
      <w:r>
        <w:rPr>
          <w:rFonts w:eastAsia="仿宋_GB2312"/>
          <w:color w:val="auto"/>
          <w:sz w:val="30"/>
          <w:szCs w:val="30"/>
          <w:highlight w:val="none"/>
        </w:rPr>
        <w:t>日。</w:t>
      </w:r>
    </w:p>
    <w:p w14:paraId="3A4E46D2">
      <w:pPr>
        <w:spacing w:line="360" w:lineRule="auto"/>
        <w:ind w:firstLine="459"/>
        <w:rPr>
          <w:rFonts w:eastAsia="仿宋_GB2312"/>
          <w:color w:val="auto"/>
          <w:sz w:val="30"/>
          <w:szCs w:val="30"/>
          <w:highlight w:val="none"/>
        </w:rPr>
      </w:pPr>
      <w:r>
        <w:rPr>
          <w:rFonts w:eastAsia="仿宋_GB2312"/>
          <w:color w:val="auto"/>
          <w:sz w:val="30"/>
          <w:szCs w:val="30"/>
          <w:highlight w:val="none"/>
        </w:rPr>
        <w:t>计划竣工日期：</w:t>
      </w:r>
      <w:r>
        <w:rPr>
          <w:rFonts w:eastAsia="仿宋_GB2312"/>
          <w:color w:val="auto"/>
          <w:sz w:val="30"/>
          <w:szCs w:val="30"/>
          <w:highlight w:val="none"/>
          <w:u w:val="single"/>
        </w:rPr>
        <w:t xml:space="preserve">      </w:t>
      </w:r>
      <w:r>
        <w:rPr>
          <w:rFonts w:eastAsia="仿宋_GB2312"/>
          <w:color w:val="auto"/>
          <w:sz w:val="30"/>
          <w:szCs w:val="30"/>
          <w:highlight w:val="none"/>
        </w:rPr>
        <w:t>年</w:t>
      </w:r>
      <w:r>
        <w:rPr>
          <w:rFonts w:eastAsia="仿宋_GB2312"/>
          <w:color w:val="auto"/>
          <w:sz w:val="30"/>
          <w:szCs w:val="30"/>
          <w:highlight w:val="none"/>
          <w:u w:val="single"/>
        </w:rPr>
        <w:t xml:space="preserve">      </w:t>
      </w:r>
      <w:r>
        <w:rPr>
          <w:rFonts w:eastAsia="仿宋_GB2312"/>
          <w:color w:val="auto"/>
          <w:sz w:val="30"/>
          <w:szCs w:val="30"/>
          <w:highlight w:val="none"/>
        </w:rPr>
        <w:t>月</w:t>
      </w:r>
      <w:r>
        <w:rPr>
          <w:rFonts w:eastAsia="仿宋_GB2312"/>
          <w:color w:val="auto"/>
          <w:sz w:val="30"/>
          <w:szCs w:val="30"/>
          <w:highlight w:val="none"/>
          <w:u w:val="single"/>
        </w:rPr>
        <w:t xml:space="preserve">      </w:t>
      </w:r>
      <w:r>
        <w:rPr>
          <w:rFonts w:eastAsia="仿宋_GB2312"/>
          <w:color w:val="auto"/>
          <w:sz w:val="30"/>
          <w:szCs w:val="30"/>
          <w:highlight w:val="none"/>
        </w:rPr>
        <w:t>日。</w:t>
      </w:r>
    </w:p>
    <w:p w14:paraId="3B905730">
      <w:pPr>
        <w:spacing w:line="360" w:lineRule="auto"/>
        <w:ind w:firstLine="459"/>
        <w:rPr>
          <w:rFonts w:eastAsia="仿宋_GB2312"/>
          <w:color w:val="auto"/>
          <w:sz w:val="30"/>
          <w:szCs w:val="30"/>
          <w:highlight w:val="none"/>
        </w:rPr>
      </w:pPr>
      <w:r>
        <w:rPr>
          <w:rFonts w:eastAsia="仿宋_GB2312"/>
          <w:color w:val="auto"/>
          <w:sz w:val="30"/>
          <w:szCs w:val="30"/>
          <w:highlight w:val="none"/>
        </w:rPr>
        <w:t>工期总日历天数：</w:t>
      </w:r>
      <w:r>
        <w:rPr>
          <w:rFonts w:eastAsia="仿宋_GB2312"/>
          <w:color w:val="auto"/>
          <w:sz w:val="30"/>
          <w:szCs w:val="30"/>
          <w:highlight w:val="none"/>
          <w:u w:val="single"/>
        </w:rPr>
        <w:t xml:space="preserve">      </w:t>
      </w:r>
      <w:r>
        <w:rPr>
          <w:rFonts w:eastAsia="仿宋_GB2312"/>
          <w:color w:val="auto"/>
          <w:sz w:val="30"/>
          <w:szCs w:val="30"/>
          <w:highlight w:val="none"/>
        </w:rPr>
        <w:t>天。</w:t>
      </w:r>
      <w:r>
        <w:rPr>
          <w:rFonts w:hint="eastAsia" w:eastAsia="仿宋_GB2312"/>
          <w:color w:val="auto"/>
          <w:sz w:val="30"/>
          <w:szCs w:val="30"/>
          <w:highlight w:val="none"/>
        </w:rPr>
        <w:t>合同工期为合同范围内所有工程内容的整体工期，竣工验收之日应以合同内最后一个单位工程验收合格之日为准。</w:t>
      </w:r>
      <w:r>
        <w:rPr>
          <w:rFonts w:eastAsia="仿宋_GB2312"/>
          <w:color w:val="auto"/>
          <w:sz w:val="30"/>
          <w:szCs w:val="30"/>
          <w:highlight w:val="none"/>
        </w:rPr>
        <w:t>工期总日历天数与根据前述计划开竣工日期计算的工期天数不一致的，以工期总日历天数为准。</w:t>
      </w:r>
    </w:p>
    <w:p w14:paraId="52E30B12">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87" w:name="_Toc351203483"/>
      <w:r>
        <w:rPr>
          <w:rFonts w:ascii="Times New Roman" w:hAnsi="Times New Roman" w:eastAsia="黑体"/>
          <w:b w:val="0"/>
          <w:color w:val="auto"/>
          <w:sz w:val="32"/>
          <w:szCs w:val="32"/>
          <w:highlight w:val="none"/>
        </w:rPr>
        <w:t>三、质量标准</w:t>
      </w:r>
      <w:bookmarkEnd w:id="87"/>
    </w:p>
    <w:p w14:paraId="299CE85C">
      <w:pPr>
        <w:spacing w:line="360" w:lineRule="auto"/>
        <w:ind w:firstLine="459"/>
        <w:rPr>
          <w:rFonts w:eastAsia="仿宋_GB2312"/>
          <w:color w:val="auto"/>
          <w:sz w:val="30"/>
          <w:szCs w:val="30"/>
          <w:highlight w:val="none"/>
        </w:rPr>
      </w:pPr>
      <w:r>
        <w:rPr>
          <w:rFonts w:eastAsia="仿宋_GB2312"/>
          <w:color w:val="auto"/>
          <w:sz w:val="30"/>
          <w:szCs w:val="30"/>
          <w:highlight w:val="none"/>
        </w:rPr>
        <w:t>工程质量符合</w:t>
      </w:r>
      <w:r>
        <w:rPr>
          <w:rFonts w:hint="eastAsia" w:eastAsia="仿宋_GB2312"/>
          <w:color w:val="auto"/>
          <w:sz w:val="30"/>
          <w:szCs w:val="30"/>
          <w:highlight w:val="none"/>
          <w:u w:val="single"/>
        </w:rPr>
        <w:t xml:space="preserve"> 国家现行有关施工质量验收规范及双方约定的施工方案的要求，并达到合格 </w:t>
      </w:r>
      <w:r>
        <w:rPr>
          <w:rFonts w:eastAsia="仿宋_GB2312"/>
          <w:color w:val="auto"/>
          <w:sz w:val="30"/>
          <w:szCs w:val="30"/>
          <w:highlight w:val="none"/>
        </w:rPr>
        <w:t>标准。</w:t>
      </w:r>
    </w:p>
    <w:p w14:paraId="084684EF">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8" w:name="_Toc351203484"/>
      <w:r>
        <w:rPr>
          <w:rFonts w:ascii="Times New Roman" w:hAnsi="Times New Roman" w:eastAsia="黑体"/>
          <w:b w:val="0"/>
          <w:color w:val="auto"/>
          <w:sz w:val="32"/>
          <w:szCs w:val="32"/>
          <w:highlight w:val="none"/>
        </w:rPr>
        <w:t>四、签约合同价与合同价格形式</w:t>
      </w:r>
      <w:bookmarkEnd w:id="88"/>
      <w:r>
        <w:rPr>
          <w:rFonts w:ascii="Times New Roman" w:hAnsi="Times New Roman" w:eastAsia="黑体"/>
          <w:b w:val="0"/>
          <w:color w:val="auto"/>
          <w:sz w:val="32"/>
          <w:szCs w:val="32"/>
          <w:highlight w:val="none"/>
        </w:rPr>
        <w:tab/>
      </w:r>
    </w:p>
    <w:p w14:paraId="2EF741F9">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1.签约合同价为：</w:t>
      </w:r>
    </w:p>
    <w:p w14:paraId="7EF7CAB8">
      <w:pPr>
        <w:spacing w:line="360" w:lineRule="auto"/>
        <w:ind w:firstLine="750" w:firstLineChars="2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5B535424">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其中：</w:t>
      </w:r>
    </w:p>
    <w:p w14:paraId="098F79EA">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（1）安全文明施工费：</w:t>
      </w:r>
    </w:p>
    <w:p w14:paraId="22F596BA">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5A25B988">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（2）</w:t>
      </w:r>
      <w:r>
        <w:rPr>
          <w:rFonts w:hint="eastAsia" w:eastAsia="仿宋_GB2312"/>
          <w:color w:val="auto"/>
          <w:sz w:val="30"/>
          <w:szCs w:val="30"/>
          <w:highlight w:val="none"/>
        </w:rPr>
        <w:t>甲供材料暂估</w:t>
      </w:r>
      <w:r>
        <w:rPr>
          <w:rFonts w:eastAsia="仿宋_GB2312"/>
          <w:color w:val="auto"/>
          <w:sz w:val="30"/>
          <w:szCs w:val="30"/>
          <w:highlight w:val="none"/>
        </w:rPr>
        <w:t>金额：</w:t>
      </w:r>
    </w:p>
    <w:p w14:paraId="1898E4F5">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666C78C8">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（3）暂列金额：</w:t>
      </w:r>
    </w:p>
    <w:p w14:paraId="0938B923">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28C980E0">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2.合同价格形式：</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固定单价合同</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2A663C8C">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9" w:name="_Toc351203485"/>
      <w:r>
        <w:rPr>
          <w:rFonts w:ascii="Times New Roman" w:hAnsi="Times New Roman" w:eastAsia="黑体"/>
          <w:b w:val="0"/>
          <w:color w:val="auto"/>
          <w:sz w:val="32"/>
          <w:szCs w:val="32"/>
          <w:highlight w:val="none"/>
        </w:rPr>
        <w:t>五、</w:t>
      </w:r>
      <w:bookmarkEnd w:id="89"/>
      <w:r>
        <w:rPr>
          <w:rFonts w:ascii="Times New Roman" w:hAnsi="Times New Roman" w:eastAsia="黑体"/>
          <w:b w:val="0"/>
          <w:color w:val="auto"/>
          <w:sz w:val="32"/>
          <w:szCs w:val="32"/>
          <w:highlight w:val="none"/>
        </w:rPr>
        <w:t>项目经理</w:t>
      </w:r>
    </w:p>
    <w:p w14:paraId="4F471268">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承包人项目经理：</w:t>
      </w:r>
      <w:r>
        <w:rPr>
          <w:rFonts w:eastAsia="仿宋_GB2312"/>
          <w:color w:val="auto"/>
          <w:sz w:val="30"/>
          <w:szCs w:val="30"/>
          <w:highlight w:val="none"/>
          <w:u w:val="single"/>
        </w:rPr>
        <w:t xml:space="preserve">                  </w:t>
      </w:r>
      <w:r>
        <w:rPr>
          <w:rFonts w:eastAsia="仿宋_GB2312"/>
          <w:color w:val="auto"/>
          <w:sz w:val="30"/>
          <w:szCs w:val="30"/>
          <w:highlight w:val="none"/>
        </w:rPr>
        <w:t>。</w:t>
      </w:r>
    </w:p>
    <w:p w14:paraId="2E7BEF34">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0" w:name="_Toc351203486"/>
      <w:r>
        <w:rPr>
          <w:rFonts w:ascii="Times New Roman" w:hAnsi="Times New Roman" w:eastAsia="黑体"/>
          <w:b w:val="0"/>
          <w:color w:val="auto"/>
          <w:sz w:val="32"/>
          <w:szCs w:val="32"/>
          <w:highlight w:val="none"/>
        </w:rPr>
        <w:t>六、合同文件构成</w:t>
      </w:r>
      <w:bookmarkEnd w:id="90"/>
    </w:p>
    <w:p w14:paraId="5DA78825">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本协议书与下列文件一起构成合同文件：</w:t>
      </w:r>
    </w:p>
    <w:p w14:paraId="23D18F98">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（1）中标通知书（如果有）；</w:t>
      </w:r>
    </w:p>
    <w:p w14:paraId="23E10B69">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 xml:space="preserve">（2）投标函及其附录（如果有）； </w:t>
      </w:r>
    </w:p>
    <w:p w14:paraId="42044654">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（3）专用合同条款及其附件；</w:t>
      </w:r>
    </w:p>
    <w:p w14:paraId="1A5A6CBA">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（4）通用合同条款；</w:t>
      </w:r>
    </w:p>
    <w:p w14:paraId="6672CFAB">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（5）技术标准和要求；</w:t>
      </w:r>
    </w:p>
    <w:p w14:paraId="007E48A6">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（6）图纸；</w:t>
      </w:r>
    </w:p>
    <w:p w14:paraId="2BAD2BA7">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（7）已标价工程量清单或预算书；</w:t>
      </w:r>
    </w:p>
    <w:p w14:paraId="07A62E29">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（8）</w:t>
      </w:r>
      <w:r>
        <w:rPr>
          <w:rFonts w:hint="eastAsia" w:eastAsia="仿宋_GB2312"/>
          <w:color w:val="auto"/>
          <w:sz w:val="30"/>
          <w:szCs w:val="30"/>
          <w:highlight w:val="none"/>
        </w:rPr>
        <w:t>招标文件</w:t>
      </w:r>
    </w:p>
    <w:p w14:paraId="5820CECA">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（9）其他合同文件。</w:t>
      </w:r>
    </w:p>
    <w:p w14:paraId="5F433C7F">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在合同订立及履行过程中形成的与合同有关的文件均构成合同文件组成部分。</w:t>
      </w:r>
    </w:p>
    <w:p w14:paraId="75A735EB">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上述各项合同文件包括合同当事人就该项合同文件所作出的补充和修改，属于同一类内容的文件，应以最新签署的为准。</w:t>
      </w:r>
      <w:r>
        <w:rPr>
          <w:rFonts w:hint="eastAsia" w:eastAsia="仿宋_GB2312"/>
          <w:color w:val="auto"/>
          <w:sz w:val="30"/>
          <w:szCs w:val="30"/>
          <w:highlight w:val="none"/>
        </w:rPr>
        <w:t>专用合同条款及其附件须经合同当事人签字或盖章。</w:t>
      </w:r>
    </w:p>
    <w:p w14:paraId="11E0E48D">
      <w:pPr>
        <w:pStyle w:val="5"/>
        <w:spacing w:before="120" w:after="120" w:line="360" w:lineRule="auto"/>
        <w:rPr>
          <w:rFonts w:ascii="Times New Roman" w:hAnsi="Times New Roman" w:eastAsia="黑体"/>
          <w:b w:val="0"/>
          <w:bCs w:val="0"/>
          <w:color w:val="auto"/>
          <w:sz w:val="32"/>
          <w:szCs w:val="32"/>
          <w:highlight w:val="none"/>
        </w:rPr>
      </w:pPr>
      <w:r>
        <w:rPr>
          <w:rFonts w:ascii="Times New Roman" w:hAnsi="Times New Roman" w:eastAsia="黑体"/>
          <w:b w:val="0"/>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1" w:name="_Toc351203487"/>
      <w:r>
        <w:rPr>
          <w:rFonts w:ascii="Times New Roman" w:hAnsi="Times New Roman" w:eastAsia="黑体"/>
          <w:b w:val="0"/>
          <w:color w:val="auto"/>
          <w:sz w:val="32"/>
          <w:szCs w:val="32"/>
          <w:highlight w:val="none"/>
        </w:rPr>
        <w:t>七、承诺</w:t>
      </w:r>
      <w:bookmarkEnd w:id="91"/>
    </w:p>
    <w:p w14:paraId="0B630584">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1.发包人承诺按照法律规定履行项目审批手续、筹集工程建设资金并按照合同约定的期限和方式支付合同价款。</w:t>
      </w:r>
    </w:p>
    <w:p w14:paraId="472F770E">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2.承包人承诺按照法律规定及合同约定组织完成工程施工，确保工程质量和安全，不进行转包及违法分包，并在缺陷责任期及保修期内承担相应的工程维修责任。</w:t>
      </w:r>
    </w:p>
    <w:p w14:paraId="42360146">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3.发包人和承包人通过招投标形式签订合同的，双方理解并</w:t>
      </w:r>
      <w:r>
        <w:rPr>
          <w:rFonts w:hint="eastAsia" w:eastAsia="仿宋_GB2312"/>
          <w:bCs/>
          <w:color w:val="auto"/>
          <w:sz w:val="30"/>
          <w:szCs w:val="30"/>
          <w:highlight w:val="none"/>
        </w:rPr>
        <w:t>承诺</w:t>
      </w:r>
      <w:r>
        <w:rPr>
          <w:rFonts w:eastAsia="仿宋_GB2312"/>
          <w:bCs/>
          <w:color w:val="auto"/>
          <w:sz w:val="30"/>
          <w:szCs w:val="30"/>
          <w:highlight w:val="none"/>
        </w:rPr>
        <w:t>不再就同一工程另行签订与合同实质性内容相背离的协议。</w:t>
      </w:r>
    </w:p>
    <w:p w14:paraId="5F38036D">
      <w:pPr>
        <w:spacing w:line="360" w:lineRule="auto"/>
        <w:rPr>
          <w:rFonts w:eastAsia="黑体"/>
          <w:bCs/>
          <w:color w:val="auto"/>
          <w:sz w:val="32"/>
          <w:szCs w:val="32"/>
          <w:highlight w:val="none"/>
        </w:rPr>
      </w:pPr>
      <w:bookmarkStart w:id="92" w:name="_Toc351203488"/>
      <w:r>
        <w:rPr>
          <w:rFonts w:hint="eastAsia" w:eastAsia="黑体"/>
          <w:b/>
          <w:color w:val="auto"/>
          <w:sz w:val="32"/>
          <w:szCs w:val="32"/>
          <w:highlight w:val="none"/>
        </w:rPr>
        <w:t xml:space="preserve">    </w:t>
      </w:r>
      <w:r>
        <w:rPr>
          <w:rFonts w:eastAsia="黑体"/>
          <w:b/>
          <w:color w:val="auto"/>
          <w:sz w:val="32"/>
          <w:szCs w:val="32"/>
          <w:highlight w:val="none"/>
        </w:rPr>
        <w:t>八、词语含义</w:t>
      </w:r>
      <w:bookmarkEnd w:id="92"/>
    </w:p>
    <w:p w14:paraId="181CE496">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本协议书中词语含义与第二部分通用合同条款中赋予的含义相同。</w:t>
      </w:r>
    </w:p>
    <w:p w14:paraId="011E09C0">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3" w:name="_Toc351203489"/>
      <w:r>
        <w:rPr>
          <w:rFonts w:ascii="Times New Roman" w:hAnsi="Times New Roman" w:eastAsia="黑体"/>
          <w:b w:val="0"/>
          <w:color w:val="auto"/>
          <w:sz w:val="32"/>
          <w:szCs w:val="32"/>
          <w:highlight w:val="none"/>
        </w:rPr>
        <w:t>九、签订时间</w:t>
      </w:r>
      <w:bookmarkEnd w:id="93"/>
    </w:p>
    <w:p w14:paraId="55BF28EC">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本合同于</w:t>
      </w:r>
      <w:r>
        <w:rPr>
          <w:rFonts w:eastAsia="仿宋_GB2312"/>
          <w:color w:val="auto"/>
          <w:sz w:val="30"/>
          <w:szCs w:val="30"/>
          <w:highlight w:val="none"/>
          <w:u w:val="single"/>
        </w:rPr>
        <w:t xml:space="preserve">         </w:t>
      </w:r>
      <w:r>
        <w:rPr>
          <w:rFonts w:eastAsia="仿宋_GB2312"/>
          <w:bCs/>
          <w:color w:val="auto"/>
          <w:sz w:val="30"/>
          <w:szCs w:val="30"/>
          <w:highlight w:val="none"/>
        </w:rPr>
        <w:t>年</w:t>
      </w:r>
      <w:r>
        <w:rPr>
          <w:rFonts w:eastAsia="仿宋_GB2312"/>
          <w:color w:val="auto"/>
          <w:sz w:val="30"/>
          <w:szCs w:val="30"/>
          <w:highlight w:val="none"/>
          <w:u w:val="single"/>
        </w:rPr>
        <w:t xml:space="preserve">         </w:t>
      </w:r>
      <w:r>
        <w:rPr>
          <w:rFonts w:eastAsia="仿宋_GB2312"/>
          <w:bCs/>
          <w:color w:val="auto"/>
          <w:sz w:val="30"/>
          <w:szCs w:val="30"/>
          <w:highlight w:val="none"/>
        </w:rPr>
        <w:t>月</w:t>
      </w:r>
      <w:r>
        <w:rPr>
          <w:rFonts w:eastAsia="仿宋_GB2312"/>
          <w:color w:val="auto"/>
          <w:sz w:val="30"/>
          <w:szCs w:val="30"/>
          <w:highlight w:val="none"/>
          <w:u w:val="single"/>
        </w:rPr>
        <w:t xml:space="preserve">         </w:t>
      </w:r>
      <w:r>
        <w:rPr>
          <w:rFonts w:eastAsia="仿宋_GB2312"/>
          <w:bCs/>
          <w:color w:val="auto"/>
          <w:sz w:val="30"/>
          <w:szCs w:val="30"/>
          <w:highlight w:val="none"/>
        </w:rPr>
        <w:t>日签订。</w:t>
      </w:r>
    </w:p>
    <w:p w14:paraId="7CC2E9C9">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4" w:name="_Toc351203490"/>
      <w:r>
        <w:rPr>
          <w:rFonts w:ascii="Times New Roman" w:hAnsi="Times New Roman" w:eastAsia="黑体"/>
          <w:b w:val="0"/>
          <w:color w:val="auto"/>
          <w:sz w:val="32"/>
          <w:szCs w:val="32"/>
          <w:highlight w:val="none"/>
        </w:rPr>
        <w:t>十、签订地点</w:t>
      </w:r>
      <w:bookmarkEnd w:id="94"/>
    </w:p>
    <w:p w14:paraId="67AD318C">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本合同在</w:t>
      </w:r>
      <w:r>
        <w:rPr>
          <w:rFonts w:eastAsia="仿宋_GB2312"/>
          <w:color w:val="auto"/>
          <w:sz w:val="30"/>
          <w:szCs w:val="30"/>
          <w:highlight w:val="none"/>
          <w:u w:val="single"/>
        </w:rPr>
        <w:t xml:space="preserve">                                </w:t>
      </w:r>
      <w:r>
        <w:rPr>
          <w:rFonts w:eastAsia="仿宋_GB2312"/>
          <w:bCs/>
          <w:color w:val="auto"/>
          <w:sz w:val="30"/>
          <w:szCs w:val="30"/>
          <w:highlight w:val="none"/>
        </w:rPr>
        <w:t>签订。</w:t>
      </w:r>
    </w:p>
    <w:p w14:paraId="57D7EA5B">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5" w:name="_Toc351203491"/>
      <w:r>
        <w:rPr>
          <w:rFonts w:ascii="Times New Roman" w:hAnsi="Times New Roman" w:eastAsia="黑体"/>
          <w:b w:val="0"/>
          <w:color w:val="auto"/>
          <w:sz w:val="32"/>
          <w:szCs w:val="32"/>
          <w:highlight w:val="none"/>
        </w:rPr>
        <w:t>十一、补充协议</w:t>
      </w:r>
      <w:bookmarkEnd w:id="95"/>
    </w:p>
    <w:p w14:paraId="64EE327C">
      <w:pPr>
        <w:spacing w:line="360" w:lineRule="auto"/>
        <w:ind w:firstLine="600" w:firstLineChars="200"/>
        <w:rPr>
          <w:rFonts w:eastAsia="仿宋_GB2312"/>
          <w:b/>
          <w:bCs/>
          <w:color w:val="auto"/>
          <w:sz w:val="30"/>
          <w:szCs w:val="30"/>
          <w:highlight w:val="none"/>
        </w:rPr>
      </w:pPr>
      <w:r>
        <w:rPr>
          <w:rFonts w:eastAsia="仿宋_GB2312"/>
          <w:bCs/>
          <w:color w:val="auto"/>
          <w:sz w:val="30"/>
          <w:szCs w:val="30"/>
          <w:highlight w:val="none"/>
        </w:rPr>
        <w:t>合同未尽事宜，合同当事人另行签订补充协议</w:t>
      </w:r>
      <w:r>
        <w:rPr>
          <w:rFonts w:hint="eastAsia" w:eastAsia="仿宋_GB2312"/>
          <w:bCs/>
          <w:color w:val="auto"/>
          <w:sz w:val="30"/>
          <w:szCs w:val="30"/>
          <w:highlight w:val="none"/>
        </w:rPr>
        <w:t>，</w:t>
      </w:r>
      <w:r>
        <w:rPr>
          <w:rFonts w:eastAsia="仿宋_GB2312"/>
          <w:bCs/>
          <w:color w:val="auto"/>
          <w:sz w:val="30"/>
          <w:szCs w:val="30"/>
          <w:highlight w:val="none"/>
        </w:rPr>
        <w:t>补充协议是合同的组成部分。</w:t>
      </w:r>
    </w:p>
    <w:p w14:paraId="6FBDFF22">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6" w:name="_Toc351203492"/>
      <w:r>
        <w:rPr>
          <w:rFonts w:ascii="Times New Roman" w:hAnsi="Times New Roman" w:eastAsia="黑体"/>
          <w:b w:val="0"/>
          <w:color w:val="auto"/>
          <w:sz w:val="32"/>
          <w:szCs w:val="32"/>
          <w:highlight w:val="none"/>
        </w:rPr>
        <w:t>十二、合同生效</w:t>
      </w:r>
      <w:bookmarkEnd w:id="96"/>
    </w:p>
    <w:p w14:paraId="278725C7">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本合同自（1）、（2）后生效</w:t>
      </w:r>
    </w:p>
    <w:p w14:paraId="3C874346">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（1）经双方法定代表人或其委托代理人签名并加盖公章或合同专用章</w:t>
      </w:r>
    </w:p>
    <w:p w14:paraId="52D0E651">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（2）承包人按合同约定向发包人提交履约担保后</w:t>
      </w:r>
    </w:p>
    <w:p w14:paraId="0264E4A6">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7" w:name="_Toc351203493"/>
      <w:r>
        <w:rPr>
          <w:rFonts w:ascii="Times New Roman" w:hAnsi="Times New Roman" w:eastAsia="黑体"/>
          <w:b w:val="0"/>
          <w:color w:val="auto"/>
          <w:sz w:val="32"/>
          <w:szCs w:val="32"/>
          <w:highlight w:val="none"/>
        </w:rPr>
        <w:t>十三、合同份数</w:t>
      </w:r>
      <w:bookmarkEnd w:id="97"/>
    </w:p>
    <w:p w14:paraId="37049490">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本合同一式</w:t>
      </w:r>
      <w:r>
        <w:rPr>
          <w:rFonts w:eastAsia="仿宋_GB2312"/>
          <w:color w:val="auto"/>
          <w:sz w:val="30"/>
          <w:szCs w:val="30"/>
          <w:highlight w:val="none"/>
          <w:u w:val="single"/>
        </w:rPr>
        <w:t xml:space="preserve">         </w:t>
      </w:r>
      <w:r>
        <w:rPr>
          <w:rFonts w:eastAsia="仿宋_GB2312"/>
          <w:bCs/>
          <w:color w:val="auto"/>
          <w:sz w:val="30"/>
          <w:szCs w:val="30"/>
          <w:highlight w:val="none"/>
        </w:rPr>
        <w:t>份，均具有同等法律效力，发包人执</w:t>
      </w:r>
      <w:r>
        <w:rPr>
          <w:rFonts w:eastAsia="仿宋_GB2312"/>
          <w:color w:val="auto"/>
          <w:sz w:val="30"/>
          <w:szCs w:val="30"/>
          <w:highlight w:val="none"/>
          <w:u w:val="single"/>
        </w:rPr>
        <w:t xml:space="preserve">         </w:t>
      </w:r>
      <w:r>
        <w:rPr>
          <w:rFonts w:eastAsia="仿宋_GB2312"/>
          <w:bCs/>
          <w:color w:val="auto"/>
          <w:sz w:val="30"/>
          <w:szCs w:val="30"/>
          <w:highlight w:val="none"/>
        </w:rPr>
        <w:t>份，承包人执</w:t>
      </w:r>
      <w:r>
        <w:rPr>
          <w:rFonts w:eastAsia="仿宋_GB2312"/>
          <w:color w:val="auto"/>
          <w:sz w:val="30"/>
          <w:szCs w:val="30"/>
          <w:highlight w:val="none"/>
          <w:u w:val="single"/>
        </w:rPr>
        <w:t xml:space="preserve">         </w:t>
      </w:r>
      <w:r>
        <w:rPr>
          <w:rFonts w:eastAsia="仿宋_GB2312"/>
          <w:bCs/>
          <w:color w:val="auto"/>
          <w:sz w:val="30"/>
          <w:szCs w:val="30"/>
          <w:highlight w:val="none"/>
        </w:rPr>
        <w:t>份。</w:t>
      </w:r>
    </w:p>
    <w:p w14:paraId="38009319">
      <w:pPr>
        <w:spacing w:line="360" w:lineRule="auto"/>
        <w:rPr>
          <w:rFonts w:eastAsia="仿宋_GB2312"/>
          <w:bCs/>
          <w:color w:val="auto"/>
          <w:sz w:val="30"/>
          <w:szCs w:val="30"/>
          <w:highlight w:val="none"/>
        </w:rPr>
      </w:pPr>
    </w:p>
    <w:p w14:paraId="159CDDD6">
      <w:pPr>
        <w:spacing w:line="360" w:lineRule="auto"/>
        <w:rPr>
          <w:rFonts w:eastAsia="仿宋_GB2312"/>
          <w:color w:val="auto"/>
          <w:sz w:val="30"/>
          <w:szCs w:val="30"/>
          <w:highlight w:val="none"/>
        </w:rPr>
      </w:pPr>
    </w:p>
    <w:p w14:paraId="74A23D46">
      <w:pPr>
        <w:spacing w:line="360" w:lineRule="auto"/>
        <w:rPr>
          <w:rFonts w:eastAsia="仿宋_GB2312"/>
          <w:color w:val="auto"/>
          <w:sz w:val="30"/>
          <w:szCs w:val="30"/>
          <w:highlight w:val="none"/>
        </w:rPr>
      </w:pPr>
      <w:r>
        <w:rPr>
          <w:rFonts w:eastAsia="仿宋_GB2312"/>
          <w:color w:val="auto"/>
          <w:sz w:val="30"/>
          <w:szCs w:val="30"/>
          <w:highlight w:val="none"/>
        </w:rPr>
        <w:t>发包人</w:t>
      </w:r>
      <w:r>
        <w:rPr>
          <w:rFonts w:hint="eastAsia" w:eastAsia="仿宋_GB2312"/>
          <w:color w:val="auto"/>
          <w:sz w:val="30"/>
          <w:szCs w:val="30"/>
          <w:highlight w:val="none"/>
        </w:rPr>
        <w:t xml:space="preserve">：  </w:t>
      </w:r>
      <w:r>
        <w:rPr>
          <w:rFonts w:eastAsia="仿宋_GB2312"/>
          <w:color w:val="auto"/>
          <w:sz w:val="30"/>
          <w:szCs w:val="30"/>
          <w:highlight w:val="none"/>
        </w:rPr>
        <w:t>(公章)</w:t>
      </w:r>
      <w:r>
        <w:rPr>
          <w:rFonts w:hint="eastAsia" w:eastAsia="仿宋_GB2312"/>
          <w:color w:val="auto"/>
          <w:sz w:val="30"/>
          <w:szCs w:val="30"/>
          <w:highlight w:val="none"/>
        </w:rPr>
        <w:t xml:space="preserve">             </w:t>
      </w:r>
      <w:r>
        <w:rPr>
          <w:rFonts w:eastAsia="仿宋_GB2312"/>
          <w:color w:val="auto"/>
          <w:sz w:val="30"/>
          <w:szCs w:val="30"/>
          <w:highlight w:val="none"/>
        </w:rPr>
        <w:t>承包人</w:t>
      </w:r>
      <w:r>
        <w:rPr>
          <w:rFonts w:hint="eastAsia" w:eastAsia="仿宋_GB2312"/>
          <w:color w:val="auto"/>
          <w:sz w:val="30"/>
          <w:szCs w:val="30"/>
          <w:highlight w:val="none"/>
        </w:rPr>
        <w:t xml:space="preserve">：  </w:t>
      </w:r>
      <w:r>
        <w:rPr>
          <w:rFonts w:eastAsia="仿宋_GB2312"/>
          <w:color w:val="auto"/>
          <w:sz w:val="30"/>
          <w:szCs w:val="30"/>
          <w:highlight w:val="none"/>
        </w:rPr>
        <w:t>(公章)</w:t>
      </w:r>
    </w:p>
    <w:p w14:paraId="5AC61378">
      <w:pPr>
        <w:spacing w:line="360" w:lineRule="auto"/>
        <w:rPr>
          <w:rFonts w:eastAsia="仿宋_GB2312"/>
          <w:color w:val="auto"/>
          <w:sz w:val="30"/>
          <w:szCs w:val="30"/>
          <w:highlight w:val="none"/>
          <w:u w:val="single"/>
        </w:rPr>
      </w:pPr>
      <w:r>
        <w:rPr>
          <w:rFonts w:hint="eastAsia" w:eastAsia="仿宋_GB2312"/>
          <w:color w:val="auto"/>
          <w:sz w:val="30"/>
          <w:szCs w:val="30"/>
          <w:highlight w:val="none"/>
        </w:rPr>
        <w:t xml:space="preserve">                                 </w:t>
      </w:r>
    </w:p>
    <w:p w14:paraId="055F8EFF">
      <w:pPr>
        <w:spacing w:line="360" w:lineRule="auto"/>
        <w:rPr>
          <w:rFonts w:eastAsia="仿宋_GB2312"/>
          <w:color w:val="auto"/>
          <w:sz w:val="30"/>
          <w:szCs w:val="30"/>
          <w:highlight w:val="none"/>
        </w:rPr>
      </w:pPr>
      <w:r>
        <w:rPr>
          <w:rFonts w:hint="eastAsia" w:eastAsia="仿宋_GB2312"/>
          <w:color w:val="auto"/>
          <w:sz w:val="30"/>
          <w:szCs w:val="30"/>
          <w:highlight w:val="none"/>
        </w:rPr>
        <w:t>法定代表人或其委托代理人：  法定代表人或其委托代理人：</w:t>
      </w:r>
    </w:p>
    <w:p w14:paraId="2F88522C">
      <w:pPr>
        <w:spacing w:line="360" w:lineRule="auto"/>
        <w:rPr>
          <w:rFonts w:eastAsia="仿宋_GB2312"/>
          <w:color w:val="auto"/>
          <w:sz w:val="30"/>
          <w:szCs w:val="30"/>
          <w:highlight w:val="none"/>
        </w:rPr>
      </w:pPr>
      <w:r>
        <w:rPr>
          <w:rFonts w:hint="eastAsia" w:eastAsia="仿宋_GB2312"/>
          <w:color w:val="auto"/>
          <w:sz w:val="30"/>
          <w:szCs w:val="30"/>
          <w:highlight w:val="none"/>
        </w:rPr>
        <w:t>（签字）                    （签字）</w:t>
      </w:r>
    </w:p>
    <w:p w14:paraId="2086DB9F">
      <w:pPr>
        <w:spacing w:line="360" w:lineRule="auto"/>
        <w:rPr>
          <w:rFonts w:eastAsia="仿宋_GB2312"/>
          <w:color w:val="auto"/>
          <w:sz w:val="30"/>
          <w:szCs w:val="30"/>
          <w:highlight w:val="none"/>
          <w:u w:val="single"/>
        </w:rPr>
      </w:pPr>
    </w:p>
    <w:p w14:paraId="7D6DD041">
      <w:pPr>
        <w:tabs>
          <w:tab w:val="left" w:pos="4410"/>
        </w:tabs>
        <w:spacing w:line="360" w:lineRule="auto"/>
        <w:rPr>
          <w:rFonts w:eastAsia="仿宋_GB2312"/>
          <w:color w:val="auto"/>
          <w:sz w:val="30"/>
          <w:szCs w:val="30"/>
          <w:highlight w:val="none"/>
        </w:rPr>
      </w:pPr>
      <w:r>
        <w:rPr>
          <w:rFonts w:hint="eastAsia" w:eastAsia="仿宋_GB2312"/>
          <w:color w:val="auto"/>
          <w:sz w:val="30"/>
          <w:szCs w:val="30"/>
          <w:highlight w:val="none"/>
        </w:rPr>
        <w:t>组织机构代码：</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组织机构代码：</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p>
    <w:p w14:paraId="260E580D">
      <w:pPr>
        <w:spacing w:line="360" w:lineRule="auto"/>
        <w:rPr>
          <w:rFonts w:eastAsia="仿宋_GB2312"/>
          <w:color w:val="auto"/>
          <w:sz w:val="30"/>
          <w:szCs w:val="30"/>
          <w:highlight w:val="none"/>
        </w:rPr>
      </w:pPr>
      <w:r>
        <w:rPr>
          <w:rFonts w:eastAsia="仿宋_GB2312"/>
          <w:color w:val="auto"/>
          <w:sz w:val="30"/>
          <w:szCs w:val="30"/>
          <w:highlight w:val="none"/>
        </w:rPr>
        <w:t>地  址：</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地  址：</w:t>
      </w:r>
      <w:r>
        <w:rPr>
          <w:rFonts w:eastAsia="仿宋_GB2312"/>
          <w:color w:val="auto"/>
          <w:sz w:val="30"/>
          <w:szCs w:val="30"/>
          <w:highlight w:val="none"/>
          <w:u w:val="single"/>
        </w:rPr>
        <w:t xml:space="preserve">                 </w:t>
      </w:r>
    </w:p>
    <w:p w14:paraId="2F2ADCAA">
      <w:pPr>
        <w:spacing w:line="360" w:lineRule="auto"/>
        <w:rPr>
          <w:rFonts w:eastAsia="仿宋_GB2312"/>
          <w:color w:val="auto"/>
          <w:sz w:val="30"/>
          <w:szCs w:val="30"/>
          <w:highlight w:val="none"/>
        </w:rPr>
      </w:pPr>
      <w:r>
        <w:rPr>
          <w:rFonts w:eastAsia="仿宋_GB2312"/>
          <w:color w:val="auto"/>
          <w:sz w:val="30"/>
          <w:szCs w:val="30"/>
          <w:highlight w:val="none"/>
        </w:rPr>
        <w:t>邮政编码：</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邮政编码：</w:t>
      </w:r>
      <w:r>
        <w:rPr>
          <w:rFonts w:eastAsia="仿宋_GB2312"/>
          <w:color w:val="auto"/>
          <w:sz w:val="30"/>
          <w:szCs w:val="30"/>
          <w:highlight w:val="none"/>
          <w:u w:val="single"/>
        </w:rPr>
        <w:t xml:space="preserve">               </w:t>
      </w:r>
    </w:p>
    <w:p w14:paraId="469198DD">
      <w:pPr>
        <w:spacing w:line="360" w:lineRule="auto"/>
        <w:rPr>
          <w:rFonts w:eastAsia="仿宋_GB2312"/>
          <w:color w:val="auto"/>
          <w:sz w:val="30"/>
          <w:szCs w:val="30"/>
          <w:highlight w:val="none"/>
        </w:rPr>
      </w:pPr>
      <w:r>
        <w:rPr>
          <w:rFonts w:eastAsia="仿宋_GB2312"/>
          <w:color w:val="auto"/>
          <w:sz w:val="30"/>
          <w:szCs w:val="30"/>
          <w:highlight w:val="none"/>
        </w:rPr>
        <w:t>法定代表人：</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法定代表人：</w:t>
      </w:r>
      <w:r>
        <w:rPr>
          <w:rFonts w:eastAsia="仿宋_GB2312"/>
          <w:color w:val="auto"/>
          <w:sz w:val="30"/>
          <w:szCs w:val="30"/>
          <w:highlight w:val="none"/>
          <w:u w:val="single"/>
        </w:rPr>
        <w:t xml:space="preserve">             </w:t>
      </w:r>
    </w:p>
    <w:p w14:paraId="29A5AEA9">
      <w:pPr>
        <w:spacing w:line="360" w:lineRule="auto"/>
        <w:rPr>
          <w:rFonts w:eastAsia="仿宋_GB2312"/>
          <w:color w:val="auto"/>
          <w:sz w:val="30"/>
          <w:szCs w:val="30"/>
          <w:highlight w:val="none"/>
        </w:rPr>
      </w:pPr>
      <w:r>
        <w:rPr>
          <w:rFonts w:eastAsia="仿宋_GB2312"/>
          <w:color w:val="auto"/>
          <w:sz w:val="30"/>
          <w:szCs w:val="30"/>
          <w:highlight w:val="none"/>
        </w:rPr>
        <w:t>委托代理人：</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委托代理人：</w:t>
      </w:r>
      <w:r>
        <w:rPr>
          <w:rFonts w:eastAsia="仿宋_GB2312"/>
          <w:color w:val="auto"/>
          <w:sz w:val="30"/>
          <w:szCs w:val="30"/>
          <w:highlight w:val="none"/>
          <w:u w:val="single"/>
        </w:rPr>
        <w:t xml:space="preserve">             </w:t>
      </w:r>
    </w:p>
    <w:p w14:paraId="47B5B72E">
      <w:pPr>
        <w:spacing w:line="360" w:lineRule="auto"/>
        <w:rPr>
          <w:rFonts w:eastAsia="仿宋_GB2312"/>
          <w:color w:val="auto"/>
          <w:sz w:val="30"/>
          <w:szCs w:val="30"/>
          <w:highlight w:val="none"/>
        </w:rPr>
      </w:pPr>
      <w:r>
        <w:rPr>
          <w:rFonts w:eastAsia="仿宋_GB2312"/>
          <w:color w:val="auto"/>
          <w:sz w:val="30"/>
          <w:szCs w:val="30"/>
          <w:highlight w:val="none"/>
        </w:rPr>
        <w:t>电  话：</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电  话：</w:t>
      </w:r>
      <w:r>
        <w:rPr>
          <w:rFonts w:eastAsia="仿宋_GB2312"/>
          <w:color w:val="auto"/>
          <w:sz w:val="30"/>
          <w:szCs w:val="30"/>
          <w:highlight w:val="none"/>
          <w:u w:val="single"/>
        </w:rPr>
        <w:t xml:space="preserve">                 </w:t>
      </w:r>
    </w:p>
    <w:p w14:paraId="13E25CEE">
      <w:pPr>
        <w:spacing w:line="360" w:lineRule="auto"/>
        <w:rPr>
          <w:rFonts w:eastAsia="仿宋_GB2312"/>
          <w:color w:val="auto"/>
          <w:sz w:val="30"/>
          <w:szCs w:val="30"/>
          <w:highlight w:val="none"/>
        </w:rPr>
      </w:pPr>
      <w:r>
        <w:rPr>
          <w:rFonts w:eastAsia="仿宋_GB2312"/>
          <w:color w:val="auto"/>
          <w:sz w:val="30"/>
          <w:szCs w:val="30"/>
          <w:highlight w:val="none"/>
        </w:rPr>
        <w:t>传  真：</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传  真：</w:t>
      </w:r>
      <w:r>
        <w:rPr>
          <w:rFonts w:eastAsia="仿宋_GB2312"/>
          <w:color w:val="auto"/>
          <w:sz w:val="30"/>
          <w:szCs w:val="30"/>
          <w:highlight w:val="none"/>
          <w:u w:val="single"/>
        </w:rPr>
        <w:t xml:space="preserve">                 </w:t>
      </w:r>
    </w:p>
    <w:p w14:paraId="1D8BDA36">
      <w:pPr>
        <w:spacing w:line="360" w:lineRule="auto"/>
        <w:rPr>
          <w:rFonts w:eastAsia="仿宋_GB2312"/>
          <w:color w:val="auto"/>
          <w:sz w:val="30"/>
          <w:szCs w:val="30"/>
          <w:highlight w:val="none"/>
        </w:rPr>
      </w:pPr>
      <w:r>
        <w:rPr>
          <w:rFonts w:eastAsia="仿宋_GB2312"/>
          <w:color w:val="auto"/>
          <w:sz w:val="30"/>
          <w:szCs w:val="30"/>
          <w:highlight w:val="none"/>
        </w:rPr>
        <w:t>电子信箱：</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电子信箱：</w:t>
      </w:r>
      <w:r>
        <w:rPr>
          <w:rFonts w:eastAsia="仿宋_GB2312"/>
          <w:color w:val="auto"/>
          <w:sz w:val="30"/>
          <w:szCs w:val="30"/>
          <w:highlight w:val="none"/>
          <w:u w:val="single"/>
        </w:rPr>
        <w:t xml:space="preserve">               </w:t>
      </w:r>
    </w:p>
    <w:p w14:paraId="510E3D3F">
      <w:pPr>
        <w:spacing w:line="360" w:lineRule="auto"/>
        <w:rPr>
          <w:rFonts w:eastAsia="仿宋_GB2312"/>
          <w:color w:val="auto"/>
          <w:sz w:val="30"/>
          <w:szCs w:val="30"/>
          <w:highlight w:val="none"/>
        </w:rPr>
      </w:pPr>
      <w:r>
        <w:rPr>
          <w:rFonts w:eastAsia="仿宋_GB2312"/>
          <w:color w:val="auto"/>
          <w:sz w:val="30"/>
          <w:szCs w:val="30"/>
          <w:highlight w:val="none"/>
        </w:rPr>
        <w:t>开户银行：</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开户银行：</w:t>
      </w:r>
      <w:r>
        <w:rPr>
          <w:rFonts w:eastAsia="仿宋_GB2312"/>
          <w:color w:val="auto"/>
          <w:sz w:val="30"/>
          <w:szCs w:val="30"/>
          <w:highlight w:val="none"/>
          <w:u w:val="single"/>
        </w:rPr>
        <w:t xml:space="preserve">               </w:t>
      </w:r>
    </w:p>
    <w:p w14:paraId="52AFD2AF">
      <w:pPr>
        <w:spacing w:line="360" w:lineRule="auto"/>
        <w:rPr>
          <w:rFonts w:eastAsia="仿宋_GB2312"/>
          <w:color w:val="auto"/>
          <w:sz w:val="30"/>
          <w:szCs w:val="30"/>
          <w:highlight w:val="none"/>
        </w:rPr>
      </w:pPr>
      <w:r>
        <w:rPr>
          <w:rFonts w:eastAsia="仿宋_GB2312"/>
          <w:color w:val="auto"/>
          <w:sz w:val="30"/>
          <w:szCs w:val="30"/>
          <w:highlight w:val="none"/>
        </w:rPr>
        <w:t>账  号：</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账</w:t>
      </w:r>
      <w:r>
        <w:rPr>
          <w:rFonts w:hint="eastAsia" w:eastAsia="仿宋_GB2312"/>
          <w:color w:val="auto"/>
          <w:sz w:val="30"/>
          <w:szCs w:val="30"/>
          <w:highlight w:val="none"/>
        </w:rPr>
        <w:t xml:space="preserve"> </w:t>
      </w:r>
      <w:r>
        <w:rPr>
          <w:rFonts w:eastAsia="仿宋_GB2312"/>
          <w:color w:val="auto"/>
          <w:sz w:val="30"/>
          <w:szCs w:val="30"/>
          <w:highlight w:val="none"/>
        </w:rPr>
        <w:t xml:space="preserve"> 号：</w:t>
      </w:r>
      <w:r>
        <w:rPr>
          <w:rFonts w:eastAsia="仿宋_GB2312"/>
          <w:color w:val="auto"/>
          <w:sz w:val="30"/>
          <w:szCs w:val="30"/>
          <w:highlight w:val="none"/>
          <w:u w:val="single"/>
        </w:rPr>
        <w:t xml:space="preserve">                 </w:t>
      </w:r>
    </w:p>
    <w:p w14:paraId="0940661A">
      <w:pPr>
        <w:pStyle w:val="4"/>
        <w:jc w:val="center"/>
        <w:rPr>
          <w:rFonts w:ascii="华文中宋" w:hAnsi="华文中宋" w:eastAsia="华文中宋"/>
          <w:color w:val="auto"/>
          <w:sz w:val="44"/>
          <w:szCs w:val="44"/>
          <w:highlight w:val="none"/>
        </w:rPr>
      </w:pPr>
      <w:r>
        <w:rPr>
          <w:rFonts w:eastAsia="仿宋_GB2312"/>
          <w:color w:val="auto"/>
          <w:highlight w:val="none"/>
        </w:rPr>
        <w:br w:type="page"/>
      </w:r>
      <w:bookmarkStart w:id="98" w:name="_Toc351203494"/>
      <w:r>
        <w:rPr>
          <w:rFonts w:ascii="华文中宋" w:hAnsi="华文中宋" w:eastAsia="华文中宋"/>
          <w:color w:val="auto"/>
          <w:sz w:val="44"/>
          <w:szCs w:val="44"/>
          <w:highlight w:val="none"/>
        </w:rPr>
        <w:t>第二部分 通用合同条款</w:t>
      </w:r>
      <w:bookmarkEnd w:id="98"/>
      <w:bookmarkStart w:id="99" w:name="_Toc337558727"/>
    </w:p>
    <w:p w14:paraId="14785A02">
      <w:pPr>
        <w:widowControl/>
        <w:spacing w:line="360" w:lineRule="auto"/>
        <w:ind w:firstLine="600" w:firstLineChars="200"/>
        <w:jc w:val="left"/>
        <w:rPr>
          <w:rFonts w:ascii="宋体" w:hAnsi="宋体" w:cs="黑体"/>
          <w:b/>
          <w:color w:val="auto"/>
          <w:sz w:val="24"/>
          <w:highlight w:val="none"/>
        </w:rPr>
      </w:pPr>
      <w:r>
        <w:rPr>
          <w:rFonts w:hint="eastAsia" w:ascii="仿宋_GB2312" w:eastAsia="仿宋_GB2312"/>
          <w:b/>
          <w:color w:val="auto"/>
          <w:sz w:val="30"/>
          <w:szCs w:val="30"/>
          <w:highlight w:val="none"/>
        </w:rPr>
        <w:t>住房城乡建设部、国家工商行政管理总局制定的《建设工程施工合同（示范文本）》（GF-20</w:t>
      </w:r>
      <w:r>
        <w:rPr>
          <w:rFonts w:ascii="仿宋_GB2312" w:eastAsia="仿宋_GB2312"/>
          <w:b/>
          <w:color w:val="auto"/>
          <w:sz w:val="30"/>
          <w:szCs w:val="30"/>
          <w:highlight w:val="none"/>
        </w:rPr>
        <w:tab/>
      </w:r>
      <w:r>
        <w:rPr>
          <w:rFonts w:hint="eastAsia" w:ascii="仿宋_GB2312" w:eastAsia="仿宋_GB2312"/>
          <w:b/>
          <w:color w:val="auto"/>
          <w:sz w:val="30"/>
          <w:szCs w:val="30"/>
          <w:highlight w:val="none"/>
        </w:rPr>
        <w:t>17-0201）</w:t>
      </w:r>
      <w:r>
        <w:rPr>
          <w:rFonts w:hint="eastAsia" w:ascii="宋体" w:hAnsi="宋体" w:cs="黑体"/>
          <w:b/>
          <w:color w:val="auto"/>
          <w:sz w:val="24"/>
          <w:highlight w:val="none"/>
        </w:rPr>
        <w:t>。</w:t>
      </w:r>
    </w:p>
    <w:p w14:paraId="1A40DEE5">
      <w:pPr>
        <w:pStyle w:val="4"/>
        <w:rPr>
          <w:rFonts w:ascii="华文中宋" w:hAnsi="华文中宋" w:eastAsia="华文中宋"/>
          <w:color w:val="auto"/>
          <w:sz w:val="44"/>
          <w:szCs w:val="44"/>
          <w:highlight w:val="none"/>
        </w:rPr>
      </w:pPr>
    </w:p>
    <w:p w14:paraId="1E654423">
      <w:pPr>
        <w:pStyle w:val="4"/>
        <w:jc w:val="center"/>
        <w:rPr>
          <w:rFonts w:ascii="华文中宋" w:hAnsi="华文中宋" w:eastAsia="华文中宋"/>
          <w:color w:val="auto"/>
          <w:sz w:val="44"/>
          <w:szCs w:val="44"/>
          <w:highlight w:val="none"/>
        </w:rPr>
      </w:pPr>
      <w:r>
        <w:rPr>
          <w:color w:val="auto"/>
          <w:highlight w:val="none"/>
        </w:rPr>
        <w:br w:type="page"/>
      </w:r>
      <w:bookmarkEnd w:id="99"/>
      <w:bookmarkStart w:id="100" w:name="_Toc351203632"/>
      <w:r>
        <w:rPr>
          <w:rFonts w:ascii="华文中宋" w:hAnsi="华文中宋" w:eastAsia="华文中宋"/>
          <w:color w:val="auto"/>
          <w:sz w:val="44"/>
          <w:szCs w:val="44"/>
          <w:highlight w:val="none"/>
        </w:rPr>
        <w:t xml:space="preserve">第三部分 </w:t>
      </w:r>
      <w:r>
        <w:rPr>
          <w:rFonts w:hint="eastAsia" w:ascii="华文中宋" w:hAnsi="华文中宋" w:eastAsia="华文中宋"/>
          <w:color w:val="auto"/>
          <w:sz w:val="44"/>
          <w:szCs w:val="44"/>
          <w:highlight w:val="none"/>
        </w:rPr>
        <w:t>专用合同条款</w:t>
      </w:r>
      <w:bookmarkEnd w:id="100"/>
    </w:p>
    <w:p w14:paraId="1D2BFFC5">
      <w:pPr>
        <w:pStyle w:val="5"/>
        <w:spacing w:before="120" w:after="120" w:line="360" w:lineRule="auto"/>
        <w:rPr>
          <w:rFonts w:ascii="Times New Roman" w:hAnsi="Times New Roman" w:eastAsia="黑体"/>
          <w:b w:val="0"/>
          <w:color w:val="auto"/>
          <w:sz w:val="32"/>
          <w:szCs w:val="32"/>
          <w:highlight w:val="none"/>
        </w:rPr>
      </w:pPr>
      <w:bookmarkStart w:id="101" w:name="_Toc351203633"/>
      <w:r>
        <w:rPr>
          <w:rFonts w:ascii="Times New Roman" w:hAnsi="Times New Roman" w:eastAsia="黑体"/>
          <w:b w:val="0"/>
          <w:color w:val="auto"/>
          <w:sz w:val="32"/>
          <w:szCs w:val="32"/>
          <w:highlight w:val="none"/>
        </w:rPr>
        <w:t>1</w:t>
      </w:r>
      <w:bookmarkStart w:id="102" w:name="_Toc296347155"/>
      <w:bookmarkStart w:id="103" w:name="_Toc296346657"/>
      <w:bookmarkStart w:id="104" w:name="_Toc296944495"/>
      <w:bookmarkStart w:id="105" w:name="_Toc296890984"/>
      <w:bookmarkStart w:id="106" w:name="_Toc292559361"/>
      <w:bookmarkStart w:id="107" w:name="_Toc296503156"/>
      <w:bookmarkStart w:id="108" w:name="_Toc297048342"/>
      <w:bookmarkStart w:id="109" w:name="_Toc296891196"/>
      <w:bookmarkStart w:id="110" w:name="_Toc292559866"/>
      <w:bookmarkStart w:id="111" w:name="_Toc297120456"/>
      <w:r>
        <w:rPr>
          <w:rFonts w:ascii="Times New Roman" w:hAnsi="Times New Roman" w:eastAsia="黑体"/>
          <w:b w:val="0"/>
          <w:color w:val="auto"/>
          <w:sz w:val="32"/>
          <w:szCs w:val="32"/>
          <w:highlight w:val="none"/>
        </w:rPr>
        <w:t>. 一般约定</w:t>
      </w:r>
      <w:bookmarkEnd w:id="101"/>
    </w:p>
    <w:bookmarkEnd w:id="102"/>
    <w:bookmarkEnd w:id="103"/>
    <w:bookmarkEnd w:id="104"/>
    <w:bookmarkEnd w:id="105"/>
    <w:bookmarkEnd w:id="106"/>
    <w:bookmarkEnd w:id="107"/>
    <w:bookmarkEnd w:id="108"/>
    <w:bookmarkEnd w:id="109"/>
    <w:bookmarkEnd w:id="110"/>
    <w:bookmarkEnd w:id="111"/>
    <w:p w14:paraId="28C258BE">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 词语定义</w:t>
      </w:r>
    </w:p>
    <w:p w14:paraId="15D9EF2C">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1.1.1合同</w:t>
      </w:r>
    </w:p>
    <w:p w14:paraId="57336299">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1.1.1.10其他合同文件包括：</w:t>
      </w:r>
      <w:r>
        <w:rPr>
          <w:rFonts w:hint="eastAsia" w:eastAsia="仿宋_GB2312"/>
          <w:color w:val="auto"/>
          <w:sz w:val="30"/>
          <w:szCs w:val="32"/>
          <w:highlight w:val="none"/>
          <w:u w:val="single"/>
        </w:rPr>
        <w:t xml:space="preserve">(1)双方有关工程的洽商、变更等书面记录和文件；（2）发包人或监理工程师有关通知及工程会议纪要   </w:t>
      </w:r>
      <w:r>
        <w:rPr>
          <w:rFonts w:eastAsia="仿宋_GB2312"/>
          <w:color w:val="auto"/>
          <w:sz w:val="30"/>
          <w:szCs w:val="32"/>
          <w:highlight w:val="none"/>
        </w:rPr>
        <w:t>。</w:t>
      </w:r>
    </w:p>
    <w:p w14:paraId="05E9B6C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 合同当事人及其他相关方</w:t>
      </w:r>
    </w:p>
    <w:p w14:paraId="441BEB3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1.1.2.4监理人：</w:t>
      </w:r>
    </w:p>
    <w:p w14:paraId="666311B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名    称：</w:t>
      </w:r>
      <w:r>
        <w:rPr>
          <w:rFonts w:eastAsia="仿宋_GB2312"/>
          <w:color w:val="auto"/>
          <w:sz w:val="30"/>
          <w:szCs w:val="30"/>
          <w:highlight w:val="none"/>
          <w:u w:val="single"/>
        </w:rPr>
        <w:t xml:space="preserve">                                   </w:t>
      </w:r>
      <w:r>
        <w:rPr>
          <w:rFonts w:eastAsia="仿宋_GB2312"/>
          <w:color w:val="auto"/>
          <w:sz w:val="30"/>
          <w:szCs w:val="32"/>
          <w:highlight w:val="none"/>
        </w:rPr>
        <w:t>；</w:t>
      </w:r>
    </w:p>
    <w:p w14:paraId="5A9E020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资质类别和等级：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066FF0B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4824322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5BAFA49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3770C0C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1.1.2.5 设计人：</w:t>
      </w:r>
    </w:p>
    <w:p w14:paraId="2751554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名    称：</w:t>
      </w:r>
      <w:r>
        <w:rPr>
          <w:rFonts w:eastAsia="仿宋_GB2312"/>
          <w:color w:val="auto"/>
          <w:sz w:val="30"/>
          <w:szCs w:val="30"/>
          <w:highlight w:val="none"/>
          <w:u w:val="single"/>
        </w:rPr>
        <w:t xml:space="preserve">                                   </w:t>
      </w:r>
      <w:r>
        <w:rPr>
          <w:rFonts w:eastAsia="仿宋_GB2312"/>
          <w:color w:val="auto"/>
          <w:sz w:val="30"/>
          <w:szCs w:val="32"/>
          <w:highlight w:val="none"/>
        </w:rPr>
        <w:t>；</w:t>
      </w:r>
    </w:p>
    <w:p w14:paraId="3185C21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资质类别和等级：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064073A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7971D80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068EB70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5CD438E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1.1.3 工程和设备</w:t>
      </w:r>
    </w:p>
    <w:p w14:paraId="25F1F09F">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1.1.3.10 临时占地包括：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临时施工用地、临时便道用地 </w:t>
      </w:r>
      <w:r>
        <w:rPr>
          <w:rFonts w:eastAsia="仿宋_GB2312"/>
          <w:color w:val="auto"/>
          <w:kern w:val="0"/>
          <w:sz w:val="30"/>
          <w:szCs w:val="32"/>
          <w:highlight w:val="none"/>
        </w:rPr>
        <w:t>。</w:t>
      </w:r>
    </w:p>
    <w:p w14:paraId="57C75328">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 xml:space="preserve">1.3法律 </w:t>
      </w:r>
    </w:p>
    <w:p w14:paraId="45B67813">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适用于合同的其他规范性文件：</w:t>
      </w:r>
      <w:r>
        <w:rPr>
          <w:rFonts w:hint="eastAsia" w:eastAsia="仿宋_GB2312"/>
          <w:color w:val="auto"/>
          <w:sz w:val="30"/>
          <w:szCs w:val="32"/>
          <w:highlight w:val="none"/>
          <w:u w:val="single"/>
        </w:rPr>
        <w:t>国家及地方现行相关规范性文件</w:t>
      </w:r>
      <w:r>
        <w:rPr>
          <w:rFonts w:eastAsia="仿宋_GB2312"/>
          <w:color w:val="auto"/>
          <w:sz w:val="30"/>
          <w:szCs w:val="32"/>
          <w:highlight w:val="none"/>
          <w:u w:val="single"/>
        </w:rPr>
        <w:t xml:space="preserve"> </w:t>
      </w:r>
      <w:r>
        <w:rPr>
          <w:rFonts w:eastAsia="仿宋_GB2312"/>
          <w:color w:val="auto"/>
          <w:sz w:val="30"/>
          <w:szCs w:val="32"/>
          <w:highlight w:val="none"/>
        </w:rPr>
        <w:t>。</w:t>
      </w:r>
    </w:p>
    <w:p w14:paraId="775E348F">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1.5 合同文件的优先顺序</w:t>
      </w:r>
    </w:p>
    <w:p w14:paraId="1EAC1D55">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合同文件组成及优先顺序为：</w:t>
      </w:r>
    </w:p>
    <w:p w14:paraId="14098EE0">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1</w:t>
      </w:r>
      <w:r>
        <w:rPr>
          <w:rFonts w:eastAsia="仿宋_GB2312"/>
          <w:color w:val="auto"/>
          <w:sz w:val="30"/>
          <w:szCs w:val="32"/>
          <w:highlight w:val="none"/>
        </w:rPr>
        <w:t>）</w:t>
      </w:r>
      <w:r>
        <w:rPr>
          <w:rFonts w:hint="eastAsia" w:eastAsia="仿宋_GB2312"/>
          <w:color w:val="auto"/>
          <w:sz w:val="30"/>
          <w:szCs w:val="32"/>
          <w:highlight w:val="none"/>
        </w:rPr>
        <w:t>合同协议书</w:t>
      </w:r>
      <w:r>
        <w:rPr>
          <w:rFonts w:eastAsia="仿宋_GB2312"/>
          <w:color w:val="auto"/>
          <w:sz w:val="30"/>
          <w:szCs w:val="32"/>
          <w:highlight w:val="none"/>
        </w:rPr>
        <w:t>；</w:t>
      </w:r>
    </w:p>
    <w:p w14:paraId="09FBD3C1">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2</w:t>
      </w:r>
      <w:r>
        <w:rPr>
          <w:rFonts w:eastAsia="仿宋_GB2312"/>
          <w:color w:val="auto"/>
          <w:sz w:val="30"/>
          <w:szCs w:val="32"/>
          <w:highlight w:val="none"/>
        </w:rPr>
        <w:t>）</w:t>
      </w:r>
      <w:r>
        <w:rPr>
          <w:rFonts w:hint="eastAsia" w:eastAsia="仿宋_GB2312"/>
          <w:color w:val="auto"/>
          <w:sz w:val="30"/>
          <w:szCs w:val="32"/>
          <w:highlight w:val="none"/>
        </w:rPr>
        <w:t>中标通知书</w:t>
      </w:r>
      <w:r>
        <w:rPr>
          <w:rFonts w:eastAsia="仿宋_GB2312"/>
          <w:color w:val="auto"/>
          <w:sz w:val="30"/>
          <w:szCs w:val="32"/>
          <w:highlight w:val="none"/>
        </w:rPr>
        <w:t>；</w:t>
      </w:r>
    </w:p>
    <w:p w14:paraId="0F9E452F">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3</w:t>
      </w:r>
      <w:r>
        <w:rPr>
          <w:rFonts w:eastAsia="仿宋_GB2312"/>
          <w:color w:val="auto"/>
          <w:sz w:val="30"/>
          <w:szCs w:val="32"/>
          <w:highlight w:val="none"/>
        </w:rPr>
        <w:t>）</w:t>
      </w:r>
      <w:r>
        <w:rPr>
          <w:rFonts w:hint="eastAsia" w:eastAsia="仿宋_GB2312"/>
          <w:color w:val="auto"/>
          <w:sz w:val="30"/>
          <w:szCs w:val="32"/>
          <w:highlight w:val="none"/>
        </w:rPr>
        <w:t>投标函及其附录</w:t>
      </w:r>
      <w:r>
        <w:rPr>
          <w:rFonts w:eastAsia="仿宋_GB2312"/>
          <w:color w:val="auto"/>
          <w:sz w:val="30"/>
          <w:szCs w:val="32"/>
          <w:highlight w:val="none"/>
        </w:rPr>
        <w:t>；</w:t>
      </w:r>
    </w:p>
    <w:p w14:paraId="5C0C548E">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4</w:t>
      </w:r>
      <w:r>
        <w:rPr>
          <w:rFonts w:eastAsia="仿宋_GB2312"/>
          <w:color w:val="auto"/>
          <w:sz w:val="30"/>
          <w:szCs w:val="32"/>
          <w:highlight w:val="none"/>
        </w:rPr>
        <w:t>）专用合同条款</w:t>
      </w:r>
      <w:r>
        <w:rPr>
          <w:rFonts w:hint="eastAsia" w:eastAsia="仿宋_GB2312"/>
          <w:color w:val="auto"/>
          <w:sz w:val="30"/>
          <w:szCs w:val="32"/>
          <w:highlight w:val="none"/>
        </w:rPr>
        <w:t>及其附件</w:t>
      </w:r>
      <w:r>
        <w:rPr>
          <w:rFonts w:eastAsia="仿宋_GB2312"/>
          <w:color w:val="auto"/>
          <w:sz w:val="30"/>
          <w:szCs w:val="32"/>
          <w:highlight w:val="none"/>
        </w:rPr>
        <w:t>；</w:t>
      </w:r>
    </w:p>
    <w:p w14:paraId="11D1F033">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5</w:t>
      </w:r>
      <w:r>
        <w:rPr>
          <w:rFonts w:eastAsia="仿宋_GB2312"/>
          <w:color w:val="auto"/>
          <w:sz w:val="30"/>
          <w:szCs w:val="32"/>
          <w:highlight w:val="none"/>
        </w:rPr>
        <w:t xml:space="preserve">）通用合同条款； </w:t>
      </w:r>
    </w:p>
    <w:p w14:paraId="4708E336">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6</w:t>
      </w:r>
      <w:r>
        <w:rPr>
          <w:rFonts w:eastAsia="仿宋_GB2312"/>
          <w:color w:val="auto"/>
          <w:sz w:val="30"/>
          <w:szCs w:val="32"/>
          <w:highlight w:val="none"/>
        </w:rPr>
        <w:t>）技术标准和要求；</w:t>
      </w:r>
    </w:p>
    <w:p w14:paraId="17E089F5">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7</w:t>
      </w:r>
      <w:r>
        <w:rPr>
          <w:rFonts w:eastAsia="仿宋_GB2312"/>
          <w:color w:val="auto"/>
          <w:sz w:val="30"/>
          <w:szCs w:val="32"/>
          <w:highlight w:val="none"/>
        </w:rPr>
        <w:t>）图纸；</w:t>
      </w:r>
    </w:p>
    <w:p w14:paraId="3A66E96C">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8</w:t>
      </w:r>
      <w:r>
        <w:rPr>
          <w:rFonts w:eastAsia="仿宋_GB2312"/>
          <w:color w:val="auto"/>
          <w:sz w:val="30"/>
          <w:szCs w:val="32"/>
          <w:highlight w:val="none"/>
        </w:rPr>
        <w:t>）已标价</w:t>
      </w:r>
      <w:r>
        <w:rPr>
          <w:rFonts w:hint="eastAsia" w:eastAsia="仿宋_GB2312"/>
          <w:color w:val="auto"/>
          <w:sz w:val="30"/>
          <w:szCs w:val="32"/>
          <w:highlight w:val="none"/>
        </w:rPr>
        <w:t>工程量清单或</w:t>
      </w:r>
      <w:r>
        <w:rPr>
          <w:rFonts w:eastAsia="仿宋_GB2312"/>
          <w:color w:val="auto"/>
          <w:sz w:val="30"/>
          <w:szCs w:val="32"/>
          <w:highlight w:val="none"/>
        </w:rPr>
        <w:t>预算书；</w:t>
      </w:r>
    </w:p>
    <w:p w14:paraId="03950CCF">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9</w:t>
      </w:r>
      <w:r>
        <w:rPr>
          <w:rFonts w:eastAsia="仿宋_GB2312"/>
          <w:color w:val="auto"/>
          <w:sz w:val="30"/>
          <w:szCs w:val="32"/>
          <w:highlight w:val="none"/>
        </w:rPr>
        <w:t>）</w:t>
      </w:r>
      <w:r>
        <w:rPr>
          <w:rFonts w:hint="eastAsia" w:eastAsia="仿宋_GB2312"/>
          <w:color w:val="auto"/>
          <w:sz w:val="30"/>
          <w:szCs w:val="32"/>
          <w:highlight w:val="none"/>
        </w:rPr>
        <w:t>招标文件</w:t>
      </w:r>
      <w:r>
        <w:rPr>
          <w:rFonts w:eastAsia="仿宋_GB2312"/>
          <w:color w:val="auto"/>
          <w:sz w:val="30"/>
          <w:szCs w:val="32"/>
          <w:highlight w:val="none"/>
        </w:rPr>
        <w:t>；</w:t>
      </w:r>
    </w:p>
    <w:p w14:paraId="79D802A6">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10</w:t>
      </w:r>
      <w:r>
        <w:rPr>
          <w:rFonts w:eastAsia="仿宋_GB2312"/>
          <w:color w:val="auto"/>
          <w:sz w:val="30"/>
          <w:szCs w:val="32"/>
          <w:highlight w:val="none"/>
        </w:rPr>
        <w:t>）其他合同文件</w:t>
      </w:r>
      <w:r>
        <w:rPr>
          <w:rFonts w:eastAsia="仿宋_GB2312"/>
          <w:color w:val="auto"/>
          <w:sz w:val="30"/>
          <w:szCs w:val="32"/>
          <w:highlight w:val="none"/>
        </w:rPr>
        <w:tab/>
      </w:r>
    </w:p>
    <w:p w14:paraId="4142AF28">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 图纸和承包人文件</w:t>
      </w:r>
      <w:r>
        <w:rPr>
          <w:rFonts w:eastAsia="黑体"/>
          <w:color w:val="auto"/>
          <w:sz w:val="30"/>
          <w:szCs w:val="32"/>
          <w:highlight w:val="none"/>
        </w:rPr>
        <w:tab/>
      </w:r>
    </w:p>
    <w:p w14:paraId="6217F5C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1.6.1 图纸的提供</w:t>
      </w:r>
    </w:p>
    <w:p w14:paraId="0D1B568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发包人向承包人提供图纸的期限：</w:t>
      </w:r>
      <w:r>
        <w:rPr>
          <w:rFonts w:hint="eastAsia" w:eastAsia="仿宋_GB2312"/>
          <w:color w:val="auto"/>
          <w:sz w:val="30"/>
          <w:szCs w:val="32"/>
          <w:highlight w:val="none"/>
          <w:u w:val="single"/>
        </w:rPr>
        <w:t xml:space="preserve"> 开工前七日内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0A4CDA4F">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发包人向承包人提供图纸的数量：</w:t>
      </w:r>
      <w:r>
        <w:rPr>
          <w:rFonts w:hint="eastAsia" w:eastAsia="仿宋_GB2312"/>
          <w:color w:val="auto"/>
          <w:sz w:val="30"/>
          <w:szCs w:val="32"/>
          <w:highlight w:val="none"/>
          <w:u w:val="single"/>
        </w:rPr>
        <w:t>叁套，承包人确需增加图纸套数的，需经发包人同意，所需费用由承包人自行承担</w:t>
      </w:r>
      <w:r>
        <w:rPr>
          <w:rFonts w:eastAsia="仿宋_GB2312"/>
          <w:color w:val="auto"/>
          <w:sz w:val="30"/>
          <w:szCs w:val="32"/>
          <w:highlight w:val="none"/>
          <w:u w:val="single"/>
        </w:rPr>
        <w:t xml:space="preserve"> </w:t>
      </w:r>
      <w:r>
        <w:rPr>
          <w:rFonts w:eastAsia="仿宋_GB2312"/>
          <w:color w:val="auto"/>
          <w:sz w:val="30"/>
          <w:szCs w:val="32"/>
          <w:highlight w:val="none"/>
        </w:rPr>
        <w:t>；</w:t>
      </w:r>
    </w:p>
    <w:p w14:paraId="57DA72C9">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发包人对图纸的保密要求：</w:t>
      </w:r>
      <w:r>
        <w:rPr>
          <w:rFonts w:hint="eastAsia" w:eastAsia="仿宋_GB2312"/>
          <w:color w:val="auto"/>
          <w:sz w:val="30"/>
          <w:szCs w:val="32"/>
          <w:highlight w:val="none"/>
          <w:u w:val="single"/>
        </w:rPr>
        <w:t>未经发包人书面同意，施工图纸及资料不得拷贝、复印、转让给第三方。若承包人违反此保密义务，承包人应在发包人追究承包人此违约责任之日起5日内，向发包人支付违约金贰拾万元。逾期支付，承包人应额外向发包人支付未付违约金额0.5‰/天的逾期违约金直至完全支付为止。发包人有权单方解除合同且不承担违约责任。</w:t>
      </w:r>
    </w:p>
    <w:p w14:paraId="029C4DA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1.6.4 承包人文件</w:t>
      </w:r>
    </w:p>
    <w:p w14:paraId="411DE1DC">
      <w:pPr>
        <w:spacing w:line="360" w:lineRule="auto"/>
        <w:ind w:left="596" w:leftChars="284"/>
        <w:jc w:val="left"/>
        <w:rPr>
          <w:rFonts w:eastAsia="仿宋_GB2312"/>
          <w:color w:val="auto"/>
          <w:sz w:val="30"/>
          <w:szCs w:val="32"/>
          <w:highlight w:val="none"/>
        </w:rPr>
      </w:pPr>
      <w:r>
        <w:rPr>
          <w:rFonts w:eastAsia="仿宋_GB2312"/>
          <w:color w:val="auto"/>
          <w:sz w:val="30"/>
          <w:szCs w:val="32"/>
          <w:highlight w:val="none"/>
        </w:rPr>
        <w:t>需要由承包人提供的文件，包括：</w:t>
      </w:r>
      <w:r>
        <w:rPr>
          <w:rFonts w:hint="eastAsia" w:eastAsia="仿宋_GB2312"/>
          <w:color w:val="auto"/>
          <w:sz w:val="30"/>
          <w:szCs w:val="32"/>
          <w:highlight w:val="none"/>
          <w:u w:val="single"/>
        </w:rPr>
        <w:t xml:space="preserve">施工组织设计、专项施工方案、进度计划等 </w:t>
      </w:r>
      <w:r>
        <w:rPr>
          <w:rFonts w:eastAsia="仿宋_GB2312"/>
          <w:color w:val="auto"/>
          <w:sz w:val="30"/>
          <w:szCs w:val="32"/>
          <w:highlight w:val="none"/>
        </w:rPr>
        <w:t>；</w:t>
      </w:r>
    </w:p>
    <w:p w14:paraId="7ECF78C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承包人提供的文件的期限为：</w:t>
      </w:r>
      <w:r>
        <w:rPr>
          <w:rFonts w:hint="eastAsia" w:eastAsia="仿宋_GB2312"/>
          <w:color w:val="auto"/>
          <w:sz w:val="30"/>
          <w:szCs w:val="32"/>
          <w:highlight w:val="none"/>
          <w:u w:val="single"/>
        </w:rPr>
        <w:t>施工组织设计、进度计划在开工前7天，专项施工方案在专项工程实施前7天</w:t>
      </w:r>
      <w:r>
        <w:rPr>
          <w:rFonts w:eastAsia="仿宋_GB2312"/>
          <w:color w:val="auto"/>
          <w:sz w:val="30"/>
          <w:szCs w:val="32"/>
          <w:highlight w:val="none"/>
        </w:rPr>
        <w:t>；</w:t>
      </w:r>
    </w:p>
    <w:p w14:paraId="2AA4570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承包人提供的文件的数量为：</w:t>
      </w:r>
      <w:r>
        <w:rPr>
          <w:rFonts w:hint="eastAsia" w:eastAsia="仿宋_GB2312"/>
          <w:color w:val="auto"/>
          <w:sz w:val="30"/>
          <w:szCs w:val="32"/>
          <w:highlight w:val="none"/>
          <w:u w:val="single"/>
        </w:rPr>
        <w:t xml:space="preserve">三份 </w:t>
      </w:r>
      <w:r>
        <w:rPr>
          <w:rFonts w:eastAsia="仿宋_GB2312"/>
          <w:color w:val="auto"/>
          <w:sz w:val="30"/>
          <w:szCs w:val="32"/>
          <w:highlight w:val="none"/>
        </w:rPr>
        <w:t>；</w:t>
      </w:r>
    </w:p>
    <w:p w14:paraId="4500A25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承包人提供的文件的形式为：</w:t>
      </w:r>
      <w:r>
        <w:rPr>
          <w:rFonts w:hint="eastAsia" w:eastAsia="仿宋_GB2312"/>
          <w:color w:val="auto"/>
          <w:sz w:val="30"/>
          <w:szCs w:val="32"/>
          <w:highlight w:val="none"/>
          <w:u w:val="single"/>
        </w:rPr>
        <w:t>正式纸质文件（承包人已完善签字盖章）</w:t>
      </w:r>
      <w:r>
        <w:rPr>
          <w:rFonts w:eastAsia="仿宋_GB2312"/>
          <w:color w:val="auto"/>
          <w:sz w:val="30"/>
          <w:szCs w:val="32"/>
          <w:highlight w:val="none"/>
        </w:rPr>
        <w:t>；</w:t>
      </w:r>
    </w:p>
    <w:p w14:paraId="6A95028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w:t>
      </w:r>
      <w:r>
        <w:rPr>
          <w:rFonts w:hint="eastAsia" w:eastAsia="仿宋_GB2312"/>
          <w:color w:val="auto"/>
          <w:sz w:val="30"/>
          <w:szCs w:val="32"/>
          <w:highlight w:val="none"/>
        </w:rPr>
        <w:t>审批</w:t>
      </w:r>
      <w:r>
        <w:rPr>
          <w:rFonts w:eastAsia="仿宋_GB2312"/>
          <w:color w:val="auto"/>
          <w:sz w:val="30"/>
          <w:szCs w:val="32"/>
          <w:highlight w:val="none"/>
        </w:rPr>
        <w:t>承包人文件的期限：</w:t>
      </w:r>
      <w:r>
        <w:rPr>
          <w:rFonts w:hint="eastAsia" w:eastAsia="仿宋_GB2312"/>
          <w:color w:val="auto"/>
          <w:sz w:val="30"/>
          <w:szCs w:val="32"/>
          <w:highlight w:val="none"/>
          <w:u w:val="single"/>
        </w:rPr>
        <w:t>收到文件后7天内审核完毕</w:t>
      </w:r>
      <w:r>
        <w:rPr>
          <w:rFonts w:eastAsia="仿宋_GB2312"/>
          <w:color w:val="auto"/>
          <w:sz w:val="30"/>
          <w:szCs w:val="32"/>
          <w:highlight w:val="none"/>
        </w:rPr>
        <w:t>。</w:t>
      </w:r>
    </w:p>
    <w:p w14:paraId="23F6D8D3">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1.7 联络</w:t>
      </w:r>
    </w:p>
    <w:p w14:paraId="381931F2">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1.7.1发包人和承包人应当在</w:t>
      </w:r>
      <w:r>
        <w:rPr>
          <w:rFonts w:hint="eastAsia" w:eastAsia="仿宋_GB2312"/>
          <w:color w:val="auto"/>
          <w:kern w:val="0"/>
          <w:sz w:val="30"/>
          <w:szCs w:val="32"/>
          <w:highlight w:val="none"/>
        </w:rPr>
        <w:t>事件发生后</w:t>
      </w:r>
      <w:r>
        <w:rPr>
          <w:rFonts w:hint="eastAsia" w:eastAsia="仿宋_GB2312"/>
          <w:color w:val="auto"/>
          <w:kern w:val="0"/>
          <w:sz w:val="30"/>
          <w:szCs w:val="32"/>
          <w:highlight w:val="none"/>
          <w:u w:val="single"/>
        </w:rPr>
        <w:t xml:space="preserve"> </w:t>
      </w:r>
      <w:r>
        <w:rPr>
          <w:rFonts w:eastAsia="仿宋_GB2312"/>
          <w:color w:val="auto"/>
          <w:sz w:val="30"/>
          <w:szCs w:val="32"/>
          <w:highlight w:val="none"/>
          <w:u w:val="single"/>
        </w:rPr>
        <w:t xml:space="preserve">3 </w:t>
      </w:r>
      <w:r>
        <w:rPr>
          <w:rFonts w:eastAsia="仿宋_GB2312"/>
          <w:color w:val="auto"/>
          <w:kern w:val="0"/>
          <w:sz w:val="30"/>
          <w:szCs w:val="32"/>
          <w:highlight w:val="none"/>
        </w:rPr>
        <w:t>天内将与合同有关的通知、批准、证明、证书、指示、指令、要求、请求、同意、意见、确定和决定等书面函件送达对方当事人</w:t>
      </w:r>
      <w:r>
        <w:rPr>
          <w:rFonts w:hint="eastAsia" w:eastAsia="仿宋_GB2312"/>
          <w:color w:val="auto"/>
          <w:kern w:val="0"/>
          <w:sz w:val="30"/>
          <w:szCs w:val="32"/>
          <w:highlight w:val="none"/>
        </w:rPr>
        <w:t>。</w:t>
      </w:r>
    </w:p>
    <w:p w14:paraId="742000E6">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1.7.2 发包人接收文件的地点：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1ABABE04">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发包人指定的接收人为：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11774769">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20992B14">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6F3FEF42">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监理人接收文件的地点：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21BF27CB">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监理人指定的接收人为：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5A4C9A66">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1.10 交通运输</w:t>
      </w:r>
    </w:p>
    <w:p w14:paraId="67DF5BEF">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1</w:t>
      </w:r>
      <w:bookmarkStart w:id="112" w:name="_Toc318581156"/>
      <w:bookmarkStart w:id="113" w:name="_Toc303539101"/>
      <w:bookmarkStart w:id="114" w:name="_Toc304295522"/>
      <w:bookmarkStart w:id="115" w:name="_Toc312677987"/>
      <w:bookmarkStart w:id="116" w:name="_Toc300934944"/>
      <w:r>
        <w:rPr>
          <w:rFonts w:eastAsia="仿宋_GB2312"/>
          <w:color w:val="auto"/>
          <w:sz w:val="30"/>
          <w:szCs w:val="32"/>
          <w:highlight w:val="none"/>
        </w:rPr>
        <w:t>.10.3 场内交通</w:t>
      </w:r>
    </w:p>
    <w:p w14:paraId="2E6A3AD6">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关于场外交通和场内交通的边界的约定：</w:t>
      </w:r>
      <w:r>
        <w:rPr>
          <w:rFonts w:hint="eastAsia" w:eastAsia="仿宋_GB2312"/>
          <w:color w:val="auto"/>
          <w:sz w:val="30"/>
          <w:szCs w:val="32"/>
          <w:highlight w:val="none"/>
          <w:u w:val="single"/>
        </w:rPr>
        <w:t xml:space="preserve">以发包人厂区外围围墙为边界 </w:t>
      </w:r>
      <w:r>
        <w:rPr>
          <w:rFonts w:eastAsia="仿宋_GB2312"/>
          <w:color w:val="auto"/>
          <w:sz w:val="30"/>
          <w:szCs w:val="32"/>
          <w:highlight w:val="none"/>
        </w:rPr>
        <w:t>。</w:t>
      </w:r>
    </w:p>
    <w:p w14:paraId="5258F7A4">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关于发包人向承包人免费提供满足工程施工需要的场内道路和交通设施的约定：</w:t>
      </w:r>
      <w:r>
        <w:rPr>
          <w:rFonts w:hint="eastAsia" w:eastAsia="仿宋_GB2312"/>
          <w:color w:val="auto"/>
          <w:sz w:val="30"/>
          <w:szCs w:val="32"/>
          <w:highlight w:val="none"/>
          <w:u w:val="single"/>
        </w:rPr>
        <w:t xml:space="preserve">施工场地与城市公共道路已开通，施工场地内的临时道路由承包人负责，费用由承包人自行承担  </w:t>
      </w:r>
      <w:r>
        <w:rPr>
          <w:rFonts w:eastAsia="仿宋_GB2312"/>
          <w:color w:val="auto"/>
          <w:sz w:val="30"/>
          <w:szCs w:val="32"/>
          <w:highlight w:val="none"/>
        </w:rPr>
        <w:t>。</w:t>
      </w:r>
      <w:bookmarkEnd w:id="112"/>
      <w:bookmarkEnd w:id="113"/>
      <w:bookmarkEnd w:id="114"/>
      <w:bookmarkEnd w:id="115"/>
      <w:bookmarkEnd w:id="116"/>
      <w:r>
        <w:rPr>
          <w:rFonts w:eastAsia="仿宋_GB2312"/>
          <w:color w:val="auto"/>
          <w:sz w:val="30"/>
          <w:szCs w:val="32"/>
          <w:highlight w:val="none"/>
        </w:rPr>
        <w:t xml:space="preserve">  </w:t>
      </w:r>
      <w:bookmarkStart w:id="117" w:name="_Toc318581157"/>
    </w:p>
    <w:bookmarkEnd w:id="117"/>
    <w:p w14:paraId="4E8BB5C1">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1.11 知识产权</w:t>
      </w:r>
    </w:p>
    <w:p w14:paraId="3C21F2C6">
      <w:pPr>
        <w:spacing w:line="360" w:lineRule="auto"/>
        <w:ind w:firstLine="600" w:firstLineChars="200"/>
        <w:outlineLvl w:val="0"/>
        <w:rPr>
          <w:rFonts w:eastAsia="仿宋_GB2312"/>
          <w:color w:val="auto"/>
          <w:kern w:val="0"/>
          <w:sz w:val="30"/>
          <w:szCs w:val="32"/>
          <w:highlight w:val="none"/>
        </w:rPr>
      </w:pPr>
      <w:r>
        <w:rPr>
          <w:rFonts w:eastAsia="仿宋_GB2312"/>
          <w:color w:val="auto"/>
          <w:sz w:val="30"/>
          <w:szCs w:val="32"/>
          <w:highlight w:val="none"/>
        </w:rPr>
        <w:t>1.11.4 承包人在施工过程中所采用的专利、专有技术、技术秘密的使用费的承担方式：</w:t>
      </w:r>
      <w:r>
        <w:rPr>
          <w:rFonts w:hint="eastAsia" w:eastAsia="仿宋_GB2312"/>
          <w:color w:val="auto"/>
          <w:sz w:val="30"/>
          <w:szCs w:val="32"/>
          <w:highlight w:val="none"/>
          <w:u w:val="single"/>
        </w:rPr>
        <w:t xml:space="preserve">由承包人承担 </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68B5C90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1.13工程量清单错误的修正</w:t>
      </w:r>
    </w:p>
    <w:p w14:paraId="15CDEEF1">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出现工程量清单错误时，是否调整合同价格：</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是</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2821806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允许调整合同价格的工程量偏差范围：</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工程量出现偏差不允许调整清单单价</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56A8C0A6">
      <w:pPr>
        <w:pStyle w:val="5"/>
        <w:spacing w:before="120" w:after="120" w:line="360" w:lineRule="auto"/>
        <w:rPr>
          <w:rFonts w:ascii="Times New Roman" w:hAnsi="Times New Roman" w:eastAsia="黑体"/>
          <w:b w:val="0"/>
          <w:color w:val="auto"/>
          <w:sz w:val="32"/>
          <w:szCs w:val="32"/>
          <w:highlight w:val="none"/>
        </w:rPr>
      </w:pPr>
      <w:bookmarkStart w:id="118" w:name="_Toc351203634"/>
      <w:r>
        <w:rPr>
          <w:rFonts w:ascii="Times New Roman" w:hAnsi="Times New Roman" w:eastAsia="黑体"/>
          <w:b w:val="0"/>
          <w:color w:val="auto"/>
          <w:sz w:val="32"/>
          <w:szCs w:val="32"/>
          <w:highlight w:val="none"/>
        </w:rPr>
        <w:t>2</w:t>
      </w:r>
      <w:bookmarkStart w:id="119" w:name="_Toc296347156"/>
      <w:bookmarkStart w:id="120" w:name="_Toc292559362"/>
      <w:bookmarkStart w:id="121" w:name="_Toc296346658"/>
      <w:bookmarkStart w:id="122" w:name="_Toc297048343"/>
      <w:bookmarkStart w:id="123" w:name="_Toc296891197"/>
      <w:bookmarkStart w:id="124" w:name="_Toc292559867"/>
      <w:bookmarkStart w:id="125" w:name="_Toc296944496"/>
      <w:bookmarkStart w:id="126" w:name="_Toc296503157"/>
      <w:bookmarkStart w:id="127" w:name="_Toc297120457"/>
      <w:bookmarkStart w:id="128" w:name="_Toc296890985"/>
      <w:r>
        <w:rPr>
          <w:rFonts w:ascii="Times New Roman" w:hAnsi="Times New Roman" w:eastAsia="黑体"/>
          <w:b w:val="0"/>
          <w:color w:val="auto"/>
          <w:sz w:val="32"/>
          <w:szCs w:val="32"/>
          <w:highlight w:val="none"/>
        </w:rPr>
        <w:t>. 发包人</w:t>
      </w:r>
      <w:bookmarkEnd w:id="118"/>
    </w:p>
    <w:bookmarkEnd w:id="119"/>
    <w:bookmarkEnd w:id="120"/>
    <w:bookmarkEnd w:id="121"/>
    <w:bookmarkEnd w:id="122"/>
    <w:bookmarkEnd w:id="123"/>
    <w:bookmarkEnd w:id="124"/>
    <w:bookmarkEnd w:id="125"/>
    <w:bookmarkEnd w:id="126"/>
    <w:bookmarkEnd w:id="127"/>
    <w:bookmarkEnd w:id="128"/>
    <w:p w14:paraId="0005126E">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2.2 发包人代表</w:t>
      </w:r>
    </w:p>
    <w:p w14:paraId="3DE60F2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发包人代表：</w:t>
      </w:r>
    </w:p>
    <w:p w14:paraId="6B0F544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69FA686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身份证号：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3C41474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职    务：</w:t>
      </w:r>
      <w:r>
        <w:rPr>
          <w:rFonts w:eastAsia="仿宋_GB2312"/>
          <w:color w:val="auto"/>
          <w:sz w:val="30"/>
          <w:szCs w:val="30"/>
          <w:highlight w:val="none"/>
          <w:u w:val="single"/>
        </w:rPr>
        <w:t xml:space="preserve">                                   </w:t>
      </w:r>
      <w:r>
        <w:rPr>
          <w:rFonts w:eastAsia="仿宋_GB2312"/>
          <w:color w:val="auto"/>
          <w:sz w:val="30"/>
          <w:szCs w:val="32"/>
          <w:highlight w:val="none"/>
        </w:rPr>
        <w:t>；</w:t>
      </w:r>
    </w:p>
    <w:p w14:paraId="28F308A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6F9B263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00F80AF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58688862">
      <w:pPr>
        <w:spacing w:line="360" w:lineRule="auto"/>
        <w:ind w:firstLine="600" w:firstLineChars="200"/>
        <w:rPr>
          <w:rFonts w:eastAsia="仿宋_GB2312"/>
          <w:b/>
          <w:color w:val="auto"/>
          <w:sz w:val="30"/>
          <w:szCs w:val="32"/>
          <w:highlight w:val="none"/>
        </w:rPr>
      </w:pPr>
      <w:r>
        <w:rPr>
          <w:rFonts w:eastAsia="仿宋_GB2312"/>
          <w:color w:val="auto"/>
          <w:sz w:val="30"/>
          <w:szCs w:val="32"/>
          <w:highlight w:val="none"/>
        </w:rPr>
        <w:t>发包人对发包人代表的授权范围如下：</w:t>
      </w:r>
      <w:r>
        <w:rPr>
          <w:rFonts w:hint="eastAsia" w:eastAsia="仿宋_GB2312"/>
          <w:color w:val="auto"/>
          <w:sz w:val="30"/>
          <w:szCs w:val="32"/>
          <w:highlight w:val="none"/>
          <w:u w:val="single"/>
        </w:rPr>
        <w:t>1、检查和监督承包人执行合同；2、参与工程质量、安全、投资、进度的管理及各有关协作单位的协调；3、参与审核工程进度款的支付；4、发包人代表的指令、通知由其本人及发包人项目办主管/分管领导签字并加盖发包人公章后，以书面形式交给项目经理后生效；5、对工程设计变更的审批权（工程设计变更还须完成发包人内部审批）；6、组织竣工验收</w:t>
      </w:r>
      <w:r>
        <w:rPr>
          <w:rFonts w:eastAsia="仿宋_GB2312"/>
          <w:color w:val="auto"/>
          <w:sz w:val="30"/>
          <w:szCs w:val="32"/>
          <w:highlight w:val="none"/>
        </w:rPr>
        <w:t>。</w:t>
      </w:r>
    </w:p>
    <w:p w14:paraId="7CF01943">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2.4 施工现场、施工条件和基础资料的提供</w:t>
      </w:r>
    </w:p>
    <w:p w14:paraId="17C38F6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2.4.1 提供施工现场</w:t>
      </w:r>
    </w:p>
    <w:p w14:paraId="575FD8E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关于发包人移交施工现场的期限要求：</w:t>
      </w:r>
      <w:r>
        <w:rPr>
          <w:rFonts w:hint="eastAsia" w:eastAsia="仿宋_GB2312"/>
          <w:color w:val="auto"/>
          <w:sz w:val="30"/>
          <w:szCs w:val="32"/>
          <w:highlight w:val="none"/>
          <w:u w:val="single"/>
        </w:rPr>
        <w:t>合同签订后至开工报告发出前</w:t>
      </w:r>
      <w:r>
        <w:rPr>
          <w:rFonts w:eastAsia="仿宋_GB2312"/>
          <w:color w:val="auto"/>
          <w:sz w:val="30"/>
          <w:szCs w:val="32"/>
          <w:highlight w:val="none"/>
          <w:u w:val="single"/>
        </w:rPr>
        <w:t xml:space="preserve">   </w:t>
      </w:r>
      <w:r>
        <w:rPr>
          <w:rFonts w:eastAsia="仿宋_GB2312"/>
          <w:color w:val="auto"/>
          <w:sz w:val="30"/>
          <w:szCs w:val="32"/>
          <w:highlight w:val="none"/>
        </w:rPr>
        <w:t>。</w:t>
      </w:r>
    </w:p>
    <w:p w14:paraId="217DA70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2.4.2 提供施工条件</w:t>
      </w:r>
    </w:p>
    <w:p w14:paraId="193CB5EB">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rPr>
        <w:t>关于发包人应负责提供施工</w:t>
      </w:r>
      <w:r>
        <w:rPr>
          <w:rFonts w:hint="eastAsia" w:eastAsia="仿宋_GB2312"/>
          <w:color w:val="auto"/>
          <w:sz w:val="30"/>
          <w:szCs w:val="32"/>
          <w:highlight w:val="none"/>
        </w:rPr>
        <w:t>所需要的条件，</w:t>
      </w:r>
      <w:r>
        <w:rPr>
          <w:rFonts w:eastAsia="仿宋_GB2312"/>
          <w:color w:val="auto"/>
          <w:sz w:val="30"/>
          <w:szCs w:val="32"/>
          <w:highlight w:val="none"/>
        </w:rPr>
        <w:t>包括：</w:t>
      </w:r>
      <w:r>
        <w:rPr>
          <w:rFonts w:hint="eastAsia" w:eastAsia="仿宋_GB2312"/>
          <w:color w:val="auto"/>
          <w:sz w:val="30"/>
          <w:szCs w:val="32"/>
          <w:highlight w:val="none"/>
          <w:u w:val="single"/>
        </w:rPr>
        <w:t xml:space="preserve">于开工前将施工所需的水、电、电讯线路接至施工场地      </w:t>
      </w:r>
      <w:r>
        <w:rPr>
          <w:rFonts w:eastAsia="仿宋_GB2312"/>
          <w:color w:val="auto"/>
          <w:sz w:val="30"/>
          <w:szCs w:val="32"/>
          <w:highlight w:val="none"/>
          <w:u w:val="single"/>
        </w:rPr>
        <w:t xml:space="preserve">   </w:t>
      </w:r>
      <w:r>
        <w:rPr>
          <w:rFonts w:eastAsia="仿宋_GB2312"/>
          <w:color w:val="auto"/>
          <w:sz w:val="30"/>
          <w:szCs w:val="32"/>
          <w:highlight w:val="none"/>
        </w:rPr>
        <w:t>。</w:t>
      </w:r>
    </w:p>
    <w:p w14:paraId="4214A003">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2.5 资金来源证明及支付担保</w:t>
      </w:r>
    </w:p>
    <w:p w14:paraId="6B9918F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发包人提供资金来源证明的期限要求：</w:t>
      </w:r>
      <w:r>
        <w:rPr>
          <w:rFonts w:hint="eastAsia" w:eastAsia="仿宋_GB2312"/>
          <w:color w:val="auto"/>
          <w:sz w:val="30"/>
          <w:szCs w:val="32"/>
          <w:highlight w:val="none"/>
          <w:u w:val="single"/>
        </w:rPr>
        <w:t xml:space="preserve">不提供 </w:t>
      </w:r>
      <w:r>
        <w:rPr>
          <w:rFonts w:eastAsia="仿宋_GB2312"/>
          <w:color w:val="auto"/>
          <w:sz w:val="30"/>
          <w:szCs w:val="32"/>
          <w:highlight w:val="none"/>
          <w:u w:val="single"/>
        </w:rPr>
        <w:t xml:space="preserve">  </w:t>
      </w:r>
      <w:r>
        <w:rPr>
          <w:rFonts w:eastAsia="仿宋_GB2312"/>
          <w:color w:val="auto"/>
          <w:sz w:val="30"/>
          <w:szCs w:val="32"/>
          <w:highlight w:val="none"/>
        </w:rPr>
        <w:t>。</w:t>
      </w:r>
    </w:p>
    <w:p w14:paraId="5B4DD11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发包人是否提供支付担保：</w:t>
      </w:r>
      <w:r>
        <w:rPr>
          <w:rFonts w:hint="eastAsia" w:eastAsia="仿宋_GB2312"/>
          <w:color w:val="auto"/>
          <w:sz w:val="30"/>
          <w:szCs w:val="32"/>
          <w:highlight w:val="none"/>
          <w:u w:val="single"/>
        </w:rPr>
        <w:t>不提供</w:t>
      </w:r>
      <w:r>
        <w:rPr>
          <w:rFonts w:eastAsia="仿宋_GB2312"/>
          <w:color w:val="auto"/>
          <w:sz w:val="30"/>
          <w:szCs w:val="32"/>
          <w:highlight w:val="none"/>
          <w:u w:val="single"/>
        </w:rPr>
        <w:t xml:space="preserve">   </w:t>
      </w:r>
      <w:r>
        <w:rPr>
          <w:rFonts w:eastAsia="仿宋_GB2312"/>
          <w:color w:val="auto"/>
          <w:sz w:val="30"/>
          <w:szCs w:val="32"/>
          <w:highlight w:val="none"/>
        </w:rPr>
        <w:t>。</w:t>
      </w:r>
    </w:p>
    <w:p w14:paraId="7C983B2E">
      <w:pPr>
        <w:pStyle w:val="5"/>
        <w:spacing w:before="120" w:after="120" w:line="360" w:lineRule="auto"/>
        <w:rPr>
          <w:rFonts w:ascii="Times New Roman" w:hAnsi="Times New Roman" w:eastAsia="黑体"/>
          <w:b w:val="0"/>
          <w:color w:val="auto"/>
          <w:sz w:val="32"/>
          <w:szCs w:val="32"/>
          <w:highlight w:val="none"/>
        </w:rPr>
      </w:pPr>
      <w:bookmarkStart w:id="129" w:name="_Toc351203635"/>
      <w:r>
        <w:rPr>
          <w:rFonts w:ascii="Times New Roman" w:hAnsi="Times New Roman" w:eastAsia="黑体"/>
          <w:b w:val="0"/>
          <w:color w:val="auto"/>
          <w:sz w:val="32"/>
          <w:szCs w:val="32"/>
          <w:highlight w:val="none"/>
        </w:rPr>
        <w:t>3</w:t>
      </w:r>
      <w:bookmarkStart w:id="130" w:name="_Toc292559868"/>
      <w:bookmarkStart w:id="131" w:name="_Toc297120458"/>
      <w:bookmarkStart w:id="132" w:name="_Toc296891198"/>
      <w:bookmarkStart w:id="133" w:name="_Toc296503158"/>
      <w:bookmarkStart w:id="134" w:name="_Toc296944497"/>
      <w:bookmarkStart w:id="135" w:name="_Toc296347157"/>
      <w:bookmarkStart w:id="136" w:name="_Toc296346659"/>
      <w:bookmarkStart w:id="137" w:name="_Toc296890986"/>
      <w:bookmarkStart w:id="138" w:name="_Toc297048344"/>
      <w:bookmarkStart w:id="139" w:name="_Toc292559363"/>
      <w:r>
        <w:rPr>
          <w:rFonts w:ascii="Times New Roman" w:hAnsi="Times New Roman" w:eastAsia="黑体"/>
          <w:b w:val="0"/>
          <w:color w:val="auto"/>
          <w:sz w:val="32"/>
          <w:szCs w:val="32"/>
          <w:highlight w:val="none"/>
        </w:rPr>
        <w:t>. 承包人</w:t>
      </w:r>
      <w:bookmarkEnd w:id="129"/>
    </w:p>
    <w:bookmarkEnd w:id="130"/>
    <w:bookmarkEnd w:id="131"/>
    <w:bookmarkEnd w:id="132"/>
    <w:bookmarkEnd w:id="133"/>
    <w:bookmarkEnd w:id="134"/>
    <w:bookmarkEnd w:id="135"/>
    <w:bookmarkEnd w:id="136"/>
    <w:bookmarkEnd w:id="137"/>
    <w:bookmarkEnd w:id="138"/>
    <w:bookmarkEnd w:id="139"/>
    <w:p w14:paraId="00A2363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3.1 承包人的一般义务</w:t>
      </w:r>
    </w:p>
    <w:p w14:paraId="6AB466C1">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9</w:t>
      </w:r>
      <w:r>
        <w:rPr>
          <w:rFonts w:eastAsia="仿宋_GB2312"/>
          <w:color w:val="auto"/>
          <w:kern w:val="0"/>
          <w:sz w:val="30"/>
          <w:szCs w:val="32"/>
          <w:highlight w:val="none"/>
        </w:rPr>
        <w:t>）</w:t>
      </w:r>
      <w:r>
        <w:rPr>
          <w:rFonts w:eastAsia="仿宋_GB2312"/>
          <w:color w:val="auto"/>
          <w:sz w:val="30"/>
          <w:szCs w:val="32"/>
          <w:highlight w:val="none"/>
        </w:rPr>
        <w:t>承包人提交的竣工资料的内容：</w:t>
      </w:r>
      <w:r>
        <w:rPr>
          <w:rFonts w:hint="eastAsia" w:eastAsia="仿宋_GB2312"/>
          <w:color w:val="auto"/>
          <w:sz w:val="30"/>
          <w:szCs w:val="32"/>
          <w:highlight w:val="none"/>
          <w:u w:val="single"/>
        </w:rPr>
        <w:t>经验收合格的完整的竣工图和工程竣工技术档案资料并满足建设工程档案验收所需的所有资料的要求（包括但不限于开工报告、技术交底、施工试验记录、测量记录、隐蔽工程验收记录、材料设备进场报验、施工验收记录、质量检查记录、工程联系单、设计变更单、竣工报告、影像资料等）</w:t>
      </w:r>
      <w:r>
        <w:rPr>
          <w:rFonts w:eastAsia="仿宋_GB2312"/>
          <w:color w:val="auto"/>
          <w:sz w:val="30"/>
          <w:szCs w:val="32"/>
          <w:highlight w:val="none"/>
          <w:u w:val="single"/>
        </w:rPr>
        <w:t xml:space="preserve">    </w:t>
      </w:r>
      <w:r>
        <w:rPr>
          <w:rFonts w:eastAsia="仿宋_GB2312"/>
          <w:color w:val="auto"/>
          <w:sz w:val="30"/>
          <w:szCs w:val="32"/>
          <w:highlight w:val="none"/>
        </w:rPr>
        <w:t>。</w:t>
      </w:r>
    </w:p>
    <w:p w14:paraId="02040AF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承包人需要提交的竣工资料套数：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叁套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26934659">
      <w:pPr>
        <w:spacing w:line="360" w:lineRule="auto"/>
        <w:ind w:left="638" w:leftChars="304"/>
        <w:jc w:val="left"/>
        <w:rPr>
          <w:rFonts w:eastAsia="仿宋_GB2312"/>
          <w:color w:val="auto"/>
          <w:sz w:val="30"/>
          <w:szCs w:val="32"/>
          <w:highlight w:val="none"/>
        </w:rPr>
      </w:pPr>
      <w:r>
        <w:rPr>
          <w:rFonts w:eastAsia="仿宋_GB2312"/>
          <w:color w:val="auto"/>
          <w:sz w:val="30"/>
          <w:szCs w:val="32"/>
          <w:highlight w:val="none"/>
        </w:rPr>
        <w:t>承包人提交的竣工资料的费用承担：</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4C901900">
      <w:pPr>
        <w:spacing w:line="360" w:lineRule="auto"/>
        <w:ind w:left="638" w:leftChars="304"/>
        <w:jc w:val="left"/>
        <w:rPr>
          <w:rFonts w:eastAsia="仿宋_GB2312"/>
          <w:color w:val="auto"/>
          <w:sz w:val="30"/>
          <w:szCs w:val="32"/>
          <w:highlight w:val="none"/>
        </w:rPr>
      </w:pPr>
      <w:r>
        <w:rPr>
          <w:rFonts w:eastAsia="仿宋_GB2312"/>
          <w:color w:val="auto"/>
          <w:sz w:val="30"/>
          <w:szCs w:val="32"/>
          <w:highlight w:val="none"/>
        </w:rPr>
        <w:t>承包人提交的竣工资料移交时间：</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工程竣工验收合格后1个月内移交给发包人  </w:t>
      </w:r>
      <w:r>
        <w:rPr>
          <w:rFonts w:eastAsia="仿宋_GB2312"/>
          <w:color w:val="auto"/>
          <w:sz w:val="30"/>
          <w:szCs w:val="32"/>
          <w:highlight w:val="none"/>
          <w:u w:val="single"/>
        </w:rPr>
        <w:t xml:space="preserve"> </w:t>
      </w:r>
      <w:r>
        <w:rPr>
          <w:rFonts w:eastAsia="仿宋_GB2312"/>
          <w:color w:val="auto"/>
          <w:sz w:val="30"/>
          <w:szCs w:val="32"/>
          <w:highlight w:val="none"/>
        </w:rPr>
        <w:t>。</w:t>
      </w:r>
    </w:p>
    <w:p w14:paraId="612D405D">
      <w:pPr>
        <w:spacing w:line="360" w:lineRule="auto"/>
        <w:ind w:firstLine="600" w:firstLineChars="200"/>
        <w:rPr>
          <w:rFonts w:eastAsia="仿宋_GB2312"/>
          <w:color w:val="auto"/>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10</w:t>
      </w:r>
      <w:r>
        <w:rPr>
          <w:rFonts w:eastAsia="仿宋_GB2312"/>
          <w:color w:val="auto"/>
          <w:kern w:val="0"/>
          <w:sz w:val="30"/>
          <w:szCs w:val="32"/>
          <w:highlight w:val="none"/>
        </w:rPr>
        <w:t>）承包人应履行的其他义务</w:t>
      </w:r>
      <w:r>
        <w:rPr>
          <w:rFonts w:hint="eastAsia" w:eastAsia="仿宋_GB2312"/>
          <w:color w:val="auto"/>
          <w:kern w:val="0"/>
          <w:sz w:val="30"/>
          <w:szCs w:val="32"/>
          <w:highlight w:val="none"/>
        </w:rPr>
        <w:t>包含但不限于</w:t>
      </w:r>
      <w:r>
        <w:rPr>
          <w:rFonts w:eastAsia="仿宋_GB2312"/>
          <w:color w:val="auto"/>
          <w:sz w:val="30"/>
          <w:szCs w:val="32"/>
          <w:highlight w:val="none"/>
        </w:rPr>
        <w:t>：</w:t>
      </w:r>
    </w:p>
    <w:p w14:paraId="26843DCE">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 xml:space="preserve">1、承包人只能在发包人提供的施工场地范围内布置、安排和组织施工。承包人如需占用发包人提供的场地范围以外的场地，须自行办理有关手续及支付相关费用。便道措施费由承包人自行承担  </w:t>
      </w:r>
    </w:p>
    <w:p w14:paraId="64E10362">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2、承包人的报价已充分考虑地下管线、交通条件、水电条件、施工场地障碍条件和现场各种不利条件发生可能带来的风险及增加费用，发包人不再对因以上原因引起费用增加支付任何费用；</w:t>
      </w:r>
    </w:p>
    <w:p w14:paraId="01415C5A">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3、承包人应采取安全防护措施，避免施工活动对周边的建筑物和构筑物造成损害。施工期间，负责对施工范围内及附近的居民、商业用房、厂房等建筑物和构筑物应采取措施进行保护和受损后的修复；应保证施工现场及周边居民生活、工厂生产作业等出入交通不受影响。发生的费用由承包人承担。同时，由此导致的工期延误及相关责任由承包人承担；</w:t>
      </w:r>
    </w:p>
    <w:p w14:paraId="0B847CA7">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4、在工程竣工验收前，承包人应对已完工的工程进行保护，其费用由承包人承担；</w:t>
      </w:r>
    </w:p>
    <w:p w14:paraId="16264A86">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5、承包人应清楚地预计到施工期间对外界可能产生的不可避免的干扰，并为此保证主动努力减少这些干扰对外界的影响，且应当积极主动和外界进行协调，因此产生的费用和对发包人造成的损失由承包人承担；</w:t>
      </w:r>
    </w:p>
    <w:p w14:paraId="64C8CEF5">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6、承包人应负责现场全部作业的安全，在工程施工、完工及修补缺陷的整个工程期限内，全面负责所有留在现场的人员的安全，保护其管辖范围的现场(包括尚未完工和发包人尚未接管得工程)处于有条不紊和良好的状态。</w:t>
      </w:r>
    </w:p>
    <w:p w14:paraId="69664160">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7、承包人在工程施工过程中，必须严格按照发包人审定的施工组织设计组织施工，严禁野蛮施工。承包人应承担的责任包括但不限于：因承包人施工造成的塌方、四周地面塌陷、房屋开裂、垮塌等质量、安全事故由承包人承担责任，负责赔偿，并承担由此给发包人和第三方造成的相应损失；</w:t>
      </w:r>
    </w:p>
    <w:p w14:paraId="30668088">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8、半成品、成品材料的进场和堆放应按进度计划进行，并须事先取得发包人的同意；</w:t>
      </w:r>
    </w:p>
    <w:p w14:paraId="423BB82A">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9、承包人应负责协调施工期间外界的各种干扰，协调不果，方可书面要求发包人出面协调；</w:t>
      </w:r>
    </w:p>
    <w:p w14:paraId="6835A6FC">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u w:val="single"/>
        </w:rPr>
        <w:t>10、承包人在进场施工前，须将投标文件中的相关项目管理人员的从业资质证书交发包人保管至工程竣工。项目管理人员未经发包人书面同意不得擅自更换；</w:t>
      </w:r>
    </w:p>
    <w:p w14:paraId="7C1F4EC8">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11、</w:t>
      </w:r>
      <w:r>
        <w:rPr>
          <w:rFonts w:hint="eastAsia" w:eastAsia="仿宋_GB2312"/>
          <w:color w:val="auto"/>
          <w:sz w:val="30"/>
          <w:szCs w:val="32"/>
          <w:highlight w:val="none"/>
          <w:u w:val="single"/>
        </w:rPr>
        <w:t>在测绘仪器使用上为发包人、监理人员提供方便。</w:t>
      </w:r>
    </w:p>
    <w:p w14:paraId="2EEB6409">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12、</w:t>
      </w:r>
      <w:r>
        <w:rPr>
          <w:rFonts w:hint="eastAsia" w:eastAsia="仿宋_GB2312"/>
          <w:color w:val="auto"/>
          <w:sz w:val="30"/>
          <w:szCs w:val="32"/>
          <w:highlight w:val="none"/>
          <w:u w:val="single"/>
        </w:rPr>
        <w:t>承包人不得以任何理由和借口拖工窝工停工、拖欠农民工工资、发生农民工聚众闹事。如有上述情况发生，发包人有权立即终止合同，承包人履约保证金将不予退还，对此给发包人造成的损失由承包人全额赔偿。</w:t>
      </w:r>
    </w:p>
    <w:p w14:paraId="30F962FB">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13、</w:t>
      </w:r>
      <w:r>
        <w:rPr>
          <w:rFonts w:hint="eastAsia" w:eastAsia="仿宋_GB2312"/>
          <w:color w:val="auto"/>
          <w:sz w:val="30"/>
          <w:szCs w:val="32"/>
          <w:highlight w:val="none"/>
          <w:u w:val="single"/>
        </w:rPr>
        <w:t>承包人应在合同签订后7日内将办理施工许可证所需施工单位提交的全套完善资料移交发包人，逾期移交则向发包人支付违约金三万元/日历天。</w:t>
      </w:r>
    </w:p>
    <w:p w14:paraId="3A9EFA1B">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3.2 项目经理</w:t>
      </w:r>
    </w:p>
    <w:p w14:paraId="098C3A22">
      <w:pPr>
        <w:spacing w:line="360" w:lineRule="auto"/>
        <w:ind w:firstLine="600" w:firstLineChars="200"/>
        <w:rPr>
          <w:rFonts w:eastAsia="仿宋_GB2312"/>
          <w:color w:val="auto"/>
          <w:sz w:val="30"/>
          <w:szCs w:val="32"/>
          <w:highlight w:val="none"/>
        </w:rPr>
      </w:pPr>
      <w:r>
        <w:rPr>
          <w:rFonts w:eastAsia="仿宋_GB2312"/>
          <w:color w:val="auto"/>
          <w:kern w:val="0"/>
          <w:sz w:val="30"/>
          <w:szCs w:val="32"/>
          <w:highlight w:val="none"/>
        </w:rPr>
        <w:t xml:space="preserve">3.2.1 </w:t>
      </w:r>
      <w:r>
        <w:rPr>
          <w:rFonts w:eastAsia="仿宋_GB2312"/>
          <w:color w:val="auto"/>
          <w:sz w:val="30"/>
          <w:szCs w:val="32"/>
          <w:highlight w:val="none"/>
        </w:rPr>
        <w:t>项目经理：</w:t>
      </w:r>
    </w:p>
    <w:p w14:paraId="2A0EE87B">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103454A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身份证号：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4C4C643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建造师执业资格等级：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22B2047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建造师注册证书号：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13194C8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建造师执业印章号：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194935F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安全生产考核合格证书号：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7AC99D8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768981B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73694CC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788DBEE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承包人对项目经理的授权范围如下：</w:t>
      </w:r>
      <w:r>
        <w:rPr>
          <w:rFonts w:hint="eastAsia" w:eastAsia="仿宋_GB2312"/>
          <w:color w:val="auto"/>
          <w:sz w:val="30"/>
          <w:szCs w:val="32"/>
          <w:highlight w:val="none"/>
          <w:u w:val="single"/>
        </w:rPr>
        <w:t xml:space="preserve">授权项目经理处理与项目有关的业务，全权代表承包人行使合同约定的权利，履行合同约定的职责。项目经理签署的任何文件均视为承包人确认并生效的文件。承包人的相关请求、通知、计划、报表等和其它需报送发包人的资料，均以书面形式由项目经理签字并加盖承包人公章或项目章（承包人项目经理、项目章须经承包人授权并送发包人备案）后递交发包人    </w:t>
      </w:r>
      <w:r>
        <w:rPr>
          <w:rFonts w:eastAsia="仿宋_GB2312"/>
          <w:color w:val="auto"/>
          <w:sz w:val="30"/>
          <w:szCs w:val="32"/>
          <w:highlight w:val="none"/>
        </w:rPr>
        <w:t>。</w:t>
      </w:r>
    </w:p>
    <w:p w14:paraId="367F4E06">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关于项目经理每</w:t>
      </w:r>
      <w:r>
        <w:rPr>
          <w:rFonts w:hint="eastAsia" w:eastAsia="仿宋_GB2312"/>
          <w:color w:val="auto"/>
          <w:kern w:val="0"/>
          <w:sz w:val="30"/>
          <w:szCs w:val="32"/>
          <w:highlight w:val="none"/>
        </w:rPr>
        <w:t>周</w:t>
      </w:r>
      <w:r>
        <w:rPr>
          <w:rFonts w:eastAsia="仿宋_GB2312"/>
          <w:color w:val="auto"/>
          <w:kern w:val="0"/>
          <w:sz w:val="30"/>
          <w:szCs w:val="32"/>
          <w:highlight w:val="none"/>
        </w:rPr>
        <w:t>在施工现场的时间要求：</w:t>
      </w:r>
      <w:r>
        <w:rPr>
          <w:rFonts w:hint="eastAsia" w:eastAsia="仿宋_GB2312"/>
          <w:color w:val="auto"/>
          <w:sz w:val="30"/>
          <w:szCs w:val="32"/>
          <w:highlight w:val="none"/>
          <w:u w:val="single"/>
        </w:rPr>
        <w:t xml:space="preserve">不得少于6天    </w:t>
      </w:r>
      <w:r>
        <w:rPr>
          <w:rFonts w:eastAsia="仿宋_GB2312"/>
          <w:color w:val="auto"/>
          <w:sz w:val="30"/>
          <w:szCs w:val="32"/>
          <w:highlight w:val="none"/>
        </w:rPr>
        <w:t>。</w:t>
      </w:r>
    </w:p>
    <w:p w14:paraId="6C3ED820">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承包人未提交劳动合同，以及没有为项目经理缴纳社会保险证明的违约责任：</w:t>
      </w:r>
      <w:r>
        <w:rPr>
          <w:rFonts w:hint="eastAsia" w:eastAsia="仿宋_GB2312"/>
          <w:color w:val="auto"/>
          <w:sz w:val="30"/>
          <w:szCs w:val="32"/>
          <w:highlight w:val="none"/>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auto"/>
          <w:sz w:val="30"/>
          <w:szCs w:val="32"/>
          <w:highlight w:val="none"/>
        </w:rPr>
        <w:t>。</w:t>
      </w:r>
    </w:p>
    <w:p w14:paraId="6A06AFEB">
      <w:pPr>
        <w:spacing w:line="360" w:lineRule="auto"/>
        <w:outlineLvl w:val="0"/>
        <w:rPr>
          <w:rFonts w:eastAsia="仿宋_GB2312"/>
          <w:color w:val="auto"/>
          <w:sz w:val="30"/>
          <w:szCs w:val="32"/>
          <w:highlight w:val="none"/>
        </w:rPr>
      </w:pPr>
      <w:r>
        <w:rPr>
          <w:rFonts w:eastAsia="仿宋_GB2312"/>
          <w:color w:val="auto"/>
          <w:sz w:val="30"/>
          <w:szCs w:val="32"/>
          <w:highlight w:val="none"/>
        </w:rPr>
        <w:t xml:space="preserve">    3.2.4 承包人无正当理由拒绝更换项目经理的违约责任：</w:t>
      </w:r>
      <w:r>
        <w:rPr>
          <w:rFonts w:hint="eastAsia" w:eastAsia="仿宋_GB2312"/>
          <w:color w:val="auto"/>
          <w:sz w:val="30"/>
          <w:szCs w:val="32"/>
          <w:highlight w:val="none"/>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auto"/>
          <w:sz w:val="30"/>
          <w:szCs w:val="32"/>
          <w:highlight w:val="none"/>
        </w:rPr>
        <w:t>。</w:t>
      </w:r>
    </w:p>
    <w:p w14:paraId="05E708E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3.3 承包人人员</w:t>
      </w:r>
    </w:p>
    <w:p w14:paraId="55A6EE6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3.3.1 承包人提交项目管理机构及施工现场管理人员安排报告的期限：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合同签订后3日内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53A174B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3.3.3 承包人无正当理由拒绝撤换主要施工管理人员的违约责任：</w:t>
      </w:r>
      <w:r>
        <w:rPr>
          <w:rFonts w:hint="eastAsia" w:eastAsia="仿宋_GB2312"/>
          <w:color w:val="auto"/>
          <w:sz w:val="30"/>
          <w:szCs w:val="32"/>
          <w:highlight w:val="none"/>
          <w:u w:val="single"/>
        </w:rPr>
        <w:t xml:space="preserve">先处以每人次一万元的违约金，并限期予以纠正；逾期不纠正，发包人有权单方解除合同，不承担违约责任。承包人应于发包人解除合同之日起5日内向发包人支付违约金五万元。逾期支付，承包人应额外向发包人支付未付金额0.5‰/天的逾期违约金直至完全支付时  </w:t>
      </w:r>
      <w:r>
        <w:rPr>
          <w:rFonts w:eastAsia="仿宋_GB2312"/>
          <w:color w:val="auto"/>
          <w:sz w:val="30"/>
          <w:szCs w:val="32"/>
          <w:highlight w:val="none"/>
        </w:rPr>
        <w:t>。</w:t>
      </w:r>
    </w:p>
    <w:p w14:paraId="7741703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3.3.4 承包人主要施工管理人员离开施工现场的批准要求：</w:t>
      </w:r>
      <w:r>
        <w:rPr>
          <w:rFonts w:hint="eastAsia" w:eastAsia="仿宋_GB2312"/>
          <w:color w:val="auto"/>
          <w:sz w:val="30"/>
          <w:szCs w:val="32"/>
          <w:highlight w:val="none"/>
          <w:u w:val="single"/>
        </w:rPr>
        <w:t xml:space="preserve">需发包人现场代表书面批准后  </w:t>
      </w:r>
      <w:r>
        <w:rPr>
          <w:rFonts w:eastAsia="仿宋_GB2312"/>
          <w:color w:val="auto"/>
          <w:sz w:val="30"/>
          <w:szCs w:val="32"/>
          <w:highlight w:val="none"/>
          <w:u w:val="single"/>
        </w:rPr>
        <w:t xml:space="preserve">   </w:t>
      </w:r>
      <w:r>
        <w:rPr>
          <w:rFonts w:eastAsia="仿宋_GB2312"/>
          <w:color w:val="auto"/>
          <w:sz w:val="30"/>
          <w:szCs w:val="32"/>
          <w:highlight w:val="none"/>
        </w:rPr>
        <w:t>。</w:t>
      </w:r>
    </w:p>
    <w:p w14:paraId="6176A88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w:t>
      </w:r>
      <w:bookmarkStart w:id="140" w:name="_Toc304295523"/>
      <w:bookmarkStart w:id="141" w:name="_Toc296346660"/>
      <w:bookmarkStart w:id="142" w:name="_Toc297123492"/>
      <w:bookmarkStart w:id="143" w:name="_Toc296503159"/>
      <w:bookmarkStart w:id="144" w:name="_Toc297048345"/>
      <w:bookmarkStart w:id="145" w:name="_Toc303539102"/>
      <w:bookmarkStart w:id="146" w:name="_Toc296347158"/>
      <w:bookmarkStart w:id="147" w:name="_Toc297216151"/>
      <w:bookmarkStart w:id="148" w:name="_Toc297120459"/>
      <w:bookmarkStart w:id="149" w:name="_Toc292559364"/>
      <w:bookmarkStart w:id="150" w:name="_Toc312677988"/>
      <w:bookmarkStart w:id="151" w:name="_Toc292559869"/>
      <w:bookmarkStart w:id="152" w:name="_Toc296944498"/>
      <w:bookmarkStart w:id="153" w:name="_Toc296890987"/>
      <w:bookmarkStart w:id="154" w:name="_Toc296891199"/>
      <w:bookmarkStart w:id="155" w:name="_Toc300934945"/>
      <w:r>
        <w:rPr>
          <w:rFonts w:eastAsia="黑体"/>
          <w:color w:val="auto"/>
          <w:sz w:val="30"/>
          <w:szCs w:val="32"/>
          <w:highlight w:val="none"/>
        </w:rPr>
        <w:t>.5 分包</w:t>
      </w:r>
    </w:p>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14:paraId="29EA864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w:t>
      </w:r>
      <w:bookmarkStart w:id="156" w:name="_Toc296891200"/>
      <w:bookmarkStart w:id="157" w:name="_Toc296347159"/>
      <w:bookmarkStart w:id="158" w:name="_Toc318581158"/>
      <w:bookmarkStart w:id="159" w:name="_Toc296503160"/>
      <w:bookmarkStart w:id="160" w:name="_Toc297216152"/>
      <w:bookmarkStart w:id="161" w:name="_Toc297120460"/>
      <w:bookmarkStart w:id="162" w:name="_Toc296944499"/>
      <w:bookmarkStart w:id="163" w:name="_Toc292559365"/>
      <w:bookmarkStart w:id="164" w:name="_Toc296346661"/>
      <w:bookmarkStart w:id="165" w:name="_Toc292559870"/>
      <w:bookmarkStart w:id="166" w:name="_Toc297123493"/>
      <w:bookmarkStart w:id="167" w:name="_Toc296890988"/>
      <w:bookmarkStart w:id="168" w:name="_Toc312677989"/>
      <w:bookmarkStart w:id="169" w:name="_Toc303539103"/>
      <w:bookmarkStart w:id="170" w:name="_Toc297048346"/>
      <w:bookmarkStart w:id="171" w:name="_Toc300934946"/>
      <w:bookmarkStart w:id="172" w:name="_Toc304295524"/>
      <w:r>
        <w:rPr>
          <w:rFonts w:eastAsia="仿宋_GB2312"/>
          <w:color w:val="auto"/>
          <w:sz w:val="30"/>
          <w:szCs w:val="32"/>
          <w:highlight w:val="none"/>
        </w:rPr>
        <w:t>.5.1 分包的一般约定</w:t>
      </w:r>
    </w:p>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14:paraId="09EAF1AF">
      <w:pPr>
        <w:spacing w:line="360" w:lineRule="auto"/>
        <w:ind w:firstLine="600" w:firstLineChars="200"/>
        <w:rPr>
          <w:rFonts w:eastAsia="仿宋_GB2312"/>
          <w:color w:val="auto"/>
          <w:sz w:val="30"/>
          <w:szCs w:val="32"/>
          <w:highlight w:val="none"/>
        </w:rPr>
      </w:pPr>
      <w:bookmarkStart w:id="173" w:name="_Toc312677990"/>
      <w:bookmarkStart w:id="174" w:name="_Toc318581159"/>
      <w:r>
        <w:rPr>
          <w:rFonts w:hint="eastAsia" w:eastAsia="仿宋_GB2312"/>
          <w:color w:val="auto"/>
          <w:sz w:val="30"/>
          <w:szCs w:val="32"/>
          <w:highlight w:val="none"/>
          <w:u w:val="single"/>
        </w:rPr>
        <w:t>符合《中华人民共和国建筑法》和《中华人民共和国招标投标法》的相关规定</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173"/>
    <w:bookmarkEnd w:id="174"/>
    <w:p w14:paraId="299970E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3.6 工程照管与成品、半成品保护</w:t>
      </w:r>
    </w:p>
    <w:p w14:paraId="3595227F">
      <w:pPr>
        <w:spacing w:before="120" w:after="120" w:line="360" w:lineRule="auto"/>
        <w:ind w:firstLine="600" w:firstLineChars="200"/>
        <w:rPr>
          <w:rFonts w:eastAsia="仿宋_GB2312"/>
          <w:color w:val="auto"/>
          <w:kern w:val="0"/>
          <w:sz w:val="30"/>
          <w:szCs w:val="32"/>
          <w:highlight w:val="none"/>
          <w:u w:val="single"/>
        </w:rPr>
      </w:pPr>
      <w:r>
        <w:rPr>
          <w:rFonts w:eastAsia="仿宋_GB2312"/>
          <w:color w:val="auto"/>
          <w:kern w:val="0"/>
          <w:sz w:val="30"/>
          <w:szCs w:val="32"/>
          <w:highlight w:val="none"/>
        </w:rPr>
        <w:t>承包人负责照管工程及工程相关的材料、工程设备的起始时间：</w:t>
      </w:r>
      <w:r>
        <w:rPr>
          <w:rFonts w:eastAsia="仿宋_GB2312"/>
          <w:color w:val="auto"/>
          <w:kern w:val="0"/>
          <w:sz w:val="30"/>
          <w:szCs w:val="32"/>
          <w:highlight w:val="none"/>
          <w:u w:val="single"/>
        </w:rPr>
        <w:t xml:space="preserve">  </w:t>
      </w:r>
      <w:r>
        <w:rPr>
          <w:rFonts w:hint="eastAsia" w:eastAsia="仿宋_GB2312"/>
          <w:color w:val="auto"/>
          <w:sz w:val="30"/>
          <w:szCs w:val="32"/>
          <w:highlight w:val="none"/>
          <w:u w:val="single"/>
        </w:rPr>
        <w:t>按通用合同条款执行</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77798BC5">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3.7 履约担保</w:t>
      </w:r>
    </w:p>
    <w:p w14:paraId="0F7D6C6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承包人是否提供履约担保：</w:t>
      </w:r>
      <w:r>
        <w:rPr>
          <w:rFonts w:eastAsia="仿宋_GB2312"/>
          <w:color w:val="auto"/>
          <w:sz w:val="30"/>
          <w:szCs w:val="30"/>
          <w:highlight w:val="none"/>
          <w:u w:val="single"/>
        </w:rPr>
        <w:t xml:space="preserve">                      </w:t>
      </w:r>
      <w:r>
        <w:rPr>
          <w:rFonts w:eastAsia="仿宋_GB2312"/>
          <w:color w:val="auto"/>
          <w:sz w:val="30"/>
          <w:szCs w:val="32"/>
          <w:highlight w:val="none"/>
        </w:rPr>
        <w:t>。</w:t>
      </w:r>
    </w:p>
    <w:p w14:paraId="695C8563">
      <w:pPr>
        <w:adjustRightInd w:val="0"/>
        <w:snapToGri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承包人提供履约担保的形式</w:t>
      </w:r>
      <w:r>
        <w:rPr>
          <w:rFonts w:hint="eastAsia" w:eastAsia="仿宋_GB2312"/>
          <w:color w:val="auto"/>
          <w:sz w:val="30"/>
          <w:szCs w:val="32"/>
          <w:highlight w:val="none"/>
        </w:rPr>
        <w:t>、金额及期限的</w:t>
      </w:r>
      <w:r>
        <w:rPr>
          <w:rFonts w:eastAsia="仿宋_GB2312"/>
          <w:color w:val="auto"/>
          <w:sz w:val="30"/>
          <w:szCs w:val="32"/>
          <w:highlight w:val="none"/>
        </w:rPr>
        <w:t>：</w:t>
      </w:r>
    </w:p>
    <w:p w14:paraId="1BE9B259">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担保形式：</w:t>
      </w:r>
      <w:r>
        <w:rPr>
          <w:rFonts w:eastAsia="仿宋_GB2312"/>
          <w:color w:val="auto"/>
          <w:sz w:val="30"/>
          <w:szCs w:val="30"/>
          <w:highlight w:val="none"/>
          <w:u w:val="single"/>
        </w:rPr>
        <w:t xml:space="preserve">                                   </w:t>
      </w:r>
      <w:r>
        <w:rPr>
          <w:rFonts w:hint="eastAsia" w:eastAsia="仿宋_GB2312"/>
          <w:color w:val="auto"/>
          <w:sz w:val="30"/>
          <w:szCs w:val="32"/>
          <w:highlight w:val="none"/>
        </w:rPr>
        <w:t>；</w:t>
      </w:r>
    </w:p>
    <w:p w14:paraId="5782DC9C">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担保金额</w:t>
      </w:r>
      <w:r>
        <w:rPr>
          <w:rFonts w:hint="eastAsia" w:ascii="宋体" w:hAnsi="宋体"/>
          <w:snapToGrid w:val="0"/>
          <w:color w:val="auto"/>
          <w:szCs w:val="21"/>
          <w:highlight w:val="none"/>
        </w:rPr>
        <w:t>：</w:t>
      </w:r>
      <w:r>
        <w:rPr>
          <w:rFonts w:eastAsia="仿宋_GB2312"/>
          <w:color w:val="auto"/>
          <w:sz w:val="30"/>
          <w:szCs w:val="30"/>
          <w:highlight w:val="none"/>
          <w:u w:val="single"/>
        </w:rPr>
        <w:t xml:space="preserve">                                   </w:t>
      </w:r>
      <w:r>
        <w:rPr>
          <w:rFonts w:hint="eastAsia" w:eastAsia="仿宋_GB2312"/>
          <w:color w:val="auto"/>
          <w:sz w:val="30"/>
          <w:szCs w:val="32"/>
          <w:highlight w:val="none"/>
        </w:rPr>
        <w:t>；</w:t>
      </w:r>
    </w:p>
    <w:p w14:paraId="5AA7BB9F">
      <w:pPr>
        <w:adjustRightInd w:val="0"/>
        <w:snapToGrid w:val="0"/>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履约担保期限</w:t>
      </w:r>
      <w:r>
        <w:rPr>
          <w:rFonts w:hint="eastAsia" w:ascii="宋体" w:hAnsi="宋体"/>
          <w:snapToGrid w:val="0"/>
          <w:color w:val="auto"/>
          <w:szCs w:val="21"/>
          <w:highlight w:val="none"/>
        </w:rPr>
        <w:t>：</w:t>
      </w:r>
      <w:r>
        <w:rPr>
          <w:rFonts w:hint="eastAsia" w:eastAsia="仿宋_GB2312"/>
          <w:color w:val="auto"/>
          <w:sz w:val="30"/>
          <w:szCs w:val="32"/>
          <w:highlight w:val="none"/>
          <w:u w:val="single"/>
        </w:rPr>
        <w:t>自提交履约担保至竣工验收合格之日止</w:t>
      </w:r>
      <w:r>
        <w:rPr>
          <w:rFonts w:hint="eastAsia" w:eastAsia="仿宋_GB2312"/>
          <w:color w:val="auto"/>
          <w:sz w:val="30"/>
          <w:szCs w:val="32"/>
          <w:highlight w:val="none"/>
        </w:rPr>
        <w:t>；</w:t>
      </w:r>
    </w:p>
    <w:p w14:paraId="7DF67703">
      <w:pPr>
        <w:pStyle w:val="8"/>
        <w:ind w:left="63" w:right="63" w:firstLine="600" w:firstLineChars="200"/>
        <w:jc w:val="both"/>
        <w:rPr>
          <w:rFonts w:eastAsia="仿宋_GB2312"/>
          <w:color w:val="auto"/>
          <w:kern w:val="2"/>
          <w:sz w:val="30"/>
          <w:szCs w:val="32"/>
          <w:highlight w:val="none"/>
        </w:rPr>
      </w:pPr>
      <w:r>
        <w:rPr>
          <w:rFonts w:hint="eastAsia" w:eastAsia="仿宋_GB2312"/>
          <w:color w:val="auto"/>
          <w:kern w:val="2"/>
          <w:sz w:val="30"/>
          <w:szCs w:val="32"/>
          <w:highlight w:val="none"/>
        </w:rPr>
        <w:t>履约担保提交时间：</w:t>
      </w:r>
      <w:r>
        <w:rPr>
          <w:rFonts w:eastAsia="仿宋_GB2312"/>
          <w:color w:val="auto"/>
          <w:sz w:val="30"/>
          <w:szCs w:val="30"/>
          <w:highlight w:val="none"/>
          <w:u w:val="single"/>
        </w:rPr>
        <w:t xml:space="preserve">                          </w:t>
      </w:r>
      <w:r>
        <w:rPr>
          <w:rFonts w:hint="eastAsia" w:eastAsia="仿宋_GB2312"/>
          <w:color w:val="auto"/>
          <w:kern w:val="2"/>
          <w:sz w:val="30"/>
          <w:szCs w:val="32"/>
          <w:highlight w:val="none"/>
        </w:rPr>
        <w:t>逾期提交履约担保发包人有权单方解除合同，不承担违约责任。承包人应于发包人解除合同之日起5日内向发包人支付逾期提交履约担保违约金，违约金金额为：</w:t>
      </w:r>
      <w:r>
        <w:rPr>
          <w:rFonts w:hint="eastAsia" w:eastAsia="仿宋_GB2312"/>
          <w:color w:val="auto"/>
          <w:kern w:val="2"/>
          <w:sz w:val="30"/>
          <w:szCs w:val="32"/>
          <w:highlight w:val="none"/>
          <w:u w:val="single"/>
        </w:rPr>
        <w:t>合同金额的2</w:t>
      </w:r>
      <w:r>
        <w:rPr>
          <w:rFonts w:eastAsia="仿宋_GB2312"/>
          <w:color w:val="auto"/>
          <w:kern w:val="2"/>
          <w:sz w:val="30"/>
          <w:szCs w:val="32"/>
          <w:highlight w:val="none"/>
          <w:u w:val="single"/>
        </w:rPr>
        <w:t>%</w:t>
      </w:r>
      <w:r>
        <w:rPr>
          <w:rFonts w:hint="eastAsia" w:eastAsia="仿宋_GB2312"/>
          <w:color w:val="auto"/>
          <w:kern w:val="2"/>
          <w:sz w:val="30"/>
          <w:szCs w:val="32"/>
          <w:highlight w:val="none"/>
        </w:rPr>
        <w:t>。逾期支付，承包人应额外向发包人支付未付违约金金额0.5‰/天的逾期违约金直至完全支付时。</w:t>
      </w:r>
    </w:p>
    <w:p w14:paraId="7F1422B2">
      <w:pPr>
        <w:pStyle w:val="8"/>
        <w:ind w:left="63" w:right="63" w:firstLine="600" w:firstLineChars="200"/>
        <w:jc w:val="both"/>
        <w:rPr>
          <w:rFonts w:eastAsia="仿宋_GB2312"/>
          <w:color w:val="auto"/>
          <w:sz w:val="30"/>
          <w:szCs w:val="32"/>
          <w:highlight w:val="none"/>
        </w:rPr>
      </w:pPr>
      <w:r>
        <w:rPr>
          <w:rFonts w:hint="eastAsia" w:eastAsia="仿宋_GB2312"/>
          <w:color w:val="auto"/>
          <w:sz w:val="30"/>
          <w:szCs w:val="32"/>
          <w:highlight w:val="none"/>
        </w:rPr>
        <w:t>履约担保退还时间</w:t>
      </w:r>
      <w:r>
        <w:rPr>
          <w:rFonts w:hint="eastAsia" w:ascii="宋体" w:hAnsi="宋体"/>
          <w:snapToGrid w:val="0"/>
          <w:color w:val="auto"/>
          <w:szCs w:val="21"/>
          <w:highlight w:val="none"/>
        </w:rPr>
        <w:t>：</w:t>
      </w:r>
      <w:r>
        <w:rPr>
          <w:rFonts w:hint="eastAsia" w:eastAsia="仿宋_GB2312"/>
          <w:color w:val="auto"/>
          <w:sz w:val="30"/>
          <w:szCs w:val="32"/>
          <w:highlight w:val="none"/>
          <w:u w:val="single"/>
        </w:rPr>
        <w:t xml:space="preserve">竣工验收合格15个工作日内，发包人向承包人无息退还   </w:t>
      </w:r>
      <w:r>
        <w:rPr>
          <w:rFonts w:hint="eastAsia" w:eastAsia="仿宋_GB2312"/>
          <w:color w:val="auto"/>
          <w:sz w:val="30"/>
          <w:szCs w:val="32"/>
          <w:highlight w:val="none"/>
        </w:rPr>
        <w:t>。</w:t>
      </w:r>
    </w:p>
    <w:p w14:paraId="4C2CCD85">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同意发包人直接从承包人缴纳的履约保证金中扣除承包人违约金、承包人支付或承担的费用。发包人扣除后承包人应立即补足履约保证金至合同约定的担保金额。承包人逾期10天未补足，发包人有权单方解除合同，发包人不承担违约责任，且承包人应向发包人支付违约金十万元。</w:t>
      </w:r>
    </w:p>
    <w:p w14:paraId="2C22469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3.11</w:t>
      </w:r>
      <w:r>
        <w:rPr>
          <w:rFonts w:hint="eastAsia" w:eastAsia="仿宋_GB2312"/>
          <w:color w:val="auto"/>
          <w:sz w:val="30"/>
          <w:szCs w:val="32"/>
          <w:highlight w:val="none"/>
        </w:rPr>
        <w:t>安全生产履约保证金</w:t>
      </w:r>
    </w:p>
    <w:p w14:paraId="4BDFE759">
      <w:pPr>
        <w:adjustRightInd w:val="0"/>
        <w:snapToGrid w:val="0"/>
        <w:spacing w:line="360" w:lineRule="auto"/>
        <w:ind w:firstLine="600" w:firstLineChars="200"/>
        <w:rPr>
          <w:rFonts w:eastAsia="仿宋_GB2312"/>
          <w:color w:val="auto"/>
          <w:sz w:val="30"/>
          <w:szCs w:val="32"/>
          <w:highlight w:val="none"/>
        </w:rPr>
      </w:pPr>
      <w:bookmarkStart w:id="175" w:name="_Toc351203636"/>
      <w:r>
        <w:rPr>
          <w:rFonts w:eastAsia="仿宋_GB2312"/>
          <w:color w:val="auto"/>
          <w:sz w:val="30"/>
          <w:szCs w:val="32"/>
          <w:highlight w:val="none"/>
        </w:rPr>
        <w:t>承包人提供履约担保的形式</w:t>
      </w:r>
      <w:r>
        <w:rPr>
          <w:rFonts w:hint="eastAsia" w:eastAsia="仿宋_GB2312"/>
          <w:color w:val="auto"/>
          <w:sz w:val="30"/>
          <w:szCs w:val="32"/>
          <w:highlight w:val="none"/>
        </w:rPr>
        <w:t>、金额及期限的</w:t>
      </w:r>
      <w:r>
        <w:rPr>
          <w:rFonts w:eastAsia="仿宋_GB2312"/>
          <w:color w:val="auto"/>
          <w:sz w:val="30"/>
          <w:szCs w:val="32"/>
          <w:highlight w:val="none"/>
        </w:rPr>
        <w:t>：</w:t>
      </w:r>
    </w:p>
    <w:p w14:paraId="7B3DC62E">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缴纳时间：</w:t>
      </w:r>
      <w:r>
        <w:rPr>
          <w:rFonts w:hint="eastAsia" w:eastAsia="仿宋_GB2312"/>
          <w:color w:val="auto"/>
          <w:sz w:val="30"/>
          <w:szCs w:val="32"/>
          <w:highlight w:val="none"/>
          <w:u w:val="single"/>
        </w:rPr>
        <w:t xml:space="preserve">承包商在签订合同后，入厂施工作业前足额交纳安全生产履约保证金。  </w:t>
      </w:r>
      <w:r>
        <w:rPr>
          <w:rFonts w:hint="eastAsia" w:eastAsia="仿宋_GB2312"/>
          <w:color w:val="auto"/>
          <w:sz w:val="30"/>
          <w:szCs w:val="32"/>
          <w:highlight w:val="none"/>
        </w:rPr>
        <w:t>；</w:t>
      </w:r>
    </w:p>
    <w:p w14:paraId="21362BC4">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担保形式：</w:t>
      </w:r>
      <w:r>
        <w:rPr>
          <w:rFonts w:hint="eastAsia" w:eastAsia="仿宋_GB2312"/>
          <w:color w:val="auto"/>
          <w:sz w:val="30"/>
          <w:szCs w:val="32"/>
          <w:highlight w:val="none"/>
          <w:u w:val="single"/>
        </w:rPr>
        <w:t xml:space="preserve"> 现金或银行保函或现金+银行保函的组合；采用银行保函形式的，保函必须为不可撤销且见索即付   </w:t>
      </w:r>
      <w:r>
        <w:rPr>
          <w:rFonts w:hint="eastAsia" w:eastAsia="仿宋_GB2312"/>
          <w:color w:val="auto"/>
          <w:sz w:val="30"/>
          <w:szCs w:val="32"/>
          <w:highlight w:val="none"/>
        </w:rPr>
        <w:t>；</w:t>
      </w:r>
    </w:p>
    <w:p w14:paraId="7770EC0C">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担保金额</w:t>
      </w:r>
      <w:r>
        <w:rPr>
          <w:rFonts w:hint="eastAsia" w:ascii="宋体" w:hAnsi="宋体"/>
          <w:snapToGrid w:val="0"/>
          <w:color w:val="auto"/>
          <w:szCs w:val="21"/>
          <w:highlight w:val="none"/>
        </w:rPr>
        <w:t>：</w:t>
      </w:r>
      <w:r>
        <w:rPr>
          <w:rFonts w:hint="eastAsia" w:eastAsia="仿宋_GB2312"/>
          <w:color w:val="auto"/>
          <w:sz w:val="30"/>
          <w:szCs w:val="32"/>
          <w:highlight w:val="none"/>
          <w:u w:val="single"/>
        </w:rPr>
        <w:t>承包商安全生产履约保证金缴纳数额根据承担工程量大小和安全绩效评价结果进行缴纳。</w:t>
      </w:r>
    </w:p>
    <w:tbl>
      <w:tblPr>
        <w:tblStyle w:val="20"/>
        <w:tblW w:w="0" w:type="auto"/>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9"/>
        <w:gridCol w:w="2992"/>
        <w:gridCol w:w="2992"/>
      </w:tblGrid>
      <w:tr w14:paraId="590E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01C06ACD">
            <w:pPr>
              <w:pStyle w:val="8"/>
              <w:ind w:left="0" w:leftChars="0" w:right="63"/>
              <w:rPr>
                <w:rFonts w:eastAsia="等线"/>
                <w:color w:val="auto"/>
                <w:highlight w:val="none"/>
              </w:rPr>
            </w:pPr>
            <w:r>
              <w:rPr>
                <w:rFonts w:hint="eastAsia" w:eastAsia="等线"/>
                <w:color w:val="auto"/>
                <w:highlight w:val="none"/>
              </w:rPr>
              <w:t>序号</w:t>
            </w:r>
          </w:p>
        </w:tc>
        <w:tc>
          <w:tcPr>
            <w:tcW w:w="2992" w:type="dxa"/>
          </w:tcPr>
          <w:p w14:paraId="2503366D">
            <w:pPr>
              <w:pStyle w:val="8"/>
              <w:ind w:left="0" w:leftChars="0" w:right="63"/>
              <w:rPr>
                <w:rFonts w:eastAsia="等线"/>
                <w:color w:val="auto"/>
                <w:highlight w:val="none"/>
              </w:rPr>
            </w:pPr>
            <w:r>
              <w:rPr>
                <w:rFonts w:hint="eastAsia" w:eastAsia="等线"/>
                <w:color w:val="auto"/>
                <w:highlight w:val="none"/>
              </w:rPr>
              <w:t>承包商业务类型</w:t>
            </w:r>
          </w:p>
        </w:tc>
        <w:tc>
          <w:tcPr>
            <w:tcW w:w="2992" w:type="dxa"/>
          </w:tcPr>
          <w:p w14:paraId="67146AA6">
            <w:pPr>
              <w:pStyle w:val="8"/>
              <w:ind w:left="0" w:leftChars="0" w:right="63"/>
              <w:rPr>
                <w:rFonts w:eastAsia="等线"/>
                <w:color w:val="auto"/>
                <w:highlight w:val="none"/>
              </w:rPr>
            </w:pPr>
            <w:r>
              <w:rPr>
                <w:rFonts w:hint="eastAsia" w:eastAsia="等线"/>
                <w:color w:val="auto"/>
                <w:highlight w:val="none"/>
              </w:rPr>
              <w:t>安全生产履约保证金交纳金额</w:t>
            </w:r>
          </w:p>
        </w:tc>
      </w:tr>
      <w:tr w14:paraId="28546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5B131EA3">
            <w:pPr>
              <w:pStyle w:val="8"/>
              <w:ind w:left="0" w:leftChars="0" w:right="63"/>
              <w:rPr>
                <w:rFonts w:eastAsia="等线"/>
                <w:color w:val="auto"/>
                <w:highlight w:val="none"/>
              </w:rPr>
            </w:pPr>
            <w:r>
              <w:rPr>
                <w:rFonts w:hint="eastAsia" w:eastAsia="等线"/>
                <w:color w:val="auto"/>
                <w:highlight w:val="none"/>
              </w:rPr>
              <w:t>1</w:t>
            </w:r>
          </w:p>
        </w:tc>
        <w:tc>
          <w:tcPr>
            <w:tcW w:w="2992" w:type="dxa"/>
          </w:tcPr>
          <w:p w14:paraId="397D6153">
            <w:pPr>
              <w:pStyle w:val="8"/>
              <w:ind w:left="0" w:leftChars="0" w:right="63"/>
              <w:rPr>
                <w:rFonts w:eastAsia="等线"/>
                <w:color w:val="auto"/>
                <w:highlight w:val="none"/>
              </w:rPr>
            </w:pPr>
            <w:r>
              <w:rPr>
                <w:rFonts w:hint="eastAsia" w:eastAsia="等线"/>
                <w:color w:val="auto"/>
                <w:highlight w:val="none"/>
              </w:rPr>
              <w:t>土建工程项目、安装工程项目、设备维修维保项目</w:t>
            </w:r>
          </w:p>
        </w:tc>
        <w:tc>
          <w:tcPr>
            <w:tcW w:w="2992" w:type="dxa"/>
          </w:tcPr>
          <w:p w14:paraId="3D35CCC9">
            <w:pPr>
              <w:pStyle w:val="8"/>
              <w:ind w:left="0" w:leftChars="0" w:right="63"/>
              <w:rPr>
                <w:rFonts w:eastAsia="等线"/>
                <w:color w:val="auto"/>
                <w:highlight w:val="none"/>
              </w:rPr>
            </w:pPr>
            <w:r>
              <w:rPr>
                <w:rFonts w:hint="eastAsia" w:eastAsia="等线"/>
                <w:color w:val="auto"/>
                <w:highlight w:val="none"/>
              </w:rPr>
              <w:t>按照合同标的物总额的5%进行缴纳,最低缴纳1万元，最高交纳200万元。</w:t>
            </w:r>
          </w:p>
        </w:tc>
      </w:tr>
      <w:tr w14:paraId="4236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0245DFC4">
            <w:pPr>
              <w:pStyle w:val="8"/>
              <w:ind w:left="0" w:leftChars="0" w:right="63"/>
              <w:rPr>
                <w:rFonts w:eastAsia="等线"/>
                <w:color w:val="auto"/>
                <w:highlight w:val="none"/>
              </w:rPr>
            </w:pPr>
            <w:r>
              <w:rPr>
                <w:rFonts w:hint="eastAsia" w:eastAsia="等线"/>
                <w:color w:val="auto"/>
                <w:highlight w:val="none"/>
              </w:rPr>
              <w:t>2</w:t>
            </w:r>
          </w:p>
        </w:tc>
        <w:tc>
          <w:tcPr>
            <w:tcW w:w="2992" w:type="dxa"/>
          </w:tcPr>
          <w:p w14:paraId="312EC907">
            <w:pPr>
              <w:pStyle w:val="8"/>
              <w:ind w:left="0" w:leftChars="0" w:right="63"/>
              <w:rPr>
                <w:rFonts w:eastAsia="等线"/>
                <w:color w:val="auto"/>
                <w:highlight w:val="none"/>
              </w:rPr>
            </w:pPr>
            <w:r>
              <w:rPr>
                <w:rFonts w:hint="eastAsia" w:eastAsia="等线"/>
                <w:color w:val="auto"/>
                <w:highlight w:val="none"/>
              </w:rPr>
              <w:t>公司原辅料、产品运输</w:t>
            </w:r>
          </w:p>
        </w:tc>
        <w:tc>
          <w:tcPr>
            <w:tcW w:w="2992" w:type="dxa"/>
            <w:vMerge w:val="restart"/>
          </w:tcPr>
          <w:p w14:paraId="09A2C182">
            <w:pPr>
              <w:pStyle w:val="8"/>
              <w:ind w:left="0" w:leftChars="0" w:right="63"/>
              <w:rPr>
                <w:rFonts w:eastAsia="等线"/>
                <w:color w:val="auto"/>
                <w:highlight w:val="none"/>
              </w:rPr>
            </w:pPr>
            <w:r>
              <w:rPr>
                <w:rFonts w:hint="eastAsia" w:eastAsia="等线"/>
                <w:color w:val="auto"/>
                <w:highlight w:val="none"/>
              </w:rPr>
              <w:t>按照合同标的物总额的1%进行缴纳,最低缴纳10万元,最高交纳100万元。</w:t>
            </w:r>
          </w:p>
        </w:tc>
      </w:tr>
      <w:tr w14:paraId="5AF80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742079C7">
            <w:pPr>
              <w:pStyle w:val="8"/>
              <w:ind w:left="0" w:leftChars="0" w:right="63"/>
              <w:rPr>
                <w:rFonts w:eastAsia="等线"/>
                <w:color w:val="auto"/>
                <w:highlight w:val="none"/>
              </w:rPr>
            </w:pPr>
            <w:r>
              <w:rPr>
                <w:rFonts w:hint="eastAsia" w:eastAsia="等线"/>
                <w:color w:val="auto"/>
                <w:highlight w:val="none"/>
              </w:rPr>
              <w:t>3</w:t>
            </w:r>
          </w:p>
        </w:tc>
        <w:tc>
          <w:tcPr>
            <w:tcW w:w="2992" w:type="dxa"/>
          </w:tcPr>
          <w:p w14:paraId="288B1CC7">
            <w:pPr>
              <w:pStyle w:val="8"/>
              <w:ind w:left="0" w:leftChars="0" w:right="63"/>
              <w:rPr>
                <w:rFonts w:eastAsia="等线"/>
                <w:color w:val="auto"/>
                <w:highlight w:val="none"/>
              </w:rPr>
            </w:pPr>
            <w:r>
              <w:rPr>
                <w:rFonts w:hint="eastAsia" w:eastAsia="等线"/>
                <w:color w:val="auto"/>
                <w:highlight w:val="none"/>
              </w:rPr>
              <w:t>承租公司设备、厂房</w:t>
            </w:r>
          </w:p>
        </w:tc>
        <w:tc>
          <w:tcPr>
            <w:tcW w:w="2992" w:type="dxa"/>
            <w:vMerge w:val="continue"/>
          </w:tcPr>
          <w:p w14:paraId="08D18A7A">
            <w:pPr>
              <w:pStyle w:val="8"/>
              <w:ind w:left="0" w:leftChars="0" w:right="63"/>
              <w:rPr>
                <w:rFonts w:eastAsia="等线"/>
                <w:color w:val="auto"/>
                <w:highlight w:val="none"/>
              </w:rPr>
            </w:pPr>
          </w:p>
        </w:tc>
      </w:tr>
      <w:tr w14:paraId="735B1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0BE68352">
            <w:pPr>
              <w:pStyle w:val="8"/>
              <w:ind w:left="0" w:leftChars="0" w:right="63"/>
              <w:rPr>
                <w:rFonts w:eastAsia="等线"/>
                <w:color w:val="auto"/>
                <w:highlight w:val="none"/>
              </w:rPr>
            </w:pPr>
            <w:r>
              <w:rPr>
                <w:rFonts w:hint="eastAsia" w:eastAsia="等线"/>
                <w:color w:val="auto"/>
                <w:highlight w:val="none"/>
              </w:rPr>
              <w:t>4</w:t>
            </w:r>
          </w:p>
        </w:tc>
        <w:tc>
          <w:tcPr>
            <w:tcW w:w="2992" w:type="dxa"/>
          </w:tcPr>
          <w:p w14:paraId="509E0651">
            <w:pPr>
              <w:pStyle w:val="8"/>
              <w:ind w:left="0" w:leftChars="0" w:right="63"/>
              <w:rPr>
                <w:rFonts w:eastAsia="等线"/>
                <w:color w:val="auto"/>
                <w:highlight w:val="none"/>
              </w:rPr>
            </w:pPr>
            <w:r>
              <w:rPr>
                <w:rFonts w:hint="eastAsia" w:eastAsia="等线"/>
                <w:color w:val="auto"/>
                <w:highlight w:val="none"/>
              </w:rPr>
              <w:t>在公司内投资建厂（装置)</w:t>
            </w:r>
          </w:p>
        </w:tc>
        <w:tc>
          <w:tcPr>
            <w:tcW w:w="2992" w:type="dxa"/>
            <w:vMerge w:val="continue"/>
          </w:tcPr>
          <w:p w14:paraId="2BB41ED9">
            <w:pPr>
              <w:pStyle w:val="8"/>
              <w:ind w:left="0" w:leftChars="0" w:right="63"/>
              <w:rPr>
                <w:rFonts w:eastAsia="等线"/>
                <w:color w:val="auto"/>
                <w:highlight w:val="none"/>
              </w:rPr>
            </w:pPr>
          </w:p>
        </w:tc>
      </w:tr>
      <w:tr w14:paraId="7EC7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5912A96C">
            <w:pPr>
              <w:pStyle w:val="8"/>
              <w:ind w:left="0" w:leftChars="0" w:right="63"/>
              <w:rPr>
                <w:rFonts w:eastAsia="等线"/>
                <w:color w:val="auto"/>
                <w:highlight w:val="none"/>
              </w:rPr>
            </w:pPr>
            <w:r>
              <w:rPr>
                <w:rFonts w:hint="eastAsia" w:eastAsia="等线"/>
                <w:color w:val="auto"/>
                <w:highlight w:val="none"/>
              </w:rPr>
              <w:t>5</w:t>
            </w:r>
          </w:p>
        </w:tc>
        <w:tc>
          <w:tcPr>
            <w:tcW w:w="2992" w:type="dxa"/>
          </w:tcPr>
          <w:p w14:paraId="0F7287C4">
            <w:pPr>
              <w:pStyle w:val="8"/>
              <w:ind w:left="0" w:leftChars="0" w:right="63"/>
              <w:rPr>
                <w:rFonts w:eastAsia="等线"/>
                <w:color w:val="auto"/>
                <w:highlight w:val="none"/>
              </w:rPr>
            </w:pPr>
            <w:r>
              <w:rPr>
                <w:rFonts w:hint="eastAsia" w:eastAsia="等线"/>
                <w:color w:val="auto"/>
                <w:highlight w:val="none"/>
              </w:rPr>
              <w:t>食堂、回收废弃物处置</w:t>
            </w:r>
          </w:p>
        </w:tc>
        <w:tc>
          <w:tcPr>
            <w:tcW w:w="2992" w:type="dxa"/>
          </w:tcPr>
          <w:p w14:paraId="6406E499">
            <w:pPr>
              <w:pStyle w:val="8"/>
              <w:ind w:left="0" w:leftChars="0" w:right="63"/>
              <w:rPr>
                <w:rFonts w:eastAsia="等线"/>
                <w:color w:val="auto"/>
                <w:highlight w:val="none"/>
              </w:rPr>
            </w:pPr>
            <w:r>
              <w:rPr>
                <w:rFonts w:hint="eastAsia" w:eastAsia="等线"/>
                <w:color w:val="auto"/>
                <w:highlight w:val="none"/>
              </w:rPr>
              <w:t>按照预计年度结算金额的1%进行缴纳，最低缴纳5万元，最高20万元。</w:t>
            </w:r>
          </w:p>
        </w:tc>
      </w:tr>
      <w:tr w14:paraId="420D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3" w:type="dxa"/>
            <w:gridSpan w:val="3"/>
          </w:tcPr>
          <w:p w14:paraId="2F70891F">
            <w:pPr>
              <w:pStyle w:val="8"/>
              <w:ind w:left="0" w:leftChars="0" w:right="63"/>
              <w:rPr>
                <w:rFonts w:eastAsia="等线"/>
                <w:color w:val="auto"/>
                <w:highlight w:val="none"/>
              </w:rPr>
            </w:pPr>
            <w:r>
              <w:rPr>
                <w:rFonts w:hint="eastAsia" w:eastAsia="等线"/>
                <w:color w:val="auto"/>
                <w:highlight w:val="none"/>
              </w:rPr>
              <w:t xml:space="preserve"> </w:t>
            </w:r>
            <w:r>
              <w:rPr>
                <w:rFonts w:eastAsia="等线"/>
                <w:color w:val="auto"/>
                <w:highlight w:val="none"/>
              </w:rPr>
              <w:t xml:space="preserve">   </w:t>
            </w:r>
            <w:r>
              <w:rPr>
                <w:rFonts w:hint="eastAsia" w:eastAsia="等线"/>
                <w:color w:val="auto"/>
                <w:highlight w:val="none"/>
              </w:rPr>
              <w:t>从事除上述情况以外在公司厂区内作业活动的承包商，年度结算费用在50万元(或累计）以上，安全生产履约保证金按结算费用的1%进行缴纳，安全生产履约保证金最低5万元，最高不超过100万元。年度结算费用在50万元以下的由各单位根据实际情况确定，安全生产履约保证金为1-5万元。</w:t>
            </w:r>
          </w:p>
        </w:tc>
      </w:tr>
    </w:tbl>
    <w:p w14:paraId="36BCFBC9">
      <w:pPr>
        <w:adjustRightInd w:val="0"/>
        <w:snapToGrid w:val="0"/>
        <w:spacing w:line="360" w:lineRule="auto"/>
        <w:ind w:firstLine="600" w:firstLineChars="200"/>
        <w:rPr>
          <w:rFonts w:eastAsia="仿宋_GB2312"/>
          <w:color w:val="auto"/>
          <w:sz w:val="30"/>
          <w:szCs w:val="32"/>
          <w:highlight w:val="none"/>
        </w:rPr>
      </w:pPr>
    </w:p>
    <w:p w14:paraId="548252F9">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履约担保期限</w:t>
      </w:r>
      <w:r>
        <w:rPr>
          <w:rFonts w:hint="eastAsia" w:ascii="宋体" w:hAnsi="宋体"/>
          <w:snapToGrid w:val="0"/>
          <w:color w:val="auto"/>
          <w:szCs w:val="21"/>
          <w:highlight w:val="none"/>
        </w:rPr>
        <w:t>：</w:t>
      </w:r>
      <w:r>
        <w:rPr>
          <w:rFonts w:hint="eastAsia" w:eastAsia="仿宋_GB2312"/>
          <w:color w:val="auto"/>
          <w:sz w:val="30"/>
          <w:szCs w:val="32"/>
          <w:highlight w:val="none"/>
          <w:u w:val="single"/>
        </w:rPr>
        <w:t>自提交履约担保至竣工验收合格之日止</w:t>
      </w:r>
      <w:r>
        <w:rPr>
          <w:rFonts w:hint="eastAsia" w:eastAsia="仿宋_GB2312"/>
          <w:color w:val="auto"/>
          <w:sz w:val="30"/>
          <w:szCs w:val="32"/>
          <w:highlight w:val="none"/>
        </w:rPr>
        <w:t>；</w:t>
      </w:r>
    </w:p>
    <w:p w14:paraId="55AAF4D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履约担保退还时间</w:t>
      </w:r>
      <w:r>
        <w:rPr>
          <w:rFonts w:hint="eastAsia" w:ascii="宋体" w:hAnsi="宋体"/>
          <w:snapToGrid w:val="0"/>
          <w:color w:val="auto"/>
          <w:szCs w:val="21"/>
          <w:highlight w:val="none"/>
        </w:rPr>
        <w:t>：</w:t>
      </w:r>
      <w:r>
        <w:rPr>
          <w:rFonts w:hint="eastAsia" w:eastAsia="仿宋_GB2312"/>
          <w:color w:val="auto"/>
          <w:sz w:val="30"/>
          <w:szCs w:val="32"/>
          <w:highlight w:val="none"/>
          <w:u w:val="single"/>
        </w:rPr>
        <w:t xml:space="preserve">竣工验收合格15个工作日内经安全违约结算扣除违约金后，发包人向承包人无息退还   </w:t>
      </w:r>
      <w:r>
        <w:rPr>
          <w:rFonts w:hint="eastAsia" w:eastAsia="仿宋_GB2312"/>
          <w:color w:val="auto"/>
          <w:sz w:val="30"/>
          <w:szCs w:val="32"/>
          <w:highlight w:val="none"/>
        </w:rPr>
        <w:t>。</w:t>
      </w:r>
    </w:p>
    <w:p w14:paraId="04AB0D0D">
      <w:pPr>
        <w:pStyle w:val="8"/>
        <w:ind w:left="63" w:right="63"/>
        <w:jc w:val="both"/>
        <w:rPr>
          <w:rFonts w:eastAsia="仿宋_GB2312"/>
          <w:color w:val="auto"/>
          <w:kern w:val="2"/>
          <w:sz w:val="30"/>
          <w:szCs w:val="32"/>
          <w:highlight w:val="none"/>
        </w:rPr>
      </w:pPr>
      <w:r>
        <w:rPr>
          <w:rFonts w:hint="eastAsia"/>
          <w:color w:val="auto"/>
          <w:highlight w:val="none"/>
        </w:rPr>
        <w:t xml:space="preserve"> </w:t>
      </w:r>
      <w:r>
        <w:rPr>
          <w:color w:val="auto"/>
          <w:highlight w:val="none"/>
        </w:rPr>
        <w:t xml:space="preserve">     </w:t>
      </w:r>
      <w:r>
        <w:rPr>
          <w:rFonts w:hint="eastAsia" w:eastAsia="仿宋_GB2312"/>
          <w:color w:val="auto"/>
          <w:kern w:val="2"/>
          <w:sz w:val="30"/>
          <w:szCs w:val="32"/>
          <w:highlight w:val="none"/>
        </w:rPr>
        <w:t>承包商年度考核评价为优秀等级的，安全生产履约保证金可以按标准比例的80%缴纳。</w:t>
      </w:r>
    </w:p>
    <w:p w14:paraId="3CF944EC">
      <w:pPr>
        <w:rPr>
          <w:rFonts w:eastAsia="仿宋_GB2312"/>
          <w:color w:val="auto"/>
          <w:sz w:val="30"/>
          <w:szCs w:val="32"/>
          <w:highlight w:val="none"/>
        </w:rPr>
      </w:pPr>
      <w:r>
        <w:rPr>
          <w:rFonts w:hint="eastAsia" w:eastAsia="仿宋_GB2312"/>
          <w:color w:val="auto"/>
          <w:sz w:val="30"/>
          <w:szCs w:val="32"/>
          <w:highlight w:val="none"/>
        </w:rPr>
        <w:t xml:space="preserve"> </w:t>
      </w:r>
      <w:r>
        <w:rPr>
          <w:rFonts w:eastAsia="仿宋_GB2312"/>
          <w:color w:val="auto"/>
          <w:sz w:val="30"/>
          <w:szCs w:val="32"/>
          <w:highlight w:val="none"/>
        </w:rPr>
        <w:t xml:space="preserve">   </w:t>
      </w:r>
      <w:r>
        <w:rPr>
          <w:rFonts w:hint="eastAsia" w:eastAsia="仿宋_GB2312"/>
          <w:color w:val="auto"/>
          <w:sz w:val="30"/>
          <w:szCs w:val="32"/>
          <w:highlight w:val="none"/>
        </w:rPr>
        <w:t>同一个承包商同公司内多家单位有合同约定的，以所需缴纳的安全生产履约保证金最高为缴纳金额，不重复缴纳，但需要提交由公司财务部出具的缴纳凭证复印件。</w:t>
      </w:r>
    </w:p>
    <w:p w14:paraId="2BA99E01">
      <w:pPr>
        <w:pStyle w:val="8"/>
        <w:ind w:left="63" w:right="63"/>
        <w:jc w:val="left"/>
        <w:rPr>
          <w:rFonts w:eastAsia="仿宋_GB2312"/>
          <w:color w:val="auto"/>
          <w:kern w:val="2"/>
          <w:sz w:val="30"/>
          <w:szCs w:val="32"/>
          <w:highlight w:val="none"/>
        </w:rPr>
      </w:pPr>
      <w:r>
        <w:rPr>
          <w:rFonts w:eastAsia="仿宋_GB2312"/>
          <w:color w:val="auto"/>
          <w:kern w:val="2"/>
          <w:sz w:val="30"/>
          <w:szCs w:val="32"/>
          <w:highlight w:val="none"/>
        </w:rPr>
        <w:t xml:space="preserve">   </w:t>
      </w:r>
      <w:r>
        <w:rPr>
          <w:rFonts w:hint="eastAsia" w:eastAsia="仿宋_GB2312"/>
          <w:color w:val="auto"/>
          <w:kern w:val="2"/>
          <w:sz w:val="30"/>
          <w:szCs w:val="32"/>
          <w:highlight w:val="none"/>
        </w:rPr>
        <w:t>承包商属于公司内部单位的，可以不缴纳安全生产履约保证金。</w:t>
      </w:r>
    </w:p>
    <w:p w14:paraId="0178B711">
      <w:pPr>
        <w:ind w:firstLine="600" w:firstLineChars="200"/>
        <w:rPr>
          <w:rFonts w:eastAsia="仿宋_GB2312"/>
          <w:color w:val="auto"/>
          <w:sz w:val="30"/>
          <w:szCs w:val="32"/>
          <w:highlight w:val="none"/>
        </w:rPr>
      </w:pPr>
      <w:r>
        <w:rPr>
          <w:rFonts w:hint="eastAsia" w:eastAsia="仿宋_GB2312"/>
          <w:color w:val="auto"/>
          <w:sz w:val="30"/>
          <w:szCs w:val="32"/>
          <w:highlight w:val="none"/>
        </w:rPr>
        <w:t>公司新进承包商、现有承包商且合同年限超过1年的，需按照本制度规定缴纳安全生产履约保证金。</w:t>
      </w:r>
    </w:p>
    <w:p w14:paraId="5412931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承包商在公司范围内发生生产安全环保事故的，按照以下标准扣除安全生产履约保证金：</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3"/>
        <w:gridCol w:w="3503"/>
      </w:tblGrid>
      <w:tr w14:paraId="1631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23" w:type="dxa"/>
            <w:vAlign w:val="center"/>
          </w:tcPr>
          <w:p w14:paraId="6D1B7E26">
            <w:pPr>
              <w:jc w:val="center"/>
              <w:rPr>
                <w:rFonts w:ascii="宋体" w:hAnsi="宋体"/>
                <w:color w:val="auto"/>
                <w:szCs w:val="21"/>
                <w:highlight w:val="none"/>
              </w:rPr>
            </w:pPr>
            <w:r>
              <w:rPr>
                <w:rFonts w:ascii="宋体" w:hAnsi="宋体"/>
                <w:color w:val="auto"/>
                <w:szCs w:val="21"/>
                <w:highlight w:val="none"/>
              </w:rPr>
              <w:t>事故等级</w:t>
            </w:r>
          </w:p>
        </w:tc>
        <w:tc>
          <w:tcPr>
            <w:tcW w:w="3503" w:type="dxa"/>
            <w:vAlign w:val="center"/>
          </w:tcPr>
          <w:p w14:paraId="6FCB6D6D">
            <w:pPr>
              <w:jc w:val="center"/>
              <w:rPr>
                <w:rFonts w:ascii="宋体" w:hAnsi="宋体"/>
                <w:color w:val="auto"/>
                <w:szCs w:val="21"/>
                <w:highlight w:val="none"/>
              </w:rPr>
            </w:pPr>
            <w:r>
              <w:rPr>
                <w:rFonts w:ascii="宋体" w:hAnsi="宋体"/>
                <w:color w:val="auto"/>
                <w:szCs w:val="21"/>
                <w:highlight w:val="none"/>
              </w:rPr>
              <w:t>安全生产履约保证金扣除金额</w:t>
            </w:r>
          </w:p>
        </w:tc>
      </w:tr>
      <w:tr w14:paraId="3F37E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623" w:type="dxa"/>
            <w:vAlign w:val="center"/>
          </w:tcPr>
          <w:p w14:paraId="74F20867">
            <w:pPr>
              <w:jc w:val="left"/>
              <w:rPr>
                <w:rFonts w:ascii="宋体" w:hAnsi="宋体"/>
                <w:color w:val="auto"/>
                <w:szCs w:val="21"/>
                <w:highlight w:val="none"/>
              </w:rPr>
            </w:pPr>
            <w:r>
              <w:rPr>
                <w:rFonts w:hint="eastAsia" w:ascii="宋体" w:hAnsi="宋体"/>
                <w:color w:val="auto"/>
                <w:szCs w:val="21"/>
                <w:highlight w:val="none"/>
              </w:rPr>
              <w:t>发生重伤或直接经济损失30-</w:t>
            </w:r>
            <w:r>
              <w:rPr>
                <w:rFonts w:ascii="宋体" w:hAnsi="宋体"/>
                <w:color w:val="auto"/>
                <w:szCs w:val="21"/>
                <w:highlight w:val="none"/>
              </w:rPr>
              <w:t>100</w:t>
            </w:r>
            <w:r>
              <w:rPr>
                <w:rFonts w:hint="eastAsia" w:ascii="宋体" w:hAnsi="宋体"/>
                <w:color w:val="auto"/>
                <w:szCs w:val="21"/>
                <w:highlight w:val="none"/>
              </w:rPr>
              <w:t>万元的生产安全责任事故；消防出警，社会影响较大，出水或启动灭火设施参与抢险，被立案调查但未受到处罚的事故；发生公司级重大环境污染事故；环保部门抢险，社会影响较大，被立案调查但未受到处罚的环保事故。</w:t>
            </w:r>
          </w:p>
        </w:tc>
        <w:tc>
          <w:tcPr>
            <w:tcW w:w="3503" w:type="dxa"/>
            <w:vAlign w:val="center"/>
          </w:tcPr>
          <w:p w14:paraId="391D29DC">
            <w:pPr>
              <w:jc w:val="center"/>
              <w:rPr>
                <w:rFonts w:ascii="宋体" w:hAnsi="宋体"/>
                <w:color w:val="auto"/>
                <w:szCs w:val="21"/>
                <w:highlight w:val="none"/>
              </w:rPr>
            </w:pPr>
            <w:r>
              <w:rPr>
                <w:rFonts w:ascii="宋体" w:hAnsi="宋体"/>
                <w:color w:val="auto"/>
                <w:szCs w:val="21"/>
                <w:highlight w:val="none"/>
              </w:rPr>
              <w:t>5万元</w:t>
            </w:r>
          </w:p>
        </w:tc>
      </w:tr>
      <w:tr w14:paraId="12248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6623" w:type="dxa"/>
            <w:vAlign w:val="center"/>
          </w:tcPr>
          <w:p w14:paraId="003A0034">
            <w:pPr>
              <w:jc w:val="left"/>
              <w:rPr>
                <w:rFonts w:ascii="宋体" w:hAnsi="宋体"/>
                <w:color w:val="auto"/>
                <w:szCs w:val="21"/>
                <w:highlight w:val="none"/>
              </w:rPr>
            </w:pPr>
            <w:r>
              <w:rPr>
                <w:rFonts w:hint="eastAsia" w:ascii="宋体" w:hAnsi="宋体"/>
                <w:color w:val="auto"/>
                <w:szCs w:val="21"/>
                <w:highlight w:val="none"/>
              </w:rPr>
              <w:t>发生重伤3人、死亡事故或直接经济损失1</w:t>
            </w:r>
            <w:r>
              <w:rPr>
                <w:rFonts w:ascii="宋体" w:hAnsi="宋体"/>
                <w:color w:val="auto"/>
                <w:szCs w:val="21"/>
                <w:highlight w:val="none"/>
              </w:rPr>
              <w:t>00万元及以上安全责任事故的</w:t>
            </w:r>
            <w:r>
              <w:rPr>
                <w:rFonts w:hint="eastAsia" w:ascii="宋体" w:hAnsi="宋体"/>
                <w:color w:val="auto"/>
                <w:szCs w:val="21"/>
                <w:highlight w:val="none"/>
              </w:rPr>
              <w:t>。消防出警，社会影响大，消防出水或启动灭火设施参与抢险，被立案调查且受到处罚的事故；发生公司级特大环境污染事故，环保部门抢险，社会影响大，被立案调查且受到处罚的环保事故。</w:t>
            </w:r>
          </w:p>
        </w:tc>
        <w:tc>
          <w:tcPr>
            <w:tcW w:w="3503" w:type="dxa"/>
            <w:vAlign w:val="center"/>
          </w:tcPr>
          <w:p w14:paraId="25164437">
            <w:pPr>
              <w:jc w:val="center"/>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0</w:t>
            </w:r>
            <w:r>
              <w:rPr>
                <w:rFonts w:hint="eastAsia" w:ascii="宋体" w:hAnsi="宋体"/>
                <w:color w:val="auto"/>
                <w:szCs w:val="21"/>
                <w:highlight w:val="none"/>
              </w:rPr>
              <w:t>-</w:t>
            </w:r>
            <w:r>
              <w:rPr>
                <w:rFonts w:ascii="宋体" w:hAnsi="宋体"/>
                <w:color w:val="auto"/>
                <w:szCs w:val="21"/>
                <w:highlight w:val="none"/>
              </w:rPr>
              <w:t>50万元</w:t>
            </w:r>
          </w:p>
        </w:tc>
      </w:tr>
      <w:tr w14:paraId="14E14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0126" w:type="dxa"/>
            <w:gridSpan w:val="2"/>
            <w:vAlign w:val="center"/>
          </w:tcPr>
          <w:p w14:paraId="185CE8C5">
            <w:pPr>
              <w:jc w:val="left"/>
              <w:rPr>
                <w:rFonts w:ascii="宋体" w:hAnsi="宋体"/>
                <w:color w:val="auto"/>
                <w:szCs w:val="21"/>
                <w:highlight w:val="none"/>
              </w:rPr>
            </w:pPr>
            <w:r>
              <w:rPr>
                <w:rFonts w:hint="eastAsia" w:ascii="宋体" w:hAnsi="宋体"/>
                <w:color w:val="auto"/>
                <w:szCs w:val="21"/>
                <w:highlight w:val="none"/>
              </w:rPr>
              <w:t>说明：</w:t>
            </w:r>
          </w:p>
          <w:p w14:paraId="5377B2DF">
            <w:pPr>
              <w:jc w:val="left"/>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、发生在国家法定节假日、两会等重要特殊时期的事故从严扣款。</w:t>
            </w:r>
          </w:p>
          <w:p w14:paraId="4EFF969E">
            <w:pPr>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、谎报、瞒报事故的安全生产履约保证金全额扣除。</w:t>
            </w:r>
          </w:p>
          <w:p w14:paraId="7DE1491C">
            <w:pPr>
              <w:jc w:val="left"/>
              <w:rPr>
                <w:rFonts w:ascii="宋体" w:hAnsi="宋体"/>
                <w:color w:val="auto"/>
                <w:szCs w:val="21"/>
                <w:highlight w:val="none"/>
              </w:rPr>
            </w:pPr>
            <w:r>
              <w:rPr>
                <w:rFonts w:ascii="宋体"/>
                <w:color w:val="auto"/>
                <w:kern w:val="0"/>
                <w:szCs w:val="20"/>
                <w:highlight w:val="none"/>
              </w:rPr>
              <w:t>3</w:t>
            </w:r>
            <w:r>
              <w:rPr>
                <w:rFonts w:hint="eastAsia" w:ascii="宋体"/>
                <w:color w:val="auto"/>
                <w:kern w:val="0"/>
                <w:szCs w:val="20"/>
                <w:highlight w:val="none"/>
              </w:rPr>
              <w:t>、发生安全环保事故</w:t>
            </w:r>
            <w:r>
              <w:rPr>
                <w:rFonts w:ascii="宋体"/>
                <w:color w:val="auto"/>
                <w:kern w:val="0"/>
                <w:szCs w:val="20"/>
                <w:highlight w:val="none"/>
              </w:rPr>
              <w:t>0.5</w:t>
            </w:r>
            <w:r>
              <w:rPr>
                <w:rFonts w:hint="eastAsia" w:ascii="宋体"/>
                <w:color w:val="auto"/>
                <w:kern w:val="0"/>
                <w:szCs w:val="20"/>
                <w:highlight w:val="none"/>
              </w:rPr>
              <w:t>小时内报告到对口管理部门，对口管理部门接报后立即报告到安全环保部。超过报告时限的，</w:t>
            </w:r>
            <w:r>
              <w:rPr>
                <w:rFonts w:ascii="宋体" w:hAnsi="宋体"/>
                <w:color w:val="auto"/>
                <w:szCs w:val="21"/>
                <w:highlight w:val="none"/>
              </w:rPr>
              <w:t xml:space="preserve"> 每次扣安全生产履约保证金</w:t>
            </w:r>
            <w:r>
              <w:rPr>
                <w:rFonts w:hint="eastAsia" w:ascii="宋体" w:hAnsi="宋体"/>
                <w:color w:val="auto"/>
                <w:szCs w:val="21"/>
                <w:highlight w:val="none"/>
              </w:rPr>
              <w:t>5万元。</w:t>
            </w:r>
            <w:r>
              <w:rPr>
                <w:rFonts w:ascii="宋体" w:hAnsi="宋体"/>
                <w:color w:val="auto"/>
                <w:szCs w:val="21"/>
                <w:highlight w:val="none"/>
              </w:rPr>
              <w:t xml:space="preserve"> </w:t>
            </w:r>
          </w:p>
          <w:p w14:paraId="10F1A098">
            <w:pPr>
              <w:jc w:val="left"/>
              <w:rPr>
                <w:rFonts w:ascii="宋体" w:hAnsi="宋体"/>
                <w:color w:val="auto"/>
                <w:szCs w:val="21"/>
                <w:highlight w:val="none"/>
              </w:rPr>
            </w:pPr>
            <w:r>
              <w:rPr>
                <w:rFonts w:hint="eastAsia" w:ascii="宋体" w:hAnsi="宋体"/>
                <w:color w:val="auto"/>
                <w:szCs w:val="21"/>
                <w:highlight w:val="none"/>
              </w:rPr>
              <w:t>4、交纳的安全生产风险金低于相应扣除标准的，全部扣除。</w:t>
            </w:r>
          </w:p>
        </w:tc>
      </w:tr>
    </w:tbl>
    <w:p w14:paraId="655A91B7">
      <w:pPr>
        <w:pStyle w:val="8"/>
        <w:ind w:left="63" w:right="63"/>
        <w:rPr>
          <w:color w:val="auto"/>
          <w:highlight w:val="none"/>
        </w:rPr>
      </w:pPr>
    </w:p>
    <w:p w14:paraId="6C4B43D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承包人安全施工条件不足，施工作业过程存在重大安全事故隐患，拒不整改或不按期整改的，发包人可以委托相应的单位进行事故隐患整改，所需费用从其安全生产履约保证金中扣除。</w:t>
      </w:r>
    </w:p>
    <w:p w14:paraId="735DF12C">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4</w:t>
      </w:r>
      <w:bookmarkStart w:id="176" w:name="_Toc296890990"/>
      <w:bookmarkStart w:id="177" w:name="_Toc267251413"/>
      <w:bookmarkStart w:id="178" w:name="_Toc296891202"/>
      <w:bookmarkStart w:id="179" w:name="_Toc296347161"/>
      <w:bookmarkStart w:id="180" w:name="_Toc297120462"/>
      <w:bookmarkStart w:id="181" w:name="_Toc292559871"/>
      <w:bookmarkStart w:id="182" w:name="_Toc296346663"/>
      <w:bookmarkStart w:id="183" w:name="_Toc296944501"/>
      <w:bookmarkStart w:id="184" w:name="_Toc292559366"/>
      <w:bookmarkStart w:id="185" w:name="_Toc296503162"/>
      <w:bookmarkStart w:id="186" w:name="_Toc297048348"/>
      <w:r>
        <w:rPr>
          <w:rFonts w:ascii="Times New Roman" w:hAnsi="Times New Roman" w:eastAsia="黑体"/>
          <w:b w:val="0"/>
          <w:color w:val="auto"/>
          <w:sz w:val="32"/>
          <w:szCs w:val="32"/>
          <w:highlight w:val="none"/>
        </w:rPr>
        <w:t>. 监</w:t>
      </w:r>
      <w:bookmarkEnd w:id="176"/>
      <w:bookmarkEnd w:id="177"/>
      <w:bookmarkEnd w:id="178"/>
      <w:bookmarkEnd w:id="179"/>
      <w:bookmarkEnd w:id="180"/>
      <w:bookmarkEnd w:id="181"/>
      <w:bookmarkEnd w:id="182"/>
      <w:bookmarkEnd w:id="183"/>
      <w:bookmarkEnd w:id="184"/>
      <w:bookmarkEnd w:id="185"/>
      <w:bookmarkEnd w:id="186"/>
      <w:r>
        <w:rPr>
          <w:rFonts w:ascii="Times New Roman" w:hAnsi="Times New Roman" w:eastAsia="黑体"/>
          <w:b w:val="0"/>
          <w:color w:val="auto"/>
          <w:sz w:val="32"/>
          <w:szCs w:val="32"/>
          <w:highlight w:val="none"/>
        </w:rPr>
        <w:t>理人</w:t>
      </w:r>
      <w:bookmarkEnd w:id="175"/>
    </w:p>
    <w:p w14:paraId="3A9F2DE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4.1监理人的一般规定</w:t>
      </w:r>
    </w:p>
    <w:p w14:paraId="3931076A">
      <w:pPr>
        <w:spacing w:line="360" w:lineRule="auto"/>
        <w:ind w:firstLine="420"/>
        <w:rPr>
          <w:rFonts w:ascii="宋体" w:hAnsi="宋体"/>
          <w:color w:val="auto"/>
          <w:szCs w:val="21"/>
          <w:highlight w:val="none"/>
        </w:rPr>
      </w:pPr>
      <w:r>
        <w:rPr>
          <w:rFonts w:eastAsia="仿宋_GB2312"/>
          <w:color w:val="auto"/>
          <w:sz w:val="30"/>
          <w:szCs w:val="32"/>
          <w:highlight w:val="none"/>
        </w:rPr>
        <w:t>关于监理人的监理内容：</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包含但不限于督促承包人施工管理制度和质量保证体系的建立、健全与实施；审查承包人提交的施工组织设计、施工技术方案、安全文明施工措施和施工进度计划，并督促实施；组织设计交底，图纸会审，审查设计变更；审核承包人提出的分包工程项目及选择分包的单位；按施工合同付款要求复核已完工程量；设计变更审核，发布施工工程变更令；审查工程使用的原材料、半成品、成品、构配件和设备的质量，必要时进行测试和监控；监督承包人严格按技术和设计文件施工，控制工程质量，重要工程部位督促承包人实施预控措施；抽查工程施工质量，对隐蔽工程进行复验签证，参与工程质量事故的分析及处理；对工程承发包合同的履行实施管理，协助委托人（或者委托的项目管理单位）处理合同纠纷和索赔事宜；督促检查安全生产，文明施工；督促承包单位按合同规定及要求整理施工技术档案资料；认真审核竣工图纸和其他技术文件资料；参与工程竣工验收，对施工质量提出评价意见；审核竣工图纸和其他技术文件资料；负责缺陷责任期内对招标人提出的工程质量缺陷进行检查和记录，对承包人进行修复的工程质量进行验收</w:t>
      </w:r>
      <w:r>
        <w:rPr>
          <w:rFonts w:eastAsia="仿宋_GB2312"/>
          <w:color w:val="auto"/>
          <w:sz w:val="30"/>
          <w:szCs w:val="32"/>
          <w:highlight w:val="none"/>
        </w:rPr>
        <w:t>。</w:t>
      </w:r>
    </w:p>
    <w:p w14:paraId="06D5ED3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关于监理人的监理权限：</w:t>
      </w:r>
    </w:p>
    <w:p w14:paraId="3C515DCD">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1、监理人应履行监理合同规定的职责；</w:t>
      </w:r>
    </w:p>
    <w:p w14:paraId="1E8A5F20">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监理人可以行使合同规定或合同内含的权利，监理人行使发包人授予的职权，可代表发包人负责监督和检查工程的投资、质量、进度、安全等，及时向承包人提供供工作所需的指令。监理人无权免除合同任何一方在合同履行期间应尽的任何责任和义务；</w:t>
      </w:r>
    </w:p>
    <w:p w14:paraId="03F214E0">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3、总监理工程师签发的任何付款凭证、签证单、核定单、工程设计变更、工程造价变更、工程延期等均需经发包人核定。</w:t>
      </w:r>
    </w:p>
    <w:p w14:paraId="6CF38C5E">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4、</w:t>
      </w:r>
      <w:r>
        <w:rPr>
          <w:rFonts w:hint="eastAsia" w:eastAsia="仿宋_GB2312"/>
          <w:color w:val="auto"/>
          <w:sz w:val="30"/>
          <w:szCs w:val="32"/>
          <w:highlight w:val="none"/>
          <w:u w:val="single"/>
        </w:rPr>
        <w:t>监理单位对承包人如下违约行为进行索赔：①、质量行为不规范，且经现场监理人员提出后屡教不改的；②、安全行为不规范，且经现场监理人员提出后屡教不改的；</w:t>
      </w:r>
    </w:p>
    <w:p w14:paraId="48B7EC1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关于监理人在施工现场的办公场所、生活场所的提供和费用承担的约定：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由发包人提供，费用由发包人承担</w:t>
      </w:r>
      <w:r>
        <w:rPr>
          <w:rFonts w:eastAsia="仿宋_GB2312"/>
          <w:color w:val="auto"/>
          <w:sz w:val="30"/>
          <w:szCs w:val="32"/>
          <w:highlight w:val="none"/>
          <w:u w:val="single"/>
        </w:rPr>
        <w:t xml:space="preserve">  </w:t>
      </w:r>
      <w:r>
        <w:rPr>
          <w:rFonts w:eastAsia="仿宋_GB2312"/>
          <w:color w:val="auto"/>
          <w:sz w:val="30"/>
          <w:szCs w:val="32"/>
          <w:highlight w:val="none"/>
        </w:rPr>
        <w:t>。</w:t>
      </w:r>
    </w:p>
    <w:p w14:paraId="27DEF08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4.2 监理人员</w:t>
      </w:r>
    </w:p>
    <w:p w14:paraId="4D4FCA2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总监理工程师：</w:t>
      </w:r>
    </w:p>
    <w:p w14:paraId="4320C9D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400852B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职    务：</w:t>
      </w:r>
      <w:r>
        <w:rPr>
          <w:rFonts w:eastAsia="仿宋_GB2312"/>
          <w:color w:val="auto"/>
          <w:sz w:val="30"/>
          <w:szCs w:val="30"/>
          <w:highlight w:val="none"/>
          <w:u w:val="single"/>
        </w:rPr>
        <w:t xml:space="preserve">                                   </w:t>
      </w:r>
      <w:r>
        <w:rPr>
          <w:rFonts w:eastAsia="仿宋_GB2312"/>
          <w:color w:val="auto"/>
          <w:sz w:val="30"/>
          <w:szCs w:val="32"/>
          <w:highlight w:val="none"/>
        </w:rPr>
        <w:t>；</w:t>
      </w:r>
    </w:p>
    <w:p w14:paraId="1FFD137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监理工程师执业资格证书号：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1A5EF18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23A65FA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0F788FB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0C67E05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关于监理人的其他约定：</w:t>
      </w:r>
      <w:r>
        <w:rPr>
          <w:rFonts w:eastAsia="仿宋_GB2312"/>
          <w:color w:val="auto"/>
          <w:sz w:val="30"/>
          <w:szCs w:val="30"/>
          <w:highlight w:val="none"/>
          <w:u w:val="single"/>
        </w:rPr>
        <w:t xml:space="preserve">                       </w:t>
      </w:r>
      <w:r>
        <w:rPr>
          <w:rFonts w:eastAsia="仿宋_GB2312"/>
          <w:color w:val="auto"/>
          <w:sz w:val="30"/>
          <w:szCs w:val="32"/>
          <w:highlight w:val="none"/>
        </w:rPr>
        <w:t>。</w:t>
      </w:r>
    </w:p>
    <w:p w14:paraId="07465380">
      <w:pPr>
        <w:pStyle w:val="5"/>
        <w:spacing w:before="120" w:after="120" w:line="360" w:lineRule="auto"/>
        <w:rPr>
          <w:rFonts w:ascii="Times New Roman" w:hAnsi="Times New Roman" w:eastAsia="黑体"/>
          <w:b w:val="0"/>
          <w:color w:val="auto"/>
          <w:sz w:val="32"/>
          <w:szCs w:val="32"/>
          <w:highlight w:val="none"/>
        </w:rPr>
      </w:pPr>
      <w:bookmarkStart w:id="187" w:name="_Toc267251418"/>
      <w:bookmarkStart w:id="188" w:name="_Toc351203637"/>
      <w:r>
        <w:rPr>
          <w:rFonts w:ascii="Times New Roman" w:hAnsi="Times New Roman" w:eastAsia="黑体"/>
          <w:b w:val="0"/>
          <w:color w:val="auto"/>
          <w:sz w:val="32"/>
          <w:szCs w:val="32"/>
          <w:highlight w:val="none"/>
        </w:rPr>
        <w:t>5</w:t>
      </w:r>
      <w:bookmarkEnd w:id="187"/>
      <w:bookmarkStart w:id="189" w:name="_Toc296346664"/>
      <w:bookmarkStart w:id="190" w:name="_Toc296347162"/>
      <w:bookmarkStart w:id="191" w:name="_Toc296503163"/>
      <w:bookmarkStart w:id="192" w:name="_Toc297120463"/>
      <w:bookmarkStart w:id="193" w:name="_Toc292559872"/>
      <w:bookmarkStart w:id="194" w:name="_Toc296944502"/>
      <w:bookmarkStart w:id="195" w:name="_Toc296890991"/>
      <w:bookmarkStart w:id="196" w:name="_Toc292559367"/>
      <w:bookmarkStart w:id="197" w:name="_Toc296891203"/>
      <w:bookmarkStart w:id="198" w:name="_Toc297048349"/>
      <w:r>
        <w:rPr>
          <w:rFonts w:ascii="Times New Roman" w:hAnsi="Times New Roman" w:eastAsia="黑体"/>
          <w:b w:val="0"/>
          <w:color w:val="auto"/>
          <w:sz w:val="32"/>
          <w:szCs w:val="32"/>
          <w:highlight w:val="none"/>
        </w:rPr>
        <w:t>. 工程质量</w:t>
      </w:r>
      <w:bookmarkEnd w:id="188"/>
    </w:p>
    <w:p w14:paraId="17EB61C1">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5.1 质量要求</w:t>
      </w:r>
    </w:p>
    <w:p w14:paraId="43F35135">
      <w:pPr>
        <w:spacing w:line="360" w:lineRule="auto"/>
        <w:jc w:val="left"/>
        <w:rPr>
          <w:rFonts w:eastAsia="仿宋_GB2312"/>
          <w:color w:val="auto"/>
          <w:sz w:val="30"/>
          <w:szCs w:val="32"/>
          <w:highlight w:val="none"/>
        </w:rPr>
      </w:pPr>
      <w:r>
        <w:rPr>
          <w:rFonts w:eastAsia="仿宋_GB2312"/>
          <w:color w:val="auto"/>
          <w:sz w:val="30"/>
          <w:szCs w:val="32"/>
          <w:highlight w:val="none"/>
        </w:rPr>
        <w:t>5</w:t>
      </w:r>
      <w:bookmarkStart w:id="199" w:name="_Toc297123496"/>
      <w:bookmarkStart w:id="200" w:name="_Toc318581164"/>
      <w:bookmarkStart w:id="201" w:name="_Toc304295527"/>
      <w:bookmarkStart w:id="202" w:name="_Toc300934949"/>
      <w:bookmarkStart w:id="203" w:name="_Toc303539106"/>
      <w:bookmarkStart w:id="204" w:name="_Toc297216155"/>
      <w:bookmarkStart w:id="205" w:name="_Toc312677997"/>
      <w:r>
        <w:rPr>
          <w:rFonts w:eastAsia="仿宋_GB2312"/>
          <w:color w:val="auto"/>
          <w:sz w:val="30"/>
          <w:szCs w:val="32"/>
          <w:highlight w:val="none"/>
        </w:rPr>
        <w:t>.1.1 特殊质量标准和要求：</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由承包人与发包人另行协商</w:t>
      </w:r>
      <w:r>
        <w:rPr>
          <w:rFonts w:eastAsia="仿宋_GB2312"/>
          <w:color w:val="auto"/>
          <w:sz w:val="30"/>
          <w:szCs w:val="32"/>
          <w:highlight w:val="none"/>
          <w:u w:val="single"/>
        </w:rPr>
        <w:t xml:space="preserve">  </w:t>
      </w:r>
      <w:r>
        <w:rPr>
          <w:rFonts w:eastAsia="仿宋_GB2312"/>
          <w:color w:val="auto"/>
          <w:sz w:val="30"/>
          <w:szCs w:val="32"/>
          <w:highlight w:val="none"/>
        </w:rPr>
        <w:t>。</w:t>
      </w:r>
    </w:p>
    <w:p w14:paraId="6800BE17">
      <w:pPr>
        <w:spacing w:line="360" w:lineRule="auto"/>
        <w:jc w:val="left"/>
        <w:rPr>
          <w:rFonts w:eastAsia="黑体"/>
          <w:color w:val="auto"/>
          <w:sz w:val="30"/>
          <w:szCs w:val="32"/>
          <w:highlight w:val="none"/>
        </w:rPr>
      </w:pPr>
      <w:r>
        <w:rPr>
          <w:rFonts w:eastAsia="仿宋_GB2312"/>
          <w:color w:val="auto"/>
          <w:sz w:val="30"/>
          <w:szCs w:val="32"/>
          <w:highlight w:val="none"/>
        </w:rPr>
        <w:t>关于工程奖项的约定：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无</w:t>
      </w:r>
      <w:r>
        <w:rPr>
          <w:rFonts w:eastAsia="仿宋_GB2312"/>
          <w:color w:val="auto"/>
          <w:sz w:val="30"/>
          <w:szCs w:val="32"/>
          <w:highlight w:val="none"/>
          <w:u w:val="single"/>
        </w:rPr>
        <w:t xml:space="preserve">   </w:t>
      </w:r>
      <w:r>
        <w:rPr>
          <w:rFonts w:eastAsia="仿宋_GB2312"/>
          <w:color w:val="auto"/>
          <w:sz w:val="30"/>
          <w:szCs w:val="32"/>
          <w:highlight w:val="none"/>
        </w:rPr>
        <w:t>。</w:t>
      </w:r>
    </w:p>
    <w:p w14:paraId="4F10E812">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5.3 隐蔽工程检查</w:t>
      </w:r>
    </w:p>
    <w:p w14:paraId="2DB43D6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5.3.2承包人提前通知监理人、</w:t>
      </w:r>
      <w:r>
        <w:rPr>
          <w:rFonts w:hint="eastAsia" w:eastAsia="仿宋_GB2312"/>
          <w:color w:val="auto"/>
          <w:sz w:val="30"/>
          <w:szCs w:val="32"/>
          <w:highlight w:val="none"/>
        </w:rPr>
        <w:t>发包人</w:t>
      </w:r>
      <w:r>
        <w:rPr>
          <w:rFonts w:eastAsia="仿宋_GB2312"/>
          <w:color w:val="auto"/>
          <w:sz w:val="30"/>
          <w:szCs w:val="32"/>
          <w:highlight w:val="none"/>
        </w:rPr>
        <w:t>隐蔽工程检查的期限的约定：</w:t>
      </w:r>
      <w:r>
        <w:rPr>
          <w:rFonts w:eastAsia="仿宋_GB2312"/>
          <w:color w:val="auto"/>
          <w:sz w:val="30"/>
          <w:szCs w:val="32"/>
          <w:highlight w:val="none"/>
          <w:u w:val="single"/>
        </w:rPr>
        <w:t>承包人应在</w:t>
      </w:r>
      <w:r>
        <w:rPr>
          <w:rFonts w:hint="eastAsia" w:eastAsia="仿宋_GB2312"/>
          <w:color w:val="auto"/>
          <w:sz w:val="30"/>
          <w:szCs w:val="32"/>
          <w:highlight w:val="none"/>
          <w:u w:val="single"/>
        </w:rPr>
        <w:t>共同</w:t>
      </w:r>
      <w:r>
        <w:rPr>
          <w:rFonts w:eastAsia="仿宋_GB2312"/>
          <w:color w:val="auto"/>
          <w:sz w:val="30"/>
          <w:szCs w:val="32"/>
          <w:highlight w:val="none"/>
          <w:u w:val="single"/>
        </w:rPr>
        <w:t>检查前</w:t>
      </w:r>
      <w:r>
        <w:rPr>
          <w:rFonts w:hint="eastAsia" w:eastAsia="仿宋_GB2312"/>
          <w:color w:val="auto"/>
          <w:sz w:val="30"/>
          <w:szCs w:val="32"/>
          <w:highlight w:val="none"/>
          <w:u w:val="single"/>
        </w:rPr>
        <w:t>48</w:t>
      </w:r>
      <w:r>
        <w:rPr>
          <w:rFonts w:eastAsia="仿宋_GB2312"/>
          <w:color w:val="auto"/>
          <w:sz w:val="30"/>
          <w:szCs w:val="32"/>
          <w:highlight w:val="none"/>
          <w:u w:val="single"/>
        </w:rPr>
        <w:t>小时书面通知</w:t>
      </w:r>
      <w:r>
        <w:rPr>
          <w:rFonts w:hint="eastAsia" w:eastAsia="仿宋_GB2312"/>
          <w:color w:val="auto"/>
          <w:sz w:val="30"/>
          <w:szCs w:val="32"/>
          <w:highlight w:val="none"/>
          <w:u w:val="single"/>
        </w:rPr>
        <w:t>监理人、发包人</w:t>
      </w:r>
      <w:r>
        <w:rPr>
          <w:rFonts w:eastAsia="仿宋_GB2312"/>
          <w:color w:val="auto"/>
          <w:sz w:val="30"/>
          <w:szCs w:val="32"/>
          <w:highlight w:val="none"/>
          <w:u w:val="single"/>
        </w:rPr>
        <w:t>检查，通知中应载明隐蔽检查的内容、时间和地点，并应附有自检记录和必要的检查资料</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1D464DC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监理人</w:t>
      </w:r>
      <w:r>
        <w:rPr>
          <w:rFonts w:hint="eastAsia" w:eastAsia="仿宋_GB2312"/>
          <w:color w:val="auto"/>
          <w:sz w:val="30"/>
          <w:szCs w:val="32"/>
          <w:highlight w:val="none"/>
        </w:rPr>
        <w:t>或发包人</w:t>
      </w:r>
      <w:r>
        <w:rPr>
          <w:rFonts w:eastAsia="仿宋_GB2312"/>
          <w:color w:val="auto"/>
          <w:sz w:val="30"/>
          <w:szCs w:val="32"/>
          <w:highlight w:val="none"/>
        </w:rPr>
        <w:t>不能按时进行检查时，应提前</w:t>
      </w:r>
      <w:r>
        <w:rPr>
          <w:rFonts w:eastAsia="仿宋_GB2312"/>
          <w:color w:val="auto"/>
          <w:sz w:val="30"/>
          <w:szCs w:val="32"/>
          <w:highlight w:val="none"/>
          <w:u w:val="single"/>
        </w:rPr>
        <w:t xml:space="preserve">  24  </w:t>
      </w:r>
      <w:r>
        <w:rPr>
          <w:rFonts w:eastAsia="仿宋_GB2312"/>
          <w:color w:val="auto"/>
          <w:sz w:val="30"/>
          <w:szCs w:val="32"/>
          <w:highlight w:val="none"/>
        </w:rPr>
        <w:t>小时提交书面延期要求。</w:t>
      </w:r>
    </w:p>
    <w:p w14:paraId="384F7C5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关于延期最长不得超过：</w:t>
      </w:r>
      <w:r>
        <w:rPr>
          <w:rFonts w:eastAsia="仿宋_GB2312"/>
          <w:color w:val="auto"/>
          <w:sz w:val="30"/>
          <w:szCs w:val="32"/>
          <w:highlight w:val="none"/>
          <w:u w:val="single"/>
        </w:rPr>
        <w:t xml:space="preserve">   48  </w:t>
      </w:r>
      <w:r>
        <w:rPr>
          <w:rFonts w:eastAsia="仿宋_GB2312"/>
          <w:color w:val="auto"/>
          <w:sz w:val="30"/>
          <w:szCs w:val="32"/>
          <w:highlight w:val="none"/>
        </w:rPr>
        <w:t>小时。</w:t>
      </w:r>
    </w:p>
    <w:p w14:paraId="63E6B1B9">
      <w:pPr>
        <w:pStyle w:val="5"/>
        <w:spacing w:before="120" w:after="120" w:line="360" w:lineRule="auto"/>
        <w:rPr>
          <w:rFonts w:ascii="Times New Roman" w:hAnsi="Times New Roman" w:eastAsia="黑体"/>
          <w:b w:val="0"/>
          <w:color w:val="auto"/>
          <w:sz w:val="32"/>
          <w:szCs w:val="32"/>
          <w:highlight w:val="none"/>
        </w:rPr>
      </w:pPr>
      <w:bookmarkStart w:id="206" w:name="_Toc351203638"/>
      <w:r>
        <w:rPr>
          <w:rFonts w:ascii="Times New Roman" w:hAnsi="Times New Roman" w:eastAsia="黑体"/>
          <w:b w:val="0"/>
          <w:color w:val="auto"/>
          <w:sz w:val="32"/>
          <w:szCs w:val="32"/>
          <w:highlight w:val="none"/>
        </w:rPr>
        <w:t>6. 安全文明施工与环境保护</w:t>
      </w:r>
      <w:bookmarkEnd w:id="206"/>
    </w:p>
    <w:p w14:paraId="0A2F523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6.1安全文明施工</w:t>
      </w:r>
    </w:p>
    <w:p w14:paraId="11543E5E">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rPr>
        <w:t>6.1.1 项目安全生产的达标目标及相应事项的约定</w:t>
      </w:r>
      <w:r>
        <w:rPr>
          <w:rFonts w:hint="eastAsia" w:eastAsia="仿宋_GB2312"/>
          <w:color w:val="auto"/>
          <w:sz w:val="30"/>
          <w:szCs w:val="32"/>
          <w:highlight w:val="none"/>
        </w:rPr>
        <w:t>包括但不限于</w:t>
      </w:r>
      <w:r>
        <w:rPr>
          <w:rFonts w:eastAsia="仿宋_GB2312"/>
          <w:color w:val="auto"/>
          <w:sz w:val="30"/>
          <w:szCs w:val="32"/>
          <w:highlight w:val="none"/>
        </w:rPr>
        <w:t>：</w:t>
      </w:r>
      <w:r>
        <w:rPr>
          <w:rFonts w:hint="eastAsia" w:eastAsia="仿宋_GB2312"/>
          <w:color w:val="auto"/>
          <w:sz w:val="30"/>
          <w:szCs w:val="32"/>
          <w:highlight w:val="none"/>
          <w:u w:val="single"/>
        </w:rPr>
        <w:t>1、承包人应按照国家有关安全生产、文明施工、环境保护的法律、行政法规、部门规章，以及重庆市有关安全生产、文明施工、环境保护的地方法规、条例和规章，并遵照重庆市工程建设标准《建筑工程安全文明工地建设标准》（DBJ50/T-442-2023）的规定进行工程安全生产、文明施工和环境保护，遵守发包方安全生产方针、规章指令，杜绝发生重大安全事故；</w:t>
      </w:r>
    </w:p>
    <w:p w14:paraId="00E4E76C">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承包人应策划组织实施方案，建立施工项目的风险分级防控和隐患排查治理工作，杜绝发生亡人事故及重伤事故，轻伤事故率应控制在5‰以内，安全培训完成率100%，隐患整改完成率100%，无火灾事故，无疫情事故发生。承包人应以此建立安全目标责任体系，并组织责任体系的有效实施；</w:t>
      </w:r>
    </w:p>
    <w:p w14:paraId="40280E51">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对施工中的地上地下建筑物(构筑物)管线、电力设施、相关的生产等设施应按有关规定加强监控测量和保护，未经发包人许可不得动用生产相关的水、电、气、消防等设施，因保护不当造成的损失及法律责任由承包人承担赔偿由此造成的直接经济损失和违约责任；</w:t>
      </w:r>
    </w:p>
    <w:p w14:paraId="6D2FB7F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4、承包人应确保安全投入，不得挪用安全文明施工费用，建立安全文明施工费用台账，专款专用，接受发包方检查；</w:t>
      </w:r>
    </w:p>
    <w:p w14:paraId="338DF28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5、施工机械设备进场前，应做好清洁、保养和维护工作。进出车辆应有专人打扫、清洗。有密封要求的按规定必须达到；</w:t>
      </w:r>
    </w:p>
    <w:p w14:paraId="450A1241">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6、做到进入现场的施工和作业人员统一着装，佩证上岗，文明施工；</w:t>
      </w:r>
    </w:p>
    <w:p w14:paraId="142FE28E">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7、承包人应配合发包方组织的安全、消防、职业健康、疫情防控等活动开展，发包人将不定期检查承包商HSE(健康、安全、环境)管理体系运行情况，承包人应安排专人配合进行，不得顶撞、殴打、谩骂检查人员，发现不符合规定的，除责令整改外，每次扣承包人违约金三千元；</w:t>
      </w:r>
    </w:p>
    <w:p w14:paraId="1A087695">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8、现场施工污水排放必须达标并定点排放，造成环境污染的责任由承包人承担；</w:t>
      </w:r>
    </w:p>
    <w:p w14:paraId="74AEA26E">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9、</w:t>
      </w:r>
      <w:r>
        <w:rPr>
          <w:rFonts w:eastAsia="仿宋_GB2312"/>
          <w:color w:val="auto"/>
          <w:sz w:val="30"/>
          <w:szCs w:val="32"/>
          <w:highlight w:val="none"/>
          <w:u w:val="single"/>
        </w:rPr>
        <w:t>承包人知晓并承诺遵守发包人规章制度、安全注意事项。承包人在发包人处的人身、财产安全由承包人自行负责</w:t>
      </w:r>
      <w:r>
        <w:rPr>
          <w:rFonts w:hint="eastAsia" w:eastAsia="仿宋_GB2312"/>
          <w:color w:val="auto"/>
          <w:sz w:val="30"/>
          <w:szCs w:val="32"/>
          <w:highlight w:val="none"/>
          <w:u w:val="single"/>
          <w:lang w:eastAsia="zh-CN"/>
        </w:rPr>
        <w:t>；</w:t>
      </w:r>
      <w:r>
        <w:rPr>
          <w:rFonts w:hint="eastAsia" w:eastAsia="仿宋_GB2312"/>
          <w:color w:val="auto"/>
          <w:sz w:val="30"/>
          <w:szCs w:val="32"/>
          <w:highlight w:val="none"/>
          <w:u w:val="single"/>
        </w:rPr>
        <w:t xml:space="preserve">   </w:t>
      </w:r>
    </w:p>
    <w:p w14:paraId="4EF29B3B">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10、</w:t>
      </w:r>
      <w:r>
        <w:rPr>
          <w:rFonts w:hint="eastAsia" w:eastAsia="仿宋_GB2312"/>
          <w:color w:val="auto"/>
          <w:sz w:val="30"/>
          <w:szCs w:val="32"/>
          <w:highlight w:val="none"/>
          <w:u w:val="single"/>
        </w:rPr>
        <w:t>承包人应参加发包人组织的入场安全培训，监督入场人员遵守培训规定，经考核合格后方可入场。承包人应建立项目安全培训制度，确保入场人员意识和技能符合岗位需要；</w:t>
      </w:r>
    </w:p>
    <w:p w14:paraId="1F6B5CA7">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11、</w:t>
      </w:r>
      <w:r>
        <w:rPr>
          <w:rFonts w:hint="eastAsia" w:eastAsia="仿宋_GB2312"/>
          <w:color w:val="auto"/>
          <w:sz w:val="30"/>
          <w:szCs w:val="32"/>
          <w:highlight w:val="none"/>
          <w:u w:val="single"/>
        </w:rPr>
        <w:t>承包人应建立对责任范围内的治安保卫制度，确保自身财产安全，施工期间，发包人对承包人的财产遗失、损毁不承担责任。应遵守发包人的治安管理制度，发现有违规行为的按照附件相关条款承担违约责任。 与其余承包商在同一区域内作业时应签订《交叉作业协议》；</w:t>
      </w:r>
    </w:p>
    <w:p w14:paraId="3CA4A8B4">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12、</w:t>
      </w:r>
      <w:r>
        <w:rPr>
          <w:rFonts w:hint="eastAsia" w:eastAsia="仿宋_GB2312"/>
          <w:color w:val="auto"/>
          <w:sz w:val="30"/>
          <w:szCs w:val="32"/>
          <w:highlight w:val="none"/>
          <w:u w:val="single"/>
        </w:rPr>
        <w:t>承包人在场内发生的安全、消防、环保事故，应在知道情况后30分钟内如实报送到发包方代表处，并立即开展事故救援和处置</w:t>
      </w:r>
      <w:r>
        <w:rPr>
          <w:rFonts w:eastAsia="仿宋_GB2312"/>
          <w:color w:val="auto"/>
          <w:sz w:val="30"/>
          <w:szCs w:val="32"/>
          <w:highlight w:val="none"/>
          <w:u w:val="single"/>
        </w:rPr>
        <w:t>；</w:t>
      </w:r>
    </w:p>
    <w:p w14:paraId="18844198">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13、本工程施工过程中产生的建筑垃圾，承包人必须运送至经行政主管部门核准的合法消纳场（渣场） 进行倾倒，严禁擅自倾倒、抛撒或者堆放，严禁将建筑垃圾交由无资质单位或个人处置。若发现承包人存在未合法倾倒建筑垃圾行为，发包人将按每次处以50000元的罚款，罚款将从当期工程进度款中直接扣除。累计发生2次违规行为或单次违规造成恶劣影响的，发包人有权暂停支付工程进度款，直至承包人完成整改并提供合法证明为止；情节严重的，可以解除合同；</w:t>
      </w:r>
    </w:p>
    <w:p w14:paraId="2F31C7CC">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14、因承包人未合法倾倒建筑垃圾导致的一切损失及责任，由承包人承担，包括但不限于：</w:t>
      </w:r>
    </w:p>
    <w:p w14:paraId="1D70CC17">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（1）.行政主管部门对发包人及承包人的罚款、滞纳金；</w:t>
      </w:r>
    </w:p>
    <w:p w14:paraId="31CC42C8">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（2）.因违规倾倒造成的环境污染、第三方财产损失或人身损害的赔偿款；</w:t>
      </w:r>
    </w:p>
    <w:p w14:paraId="1DC6B15D">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（3）.发包人因处理违规事宜支出的律师费、诉讼费、鉴定费等维权费用；</w:t>
      </w:r>
    </w:p>
    <w:p w14:paraId="340A8DF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（4）.其他因承包人未合法倾倒建筑垃圾导致的一切费用。</w:t>
      </w:r>
    </w:p>
    <w:p w14:paraId="4C9583F0">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w:t>
      </w:r>
      <w:r>
        <w:rPr>
          <w:rFonts w:hint="eastAsia" w:eastAsia="仿宋_GB2312"/>
          <w:color w:val="auto"/>
          <w:sz w:val="30"/>
          <w:szCs w:val="32"/>
          <w:highlight w:val="none"/>
          <w:u w:val="single"/>
        </w:rPr>
        <w:t>5</w:t>
      </w:r>
      <w:r>
        <w:rPr>
          <w:rFonts w:eastAsia="仿宋_GB2312"/>
          <w:color w:val="auto"/>
          <w:sz w:val="30"/>
          <w:szCs w:val="32"/>
          <w:highlight w:val="none"/>
          <w:u w:val="single"/>
        </w:rPr>
        <w:t>、</w:t>
      </w:r>
      <w:r>
        <w:rPr>
          <w:rFonts w:hint="eastAsia" w:eastAsia="仿宋_GB2312"/>
          <w:color w:val="auto"/>
          <w:sz w:val="30"/>
          <w:szCs w:val="32"/>
          <w:highlight w:val="none"/>
          <w:u w:val="single"/>
        </w:rPr>
        <w:t>安全文明施工的相应条款及违约处理见本合同附件《安全环保协议》</w:t>
      </w:r>
      <w:r>
        <w:rPr>
          <w:rFonts w:eastAsia="仿宋_GB2312"/>
          <w:color w:val="auto"/>
          <w:sz w:val="30"/>
          <w:szCs w:val="32"/>
          <w:highlight w:val="none"/>
          <w:u w:val="single"/>
        </w:rPr>
        <w:t>。</w:t>
      </w:r>
    </w:p>
    <w:p w14:paraId="0864F7A7">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rPr>
        <w:t>6.1.4 关于治安保卫的特别约定：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现场治安管理机构或联防组织的组建由承包人负责</w:t>
      </w:r>
      <w:r>
        <w:rPr>
          <w:rFonts w:eastAsia="仿宋_GB2312"/>
          <w:color w:val="auto"/>
          <w:sz w:val="30"/>
          <w:szCs w:val="32"/>
          <w:highlight w:val="none"/>
          <w:u w:val="single"/>
        </w:rPr>
        <w:t xml:space="preserve">  </w:t>
      </w:r>
      <w:r>
        <w:rPr>
          <w:rFonts w:eastAsia="仿宋_GB2312"/>
          <w:color w:val="auto"/>
          <w:sz w:val="30"/>
          <w:szCs w:val="32"/>
          <w:highlight w:val="none"/>
        </w:rPr>
        <w:t>。</w:t>
      </w:r>
    </w:p>
    <w:p w14:paraId="0BEFA21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关于编制施工场地治安管理计划的约定：</w:t>
      </w:r>
      <w:r>
        <w:rPr>
          <w:rFonts w:hint="eastAsia" w:eastAsia="仿宋_GB2312"/>
          <w:color w:val="auto"/>
          <w:sz w:val="30"/>
          <w:szCs w:val="32"/>
          <w:highlight w:val="none"/>
          <w:u w:val="single"/>
        </w:rPr>
        <w:t>由承包人编制，并由承包人承担施工安全保卫工作及非夜间施工照明安全保卫工作</w:t>
      </w:r>
      <w:r>
        <w:rPr>
          <w:rFonts w:eastAsia="仿宋_GB2312"/>
          <w:color w:val="auto"/>
          <w:sz w:val="30"/>
          <w:szCs w:val="32"/>
          <w:highlight w:val="none"/>
          <w:u w:val="single"/>
        </w:rPr>
        <w:t xml:space="preserve">   </w:t>
      </w:r>
      <w:r>
        <w:rPr>
          <w:rFonts w:eastAsia="仿宋_GB2312"/>
          <w:color w:val="auto"/>
          <w:sz w:val="30"/>
          <w:szCs w:val="32"/>
          <w:highlight w:val="none"/>
        </w:rPr>
        <w:t>。</w:t>
      </w:r>
    </w:p>
    <w:p w14:paraId="790B9D3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6.1.5 文明施工</w:t>
      </w:r>
    </w:p>
    <w:p w14:paraId="3A0CD898">
      <w:pPr>
        <w:ind w:firstLine="576" w:firstLineChars="192"/>
        <w:rPr>
          <w:rFonts w:eastAsia="仿宋_GB2312"/>
          <w:color w:val="auto"/>
          <w:sz w:val="30"/>
          <w:szCs w:val="32"/>
          <w:highlight w:val="none"/>
          <w:u w:val="single"/>
        </w:rPr>
      </w:pPr>
      <w:r>
        <w:rPr>
          <w:rFonts w:hint="eastAsia" w:eastAsia="仿宋_GB2312"/>
          <w:color w:val="auto"/>
          <w:sz w:val="30"/>
          <w:szCs w:val="32"/>
          <w:highlight w:val="none"/>
        </w:rPr>
        <w:t>合同当事人对文明施工的要求：</w:t>
      </w:r>
    </w:p>
    <w:p w14:paraId="643D1A8E">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工程施工现场必须设置施工围挡,承包人应在施工现场周边设置不低于2米的封闭围挡，施工围挡应当采用彩钢硬质材料制作，并且统一、牢固、整洁、美观，不得无施工围挡作业。在转弯及十字路口的施工围挡应满足交通的通视要求。</w:t>
      </w:r>
    </w:p>
    <w:p w14:paraId="6159B3D4">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承包人应在施工现场主要出入口或起止点、主要施工活动点设置门头标志。出入口宽度一般不超过5米，地面实行硬覆盖，硬覆盖宽度与出入口一致。</w:t>
      </w:r>
    </w:p>
    <w:p w14:paraId="6A88B7D3">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施工单位必须在施工现场主要施工活动点设置“六牌一图”。具体包括工程概况牌、管理人员名单及监督电话牌、消防保卫牌、安全生产牌、文明施工牌、安全生产重点防护内容牌及施工现场总平面图。</w:t>
      </w:r>
    </w:p>
    <w:p w14:paraId="1D380601">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施工现场办公室、食堂、厕所、浴室以及其它临时建筑应符合安全、消防、卫生的有关规定；禁止用钢管、三合板、毛竹等搭设简易工棚。生活垃圾应集中存放，按时清理，不得混入渣土或建筑垃圾。</w:t>
      </w:r>
    </w:p>
    <w:p w14:paraId="12AD230A">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 xml:space="preserve">工程施工应尽量减少对周边环境的影响。施工现场应做到：①采取防止扬尘的措施，地面局部清扫时应采用洒水作业，在风速六级及以上天气时，承包人不得进行土方回填及土方施工作业；施工机械车辆进场前，应做好清洁、保养和维护工作。进出车辆应有专人打扫、清洗。有密封要求的按规定必须达到；施工临时排水应确保施工场地和周边无积水，并采取措施确保不向路面和通道排放；施工现场应设置排水沟、沉淀池，施工污水经沉淀后方可排入市政污水管网或河流。②按照现行国家标准《建筑施工场界噪声限值及其测量方法》(GB 12523-12524)制定降噪措施。在规定的作业时间和范围内，合理安排作业内容，使用低噪声的施工机械设备，采用隔音措施，使施工产生的噪声符合上述国家标准要求。确需夜间施工的，须经有关管理部门批准。  </w:t>
      </w:r>
    </w:p>
    <w:p w14:paraId="46F59A2A">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施工范围内的沟井坎坑及孔洞，必须设置防护栏杆和安全警示标志，夜间必须红灯示警。</w:t>
      </w:r>
    </w:p>
    <w:p w14:paraId="6233FA25">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 xml:space="preserve">施工现场内建筑材料、构件、料具应按总平面布局堆放，材料应悬挂名称、品种规格等内容标牌，并堆放整齐 </w:t>
      </w:r>
      <w:r>
        <w:rPr>
          <w:rFonts w:hint="eastAsia" w:eastAsia="仿宋_GB2312"/>
          <w:color w:val="auto"/>
          <w:sz w:val="30"/>
          <w:szCs w:val="32"/>
          <w:highlight w:val="none"/>
        </w:rPr>
        <w:t>。</w:t>
      </w:r>
    </w:p>
    <w:bookmarkEnd w:id="199"/>
    <w:bookmarkEnd w:id="200"/>
    <w:bookmarkEnd w:id="201"/>
    <w:bookmarkEnd w:id="202"/>
    <w:bookmarkEnd w:id="203"/>
    <w:bookmarkEnd w:id="204"/>
    <w:bookmarkEnd w:id="205"/>
    <w:p w14:paraId="3876BAB8">
      <w:pPr>
        <w:pStyle w:val="5"/>
        <w:spacing w:before="120" w:after="120" w:line="360" w:lineRule="auto"/>
        <w:rPr>
          <w:rFonts w:ascii="Times New Roman" w:hAnsi="Times New Roman" w:eastAsia="黑体"/>
          <w:b w:val="0"/>
          <w:color w:val="auto"/>
          <w:sz w:val="32"/>
          <w:szCs w:val="32"/>
          <w:highlight w:val="none"/>
        </w:rPr>
      </w:pPr>
      <w:bookmarkStart w:id="207" w:name="_Toc351203639"/>
      <w:r>
        <w:rPr>
          <w:rFonts w:ascii="Times New Roman" w:hAnsi="Times New Roman" w:eastAsia="黑体"/>
          <w:b w:val="0"/>
          <w:color w:val="auto"/>
          <w:sz w:val="32"/>
          <w:szCs w:val="32"/>
          <w:highlight w:val="none"/>
        </w:rPr>
        <w:t>7. 工期和进度</w:t>
      </w:r>
      <w:bookmarkEnd w:id="207"/>
    </w:p>
    <w:p w14:paraId="3676681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7.1 施工组织设计</w:t>
      </w:r>
    </w:p>
    <w:p w14:paraId="5C301129">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sz w:val="30"/>
          <w:szCs w:val="32"/>
          <w:highlight w:val="none"/>
        </w:rPr>
        <w:t xml:space="preserve">7.1.2 </w:t>
      </w:r>
      <w:r>
        <w:rPr>
          <w:rFonts w:eastAsia="仿宋_GB2312"/>
          <w:color w:val="auto"/>
          <w:kern w:val="0"/>
          <w:sz w:val="30"/>
          <w:szCs w:val="32"/>
          <w:highlight w:val="none"/>
        </w:rPr>
        <w:t>施工组织设计的提交和修改</w:t>
      </w:r>
    </w:p>
    <w:p w14:paraId="10CBB9AE">
      <w:pPr>
        <w:autoSpaceDE w:val="0"/>
        <w:autoSpaceDN w:val="0"/>
        <w:adjustRightInd w:val="0"/>
        <w:spacing w:line="360" w:lineRule="auto"/>
        <w:jc w:val="left"/>
        <w:rPr>
          <w:rFonts w:eastAsia="仿宋_GB2312"/>
          <w:color w:val="auto"/>
          <w:sz w:val="30"/>
          <w:szCs w:val="32"/>
          <w:highlight w:val="none"/>
        </w:rPr>
      </w:pPr>
      <w:r>
        <w:rPr>
          <w:rFonts w:eastAsia="仿宋_GB2312"/>
          <w:color w:val="auto"/>
          <w:kern w:val="0"/>
          <w:sz w:val="30"/>
          <w:szCs w:val="32"/>
          <w:highlight w:val="none"/>
        </w:rPr>
        <w:t>承包人提交详细施工组织设计的期限的约定：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开工前7天</w:t>
      </w:r>
      <w:r>
        <w:rPr>
          <w:rFonts w:eastAsia="仿宋_GB2312"/>
          <w:color w:val="auto"/>
          <w:sz w:val="30"/>
          <w:szCs w:val="32"/>
          <w:highlight w:val="none"/>
          <w:u w:val="single"/>
        </w:rPr>
        <w:t xml:space="preserve">  </w:t>
      </w:r>
      <w:r>
        <w:rPr>
          <w:rFonts w:eastAsia="仿宋_GB2312"/>
          <w:color w:val="auto"/>
          <w:sz w:val="30"/>
          <w:szCs w:val="32"/>
          <w:highlight w:val="none"/>
        </w:rPr>
        <w:t>。</w:t>
      </w:r>
    </w:p>
    <w:p w14:paraId="230BA36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发包人和监理人在收到</w:t>
      </w:r>
      <w:r>
        <w:rPr>
          <w:rFonts w:hint="eastAsia" w:eastAsia="仿宋_GB2312"/>
          <w:color w:val="auto"/>
          <w:sz w:val="30"/>
          <w:szCs w:val="32"/>
          <w:highlight w:val="none"/>
        </w:rPr>
        <w:t>详细的施工组织设计</w:t>
      </w:r>
      <w:r>
        <w:rPr>
          <w:rFonts w:eastAsia="仿宋_GB2312"/>
          <w:color w:val="auto"/>
          <w:sz w:val="30"/>
          <w:szCs w:val="32"/>
          <w:highlight w:val="none"/>
        </w:rPr>
        <w:t>后确认或提出修改意见的期限：</w:t>
      </w:r>
      <w:r>
        <w:rPr>
          <w:rFonts w:eastAsia="仿宋_GB2312"/>
          <w:color w:val="auto"/>
          <w:sz w:val="30"/>
          <w:szCs w:val="32"/>
          <w:highlight w:val="none"/>
          <w:u w:val="single"/>
        </w:rPr>
        <w:t xml:space="preserve"> 7</w:t>
      </w:r>
      <w:r>
        <w:rPr>
          <w:rFonts w:hint="eastAsia" w:eastAsia="仿宋_GB2312"/>
          <w:color w:val="auto"/>
          <w:sz w:val="30"/>
          <w:szCs w:val="32"/>
          <w:highlight w:val="none"/>
          <w:u w:val="single"/>
        </w:rPr>
        <w:t xml:space="preserve">天 </w:t>
      </w:r>
      <w:r>
        <w:rPr>
          <w:rFonts w:eastAsia="仿宋_GB2312"/>
          <w:color w:val="auto"/>
          <w:sz w:val="30"/>
          <w:szCs w:val="32"/>
          <w:highlight w:val="none"/>
        </w:rPr>
        <w:t>。</w:t>
      </w:r>
    </w:p>
    <w:p w14:paraId="1CC4423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08" w:name="_Toc300934966"/>
      <w:bookmarkStart w:id="209" w:name="_Toc297216173"/>
      <w:bookmarkStart w:id="210" w:name="_Toc304295541"/>
      <w:bookmarkStart w:id="211" w:name="_Toc312678005"/>
      <w:bookmarkStart w:id="212" w:name="_Toc297123514"/>
      <w:bookmarkStart w:id="213" w:name="_Toc303539123"/>
      <w:bookmarkStart w:id="214" w:name="_Toc312677479"/>
      <w:r>
        <w:rPr>
          <w:rFonts w:eastAsia="黑体"/>
          <w:color w:val="auto"/>
          <w:sz w:val="30"/>
          <w:szCs w:val="32"/>
          <w:highlight w:val="none"/>
        </w:rPr>
        <w:t>.2 施工进度计划</w:t>
      </w:r>
    </w:p>
    <w:p w14:paraId="07BE325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7.2.2 施工进度计划的修订</w:t>
      </w:r>
    </w:p>
    <w:p w14:paraId="60F251F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发包人和监理人在收到修订的施工进度计划后确认或提出修改意见的期限：</w:t>
      </w:r>
      <w:r>
        <w:rPr>
          <w:rFonts w:eastAsia="仿宋_GB2312"/>
          <w:color w:val="auto"/>
          <w:sz w:val="30"/>
          <w:szCs w:val="32"/>
          <w:highlight w:val="none"/>
          <w:u w:val="single"/>
        </w:rPr>
        <w:t xml:space="preserve">  7</w:t>
      </w:r>
      <w:r>
        <w:rPr>
          <w:rFonts w:hint="eastAsia" w:eastAsia="仿宋_GB2312"/>
          <w:color w:val="auto"/>
          <w:sz w:val="30"/>
          <w:szCs w:val="32"/>
          <w:highlight w:val="none"/>
          <w:u w:val="single"/>
        </w:rPr>
        <w:t>天</w:t>
      </w:r>
      <w:r>
        <w:rPr>
          <w:rFonts w:eastAsia="仿宋_GB2312"/>
          <w:color w:val="auto"/>
          <w:sz w:val="30"/>
          <w:szCs w:val="32"/>
          <w:highlight w:val="none"/>
          <w:u w:val="single"/>
        </w:rPr>
        <w:t xml:space="preserve"> </w:t>
      </w:r>
      <w:r>
        <w:rPr>
          <w:rFonts w:eastAsia="仿宋_GB2312"/>
          <w:color w:val="auto"/>
          <w:sz w:val="30"/>
          <w:szCs w:val="32"/>
          <w:highlight w:val="none"/>
        </w:rPr>
        <w:t>。</w:t>
      </w:r>
    </w:p>
    <w:p w14:paraId="42992B06">
      <w:pPr>
        <w:spacing w:line="360" w:lineRule="auto"/>
        <w:ind w:firstLine="600" w:firstLineChars="200"/>
        <w:rPr>
          <w:rFonts w:ascii="宋体" w:hAnsi="宋体"/>
          <w:color w:val="auto"/>
          <w:szCs w:val="21"/>
          <w:highlight w:val="none"/>
        </w:rPr>
      </w:pPr>
      <w:r>
        <w:rPr>
          <w:rFonts w:eastAsia="仿宋_GB2312"/>
          <w:color w:val="auto"/>
          <w:sz w:val="30"/>
          <w:szCs w:val="32"/>
          <w:highlight w:val="none"/>
        </w:rPr>
        <w:t>7.2.3</w:t>
      </w:r>
      <w:r>
        <w:rPr>
          <w:rFonts w:hint="eastAsia" w:eastAsia="仿宋_GB2312"/>
          <w:color w:val="auto"/>
          <w:sz w:val="30"/>
          <w:szCs w:val="32"/>
          <w:highlight w:val="none"/>
        </w:rPr>
        <w:t>关于进度的其他约定：</w:t>
      </w:r>
    </w:p>
    <w:p w14:paraId="6BBD6387">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1、承包人应加强计划管理，严格按照发包人确认的工程进度计划组织施工，并接受发包人对工程进度的检查、监督</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w:t>
      </w:r>
    </w:p>
    <w:p w14:paraId="0BB6B644">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为便于发包人掌握和控制工期，承包人应于每月20日前向发包人填报工程的当月进度计划完成情况(未完成计划的必须说明原因)，并在此基础上更新工程进度计划、资金计划和其他工作计划。发包人在接到报告后应当予以确认或提出书面意见，承包人必须按照发包人的确认或者书面意见执行</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w:t>
      </w:r>
    </w:p>
    <w:p w14:paraId="3031415B">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3、发包人对工程进度计划的确认不免除承包人应承担的工期延误责任。</w:t>
      </w:r>
    </w:p>
    <w:p w14:paraId="709D014B">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4、</w:t>
      </w:r>
      <w:r>
        <w:rPr>
          <w:rFonts w:hint="eastAsia" w:eastAsia="仿宋_GB2312"/>
          <w:color w:val="auto"/>
          <w:sz w:val="30"/>
          <w:szCs w:val="32"/>
          <w:highlight w:val="none"/>
          <w:u w:val="single"/>
        </w:rPr>
        <w:t>工程实际进度与经工程师确认的进度计划或者更新进度计划不符时，发包人认为本工程或其中任何部分工程进度滞后而不能按预定工期完工，若其主要责任在承包人，则发包人有权要求承包人据此编制修改工程进度计划或单方面中止该施工合同，且承包人无权要求发包人支付任何附加费用。如承包人未能在工程师发布指令后3天内采取有效措施，工程进度仍然无明显改进，发包人有权解除部分或全部合同，将未完工程另行发包给其他有能力的第三方，承包人需配合出场，并承担合同金额10%的违约金。</w:t>
      </w:r>
    </w:p>
    <w:p w14:paraId="34C7286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7.3 开工</w:t>
      </w:r>
    </w:p>
    <w:p w14:paraId="5824395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7.3.2开工通知</w:t>
      </w:r>
    </w:p>
    <w:p w14:paraId="5559950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因发包人原因造成监理人未能在计划开工日期之日起</w:t>
      </w:r>
      <w:r>
        <w:rPr>
          <w:rFonts w:eastAsia="仿宋_GB2312"/>
          <w:color w:val="auto"/>
          <w:sz w:val="30"/>
          <w:szCs w:val="32"/>
          <w:highlight w:val="none"/>
          <w:u w:val="single"/>
        </w:rPr>
        <w:t xml:space="preserve"> 180 </w:t>
      </w:r>
      <w:r>
        <w:rPr>
          <w:rFonts w:eastAsia="仿宋_GB2312"/>
          <w:color w:val="auto"/>
          <w:sz w:val="30"/>
          <w:szCs w:val="32"/>
          <w:highlight w:val="none"/>
        </w:rPr>
        <w:t>天内发出开工通知的，承包人有权提出价格调整要求，或者解除合同。</w:t>
      </w:r>
    </w:p>
    <w:bookmarkEnd w:id="208"/>
    <w:bookmarkEnd w:id="209"/>
    <w:bookmarkEnd w:id="210"/>
    <w:bookmarkEnd w:id="211"/>
    <w:bookmarkEnd w:id="212"/>
    <w:bookmarkEnd w:id="213"/>
    <w:bookmarkEnd w:id="214"/>
    <w:p w14:paraId="6626ED1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7.4 测量放线</w:t>
      </w:r>
    </w:p>
    <w:p w14:paraId="6F807F3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7.4.3</w:t>
      </w:r>
      <w:r>
        <w:rPr>
          <w:rFonts w:hint="eastAsia" w:eastAsia="仿宋_GB2312"/>
          <w:color w:val="auto"/>
          <w:sz w:val="30"/>
          <w:szCs w:val="32"/>
          <w:highlight w:val="none"/>
        </w:rPr>
        <w:t>承包人在进场施工时应向发包人发出书面要求，要求发包人提供</w:t>
      </w:r>
      <w:r>
        <w:rPr>
          <w:rFonts w:eastAsia="仿宋_GB2312"/>
          <w:color w:val="auto"/>
          <w:sz w:val="30"/>
          <w:szCs w:val="32"/>
          <w:highlight w:val="none"/>
        </w:rPr>
        <w:t>测量基准点、基准线和水准点及其书面资料</w:t>
      </w:r>
      <w:r>
        <w:rPr>
          <w:rFonts w:hint="eastAsia" w:eastAsia="仿宋_GB2312"/>
          <w:color w:val="auto"/>
          <w:sz w:val="30"/>
          <w:szCs w:val="32"/>
          <w:highlight w:val="none"/>
        </w:rPr>
        <w:t>，承包人应进行复核，如存在错误或疏漏，应及时通知发包人</w:t>
      </w:r>
      <w:r>
        <w:rPr>
          <w:rFonts w:eastAsia="仿宋_GB2312"/>
          <w:color w:val="auto"/>
          <w:sz w:val="30"/>
          <w:szCs w:val="32"/>
          <w:highlight w:val="none"/>
        </w:rPr>
        <w:t>予以核实</w:t>
      </w:r>
      <w:r>
        <w:rPr>
          <w:rFonts w:hint="eastAsia" w:eastAsia="仿宋_GB2312"/>
          <w:color w:val="auto"/>
          <w:sz w:val="30"/>
          <w:szCs w:val="32"/>
          <w:highlight w:val="none"/>
        </w:rPr>
        <w:t>。</w:t>
      </w:r>
      <w:r>
        <w:rPr>
          <w:rFonts w:eastAsia="仿宋_GB2312"/>
          <w:color w:val="auto"/>
          <w:sz w:val="30"/>
          <w:szCs w:val="32"/>
          <w:highlight w:val="none"/>
        </w:rPr>
        <w:t>发包人应就如何处理和是否继续施工作出决定，并通知承包人。</w:t>
      </w:r>
      <w:r>
        <w:rPr>
          <w:rFonts w:hint="eastAsia" w:eastAsia="仿宋_GB2312"/>
          <w:color w:val="auto"/>
          <w:sz w:val="30"/>
          <w:szCs w:val="32"/>
          <w:highlight w:val="none"/>
        </w:rPr>
        <w:t>如承包人未向发包人发出书面要求便进行施工，由于缺少以上资料所造成的工期延误、费用损失（包括对发包人造成的直接、间接损失）由承包人承担</w:t>
      </w:r>
      <w:r>
        <w:rPr>
          <w:rFonts w:eastAsia="仿宋_GB2312"/>
          <w:color w:val="auto"/>
          <w:sz w:val="30"/>
          <w:szCs w:val="32"/>
          <w:highlight w:val="none"/>
        </w:rPr>
        <w:t>。</w:t>
      </w:r>
      <w:r>
        <w:rPr>
          <w:rFonts w:hint="eastAsia" w:eastAsia="仿宋_GB2312"/>
          <w:color w:val="auto"/>
          <w:sz w:val="30"/>
          <w:szCs w:val="32"/>
          <w:highlight w:val="none"/>
        </w:rPr>
        <w:t>如因发包人提供的上述资料错误或疏漏，而承包人未及时发现，则由此造成的损失由承包人承担。</w:t>
      </w:r>
    </w:p>
    <w:p w14:paraId="7BD2930F">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15" w:name="_Toc297123516"/>
      <w:bookmarkStart w:id="216" w:name="_Toc312678010"/>
      <w:bookmarkStart w:id="217" w:name="_Toc312677484"/>
      <w:bookmarkStart w:id="218" w:name="_Toc297216175"/>
      <w:bookmarkStart w:id="219" w:name="_Toc303539125"/>
      <w:bookmarkStart w:id="220" w:name="_Toc304295546"/>
      <w:bookmarkStart w:id="221" w:name="_Toc300934968"/>
      <w:r>
        <w:rPr>
          <w:rFonts w:eastAsia="黑体"/>
          <w:color w:val="auto"/>
          <w:sz w:val="30"/>
          <w:szCs w:val="32"/>
          <w:highlight w:val="none"/>
        </w:rPr>
        <w:t>.5 工期延误</w:t>
      </w:r>
    </w:p>
    <w:bookmarkEnd w:id="215"/>
    <w:bookmarkEnd w:id="216"/>
    <w:bookmarkEnd w:id="217"/>
    <w:bookmarkEnd w:id="218"/>
    <w:bookmarkEnd w:id="219"/>
    <w:bookmarkEnd w:id="220"/>
    <w:bookmarkEnd w:id="221"/>
    <w:p w14:paraId="12E2AD8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7.5.1</w:t>
      </w:r>
      <w:r>
        <w:rPr>
          <w:rFonts w:hint="eastAsia" w:eastAsia="仿宋_GB2312"/>
          <w:color w:val="auto"/>
          <w:sz w:val="30"/>
          <w:szCs w:val="32"/>
          <w:highlight w:val="none"/>
        </w:rPr>
        <w:t>因发包人原因导致工期延误的，工期相应顺延，但承包人不得就因此导致的管理成本、占用临时设施、周转材料、施工机械等任何成本增加的问题向发包人提出任何形式的索赔。</w:t>
      </w:r>
    </w:p>
    <w:p w14:paraId="6CFDF439">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w:t>
      </w:r>
      <w:bookmarkStart w:id="222" w:name="_Toc312677486"/>
      <w:bookmarkStart w:id="223" w:name="_Toc312678012"/>
      <w:bookmarkStart w:id="224" w:name="_Toc318581169"/>
      <w:bookmarkStart w:id="225" w:name="_Toc304295548"/>
      <w:bookmarkStart w:id="226" w:name="_Toc300934970"/>
      <w:bookmarkStart w:id="227" w:name="_Toc297123518"/>
      <w:bookmarkStart w:id="228" w:name="_Toc297216177"/>
      <w:bookmarkStart w:id="229" w:name="_Toc303539127"/>
      <w:r>
        <w:rPr>
          <w:rFonts w:eastAsia="仿宋_GB2312"/>
          <w:color w:val="auto"/>
          <w:sz w:val="30"/>
          <w:szCs w:val="32"/>
          <w:highlight w:val="none"/>
        </w:rPr>
        <w:t>.5.2 因承包人原因导致工期延误</w:t>
      </w:r>
    </w:p>
    <w:bookmarkEnd w:id="222"/>
    <w:bookmarkEnd w:id="223"/>
    <w:bookmarkEnd w:id="224"/>
    <w:p w14:paraId="4C1127C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w:t>
      </w:r>
      <w:bookmarkStart w:id="230" w:name="_Toc312677487"/>
      <w:bookmarkStart w:id="231" w:name="_Toc312678013"/>
      <w:bookmarkStart w:id="232" w:name="_Toc318581170"/>
      <w:r>
        <w:rPr>
          <w:rFonts w:eastAsia="仿宋_GB2312"/>
          <w:color w:val="auto"/>
          <w:sz w:val="30"/>
          <w:szCs w:val="32"/>
          <w:highlight w:val="none"/>
        </w:rPr>
        <w:t>承包人原因造成工期延误，逾期竣工违约金的计算方法为：</w:t>
      </w:r>
      <w:bookmarkEnd w:id="225"/>
      <w:bookmarkEnd w:id="226"/>
      <w:bookmarkEnd w:id="227"/>
      <w:bookmarkEnd w:id="228"/>
      <w:bookmarkEnd w:id="229"/>
      <w:bookmarkEnd w:id="230"/>
      <w:bookmarkEnd w:id="231"/>
      <w:r>
        <w:rPr>
          <w:rFonts w:hint="eastAsia" w:eastAsia="仿宋_GB2312"/>
          <w:color w:val="auto"/>
          <w:sz w:val="30"/>
          <w:szCs w:val="32"/>
          <w:highlight w:val="none"/>
          <w:u w:val="single"/>
        </w:rPr>
        <w:t>每日历天赔付额度为：</w:t>
      </w:r>
      <w:r>
        <w:rPr>
          <w:rFonts w:hint="eastAsia" w:eastAsia="仿宋_GB2312"/>
          <w:color w:val="auto"/>
          <w:sz w:val="30"/>
          <w:szCs w:val="32"/>
          <w:highlight w:val="none"/>
          <w:u w:val="single"/>
          <w:lang w:val="en-US" w:eastAsia="zh-CN"/>
        </w:rPr>
        <w:t>三千</w:t>
      </w:r>
      <w:r>
        <w:rPr>
          <w:rFonts w:hint="eastAsia" w:eastAsia="仿宋_GB2312"/>
          <w:color w:val="auto"/>
          <w:sz w:val="30"/>
          <w:szCs w:val="32"/>
          <w:highlight w:val="none"/>
          <w:u w:val="single"/>
        </w:rPr>
        <w:t>元</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逾期竣工30天发包人有权单方解除合同，不承担违约责任。承包人应于发包人解除合同之日起5日内向发包人支付逾期竣工违约金。逾期支付，承包人应额外向发包人支付未付违约金金额0.5‰/天的逾期违约金直至完全支付时</w:t>
      </w:r>
      <w:r>
        <w:rPr>
          <w:rFonts w:hint="eastAsia" w:eastAsia="仿宋_GB2312"/>
          <w:color w:val="auto"/>
          <w:sz w:val="30"/>
          <w:szCs w:val="32"/>
          <w:highlight w:val="none"/>
        </w:rPr>
        <w:t>。</w:t>
      </w:r>
    </w:p>
    <w:p w14:paraId="01037921">
      <w:pPr>
        <w:pStyle w:val="8"/>
        <w:ind w:left="63" w:right="63" w:firstLine="600" w:firstLineChars="200"/>
        <w:jc w:val="both"/>
        <w:rPr>
          <w:color w:val="auto"/>
          <w:highlight w:val="none"/>
        </w:rPr>
      </w:pPr>
      <w:r>
        <w:rPr>
          <w:rFonts w:eastAsia="仿宋_GB2312"/>
          <w:color w:val="auto"/>
          <w:sz w:val="30"/>
          <w:szCs w:val="32"/>
          <w:highlight w:val="none"/>
        </w:rPr>
        <w:t>因承包人原因造成</w:t>
      </w:r>
      <w:r>
        <w:rPr>
          <w:rFonts w:hint="eastAsia" w:eastAsia="仿宋_GB2312"/>
          <w:color w:val="auto"/>
          <w:sz w:val="30"/>
          <w:szCs w:val="32"/>
          <w:highlight w:val="none"/>
        </w:rPr>
        <w:t>节点</w:t>
      </w:r>
      <w:r>
        <w:rPr>
          <w:rFonts w:eastAsia="仿宋_GB2312"/>
          <w:color w:val="auto"/>
          <w:sz w:val="30"/>
          <w:szCs w:val="32"/>
          <w:highlight w:val="none"/>
        </w:rPr>
        <w:t>工期延误，</w:t>
      </w:r>
      <w:r>
        <w:rPr>
          <w:rFonts w:hint="eastAsia" w:eastAsia="仿宋_GB2312"/>
          <w:color w:val="auto"/>
          <w:sz w:val="30"/>
          <w:szCs w:val="32"/>
          <w:highlight w:val="none"/>
        </w:rPr>
        <w:t>单个节点工期</w:t>
      </w:r>
      <w:r>
        <w:rPr>
          <w:rFonts w:eastAsia="仿宋_GB2312"/>
          <w:color w:val="auto"/>
          <w:sz w:val="30"/>
          <w:szCs w:val="32"/>
          <w:highlight w:val="none"/>
        </w:rPr>
        <w:t>逾期违约金的计算方法为：</w:t>
      </w:r>
      <w:r>
        <w:rPr>
          <w:rFonts w:hint="eastAsia" w:eastAsia="仿宋_GB2312"/>
          <w:color w:val="auto"/>
          <w:sz w:val="30"/>
          <w:szCs w:val="32"/>
          <w:highlight w:val="none"/>
          <w:u w:val="single"/>
        </w:rPr>
        <w:t>每日历天赔付额度为：</w:t>
      </w:r>
      <w:r>
        <w:rPr>
          <w:rFonts w:hint="eastAsia" w:eastAsia="仿宋_GB2312"/>
          <w:color w:val="auto"/>
          <w:sz w:val="30"/>
          <w:szCs w:val="32"/>
          <w:highlight w:val="none"/>
          <w:u w:val="single"/>
          <w:lang w:val="en-US" w:eastAsia="zh-CN"/>
        </w:rPr>
        <w:t>三千</w:t>
      </w:r>
      <w:r>
        <w:rPr>
          <w:rFonts w:hint="eastAsia" w:eastAsia="仿宋_GB2312"/>
          <w:color w:val="auto"/>
          <w:sz w:val="30"/>
          <w:szCs w:val="32"/>
          <w:highlight w:val="none"/>
          <w:u w:val="single"/>
        </w:rPr>
        <w:t>元。节点工期逾期10天发包人有权单方解除合同，不承担违约责任。承包人应于发包人解除合同之日起5日内向发包人支付节点工期逾期违约金。逾期支付，承包人应额外向发包人支付未付违约金金额0.5‰/天的逾期违约金直至完全支付时。</w:t>
      </w:r>
    </w:p>
    <w:bookmarkEnd w:id="232"/>
    <w:p w14:paraId="6FE0327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因承包人原因造成工期延误（</w:t>
      </w:r>
      <w:r>
        <w:rPr>
          <w:rFonts w:hint="eastAsia" w:eastAsia="仿宋_GB2312"/>
          <w:color w:val="auto"/>
          <w:sz w:val="30"/>
          <w:szCs w:val="32"/>
          <w:highlight w:val="none"/>
        </w:rPr>
        <w:t>包含节点工期延误）</w:t>
      </w:r>
      <w:r>
        <w:rPr>
          <w:rFonts w:eastAsia="仿宋_GB2312"/>
          <w:color w:val="auto"/>
          <w:sz w:val="30"/>
          <w:szCs w:val="32"/>
          <w:highlight w:val="none"/>
        </w:rPr>
        <w:t>，逾</w:t>
      </w:r>
      <w:bookmarkStart w:id="233" w:name="_Toc318581171"/>
      <w:bookmarkStart w:id="234" w:name="_Toc312678014"/>
      <w:r>
        <w:rPr>
          <w:rFonts w:eastAsia="仿宋_GB2312"/>
          <w:color w:val="auto"/>
          <w:sz w:val="30"/>
          <w:szCs w:val="32"/>
          <w:highlight w:val="none"/>
        </w:rPr>
        <w:t>期竣工（</w:t>
      </w:r>
      <w:r>
        <w:rPr>
          <w:rFonts w:hint="eastAsia" w:eastAsia="仿宋_GB2312"/>
          <w:color w:val="auto"/>
          <w:sz w:val="30"/>
          <w:szCs w:val="32"/>
          <w:highlight w:val="none"/>
        </w:rPr>
        <w:t>包含节点工期延误）</w:t>
      </w:r>
      <w:r>
        <w:rPr>
          <w:rFonts w:eastAsia="仿宋_GB2312"/>
          <w:color w:val="auto"/>
          <w:sz w:val="30"/>
          <w:szCs w:val="32"/>
          <w:highlight w:val="none"/>
        </w:rPr>
        <w:t>违约金的上限：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合同总价20%</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233"/>
    <w:bookmarkEnd w:id="234"/>
    <w:p w14:paraId="5D5D1CA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35" w:name="_Toc303539128"/>
      <w:bookmarkStart w:id="236" w:name="_Toc304295549"/>
      <w:bookmarkStart w:id="237" w:name="_Toc297216178"/>
      <w:bookmarkStart w:id="238" w:name="_Toc297123519"/>
      <w:bookmarkStart w:id="239" w:name="_Toc300934971"/>
      <w:bookmarkStart w:id="240" w:name="_Toc312678015"/>
      <w:r>
        <w:rPr>
          <w:rFonts w:eastAsia="黑体"/>
          <w:color w:val="auto"/>
          <w:sz w:val="30"/>
          <w:szCs w:val="32"/>
          <w:highlight w:val="none"/>
        </w:rPr>
        <w:t>.6 不</w:t>
      </w:r>
      <w:bookmarkEnd w:id="235"/>
      <w:bookmarkEnd w:id="236"/>
      <w:bookmarkEnd w:id="237"/>
      <w:bookmarkEnd w:id="238"/>
      <w:bookmarkEnd w:id="239"/>
      <w:bookmarkEnd w:id="240"/>
      <w:r>
        <w:rPr>
          <w:rFonts w:eastAsia="黑体"/>
          <w:color w:val="auto"/>
          <w:sz w:val="30"/>
          <w:szCs w:val="32"/>
          <w:highlight w:val="none"/>
        </w:rPr>
        <w:t>利物质条件</w:t>
      </w:r>
    </w:p>
    <w:p w14:paraId="3E7C3AA4">
      <w:pPr>
        <w:spacing w:line="360" w:lineRule="auto"/>
        <w:ind w:firstLine="600" w:firstLineChars="200"/>
        <w:jc w:val="left"/>
        <w:rPr>
          <w:rFonts w:eastAsia="仿宋_GB2312"/>
          <w:color w:val="auto"/>
          <w:sz w:val="30"/>
          <w:szCs w:val="32"/>
          <w:highlight w:val="none"/>
        </w:rPr>
      </w:pPr>
      <w:bookmarkStart w:id="241" w:name="_Toc312678016"/>
      <w:bookmarkStart w:id="242" w:name="_Toc300934972"/>
      <w:bookmarkStart w:id="243" w:name="_Toc318581172"/>
      <w:bookmarkStart w:id="244" w:name="_Toc297216179"/>
      <w:bookmarkStart w:id="245" w:name="_Toc297123520"/>
      <w:bookmarkStart w:id="246" w:name="_Toc303539129"/>
      <w:bookmarkStart w:id="247" w:name="_Toc304295550"/>
      <w:r>
        <w:rPr>
          <w:rFonts w:eastAsia="仿宋_GB2312"/>
          <w:color w:val="auto"/>
          <w:sz w:val="30"/>
          <w:szCs w:val="32"/>
          <w:highlight w:val="none"/>
        </w:rPr>
        <w:t>不利物质条件的其他情形和有关约定：</w:t>
      </w:r>
      <w:r>
        <w:rPr>
          <w:rFonts w:hint="eastAsia" w:eastAsia="仿宋_GB2312"/>
          <w:color w:val="auto"/>
          <w:sz w:val="30"/>
          <w:szCs w:val="32"/>
          <w:highlight w:val="none"/>
          <w:u w:val="single"/>
        </w:rPr>
        <w:t xml:space="preserve">按通用合同条款执行  </w:t>
      </w:r>
      <w:r>
        <w:rPr>
          <w:rFonts w:eastAsia="仿宋_GB2312"/>
          <w:color w:val="auto"/>
          <w:sz w:val="30"/>
          <w:szCs w:val="32"/>
          <w:highlight w:val="none"/>
        </w:rPr>
        <w:t>。</w:t>
      </w:r>
    </w:p>
    <w:bookmarkEnd w:id="241"/>
    <w:bookmarkEnd w:id="242"/>
    <w:bookmarkEnd w:id="243"/>
    <w:bookmarkEnd w:id="244"/>
    <w:bookmarkEnd w:id="245"/>
    <w:bookmarkEnd w:id="246"/>
    <w:bookmarkEnd w:id="247"/>
    <w:p w14:paraId="2D0BBF93">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48" w:name="_Toc297216180"/>
      <w:bookmarkStart w:id="249" w:name="_Toc312678017"/>
      <w:bookmarkStart w:id="250" w:name="_Toc304295551"/>
      <w:bookmarkStart w:id="251" w:name="_Toc303539130"/>
      <w:bookmarkStart w:id="252" w:name="_Toc297123521"/>
      <w:bookmarkStart w:id="253" w:name="_Toc300934973"/>
      <w:r>
        <w:rPr>
          <w:rFonts w:eastAsia="黑体"/>
          <w:color w:val="auto"/>
          <w:sz w:val="30"/>
          <w:szCs w:val="32"/>
          <w:highlight w:val="none"/>
        </w:rPr>
        <w:t>.7异常恶劣的气候条件</w:t>
      </w:r>
    </w:p>
    <w:bookmarkEnd w:id="248"/>
    <w:bookmarkEnd w:id="249"/>
    <w:bookmarkEnd w:id="250"/>
    <w:bookmarkEnd w:id="251"/>
    <w:bookmarkEnd w:id="252"/>
    <w:bookmarkEnd w:id="253"/>
    <w:p w14:paraId="2407184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发包人和承包人同意以下情形视为异常恶劣的气候条件：</w:t>
      </w:r>
      <w:r>
        <w:rPr>
          <w:rFonts w:hint="eastAsia" w:eastAsia="仿宋_GB2312"/>
          <w:color w:val="auto"/>
          <w:sz w:val="30"/>
          <w:szCs w:val="32"/>
          <w:highlight w:val="none"/>
          <w:u w:val="single"/>
        </w:rPr>
        <w:t>如发生50年一遇的自然灾害(如台风、雪灾、洪水、高温)，出现异常恶劣的气候条件，发包人原则上同意承包人提出的延长工期的要求，但不支持承包人因此提出的费用索赔</w:t>
      </w:r>
      <w:r>
        <w:rPr>
          <w:rFonts w:hint="eastAsia" w:eastAsia="仿宋_GB2312"/>
          <w:color w:val="auto"/>
          <w:sz w:val="30"/>
          <w:szCs w:val="32"/>
          <w:highlight w:val="none"/>
        </w:rPr>
        <w:t>。</w:t>
      </w:r>
    </w:p>
    <w:p w14:paraId="61EB93CC">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7.9 提前竣工的奖励</w:t>
      </w:r>
    </w:p>
    <w:p w14:paraId="2E01C4E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7.9.2提前竣工的奖励：</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无 </w:t>
      </w:r>
      <w:r>
        <w:rPr>
          <w:rFonts w:eastAsia="仿宋_GB2312"/>
          <w:color w:val="auto"/>
          <w:sz w:val="30"/>
          <w:szCs w:val="32"/>
          <w:highlight w:val="none"/>
          <w:u w:val="single"/>
        </w:rPr>
        <w:t xml:space="preserve">   </w:t>
      </w:r>
      <w:r>
        <w:rPr>
          <w:rFonts w:eastAsia="仿宋_GB2312"/>
          <w:color w:val="auto"/>
          <w:sz w:val="30"/>
          <w:szCs w:val="32"/>
          <w:highlight w:val="none"/>
        </w:rPr>
        <w:t>。</w:t>
      </w:r>
    </w:p>
    <w:p w14:paraId="615E6AF4">
      <w:pPr>
        <w:pStyle w:val="5"/>
        <w:spacing w:before="120" w:after="120" w:line="360" w:lineRule="auto"/>
        <w:rPr>
          <w:rFonts w:ascii="Times New Roman" w:hAnsi="Times New Roman" w:eastAsia="黑体"/>
          <w:b w:val="0"/>
          <w:color w:val="auto"/>
          <w:sz w:val="32"/>
          <w:szCs w:val="32"/>
          <w:highlight w:val="none"/>
        </w:rPr>
      </w:pPr>
      <w:bookmarkStart w:id="254" w:name="_Toc351203640"/>
      <w:r>
        <w:rPr>
          <w:rFonts w:ascii="Times New Roman" w:hAnsi="Times New Roman" w:eastAsia="黑体"/>
          <w:b w:val="0"/>
          <w:color w:val="auto"/>
          <w:sz w:val="32"/>
          <w:szCs w:val="32"/>
          <w:highlight w:val="none"/>
        </w:rPr>
        <w:t>8. 材料与设备</w:t>
      </w:r>
      <w:bookmarkEnd w:id="254"/>
    </w:p>
    <w:bookmarkEnd w:id="189"/>
    <w:bookmarkEnd w:id="190"/>
    <w:bookmarkEnd w:id="191"/>
    <w:bookmarkEnd w:id="192"/>
    <w:bookmarkEnd w:id="193"/>
    <w:bookmarkEnd w:id="194"/>
    <w:bookmarkEnd w:id="195"/>
    <w:bookmarkEnd w:id="196"/>
    <w:bookmarkEnd w:id="197"/>
    <w:bookmarkEnd w:id="198"/>
    <w:p w14:paraId="7612AA91">
      <w:pPr>
        <w:spacing w:after="120" w:line="360" w:lineRule="auto"/>
        <w:ind w:firstLine="600" w:firstLineChars="200"/>
        <w:rPr>
          <w:rFonts w:eastAsia="仿宋_GB2312"/>
          <w:color w:val="auto"/>
          <w:sz w:val="30"/>
          <w:szCs w:val="32"/>
          <w:highlight w:val="none"/>
        </w:rPr>
      </w:pPr>
      <w:r>
        <w:rPr>
          <w:rFonts w:eastAsia="黑体"/>
          <w:color w:val="auto"/>
          <w:sz w:val="30"/>
          <w:szCs w:val="32"/>
          <w:highlight w:val="none"/>
        </w:rPr>
        <w:t>8.1</w:t>
      </w:r>
      <w:r>
        <w:rPr>
          <w:rFonts w:hint="eastAsia" w:eastAsia="仿宋_GB2312"/>
          <w:color w:val="auto"/>
          <w:sz w:val="30"/>
          <w:szCs w:val="32"/>
          <w:highlight w:val="none"/>
        </w:rPr>
        <w:t>发包人供应的材料承包人不得收取采保费 ，承包人应提前7天以书面形式向发包人提交材料供应计划，并附材料清单（须包含材料品种、规格、型号、数量等信息），书面通知必须经发包人现场代表签字方可有效。因承包人报送材料计划不及时所造成的工期延误、费用损失由承包人承担。</w:t>
      </w:r>
    </w:p>
    <w:p w14:paraId="3825E466">
      <w:pPr>
        <w:spacing w:after="120" w:line="360" w:lineRule="auto"/>
        <w:ind w:firstLine="600" w:firstLineChars="200"/>
        <w:rPr>
          <w:rFonts w:eastAsia="仿宋_GB2312"/>
          <w:color w:val="auto"/>
          <w:sz w:val="30"/>
          <w:szCs w:val="32"/>
          <w:highlight w:val="none"/>
        </w:rPr>
      </w:pPr>
      <w:r>
        <w:rPr>
          <w:rFonts w:eastAsia="仿宋_GB2312"/>
          <w:color w:val="auto"/>
          <w:sz w:val="30"/>
          <w:szCs w:val="32"/>
          <w:highlight w:val="none"/>
        </w:rPr>
        <w:t>8.2</w:t>
      </w:r>
      <w:r>
        <w:rPr>
          <w:rFonts w:hint="eastAsia" w:eastAsia="仿宋_GB2312"/>
          <w:color w:val="auto"/>
          <w:sz w:val="30"/>
          <w:szCs w:val="32"/>
          <w:highlight w:val="none"/>
        </w:rPr>
        <w:t>承包人负责采购的材料设备，在使用推荐品牌前必须报发包人同意后方可使用，原则上使用发包人推荐品牌，并在采购前十四日内将所采购材料设备的厂家、技术参数、品牌、质量等级等指标以书面形式通知发包人，发包人收到承包人的书面报告后十四日内予以确认，经发包人认质、封样后承包人方可采购进场；承包人向发包人提供的产品合格证明文件及出厂证明文件必须为原件。</w:t>
      </w:r>
    </w:p>
    <w:p w14:paraId="1294B872">
      <w:pPr>
        <w:pStyle w:val="8"/>
        <w:ind w:left="63" w:right="63" w:firstLine="600" w:firstLineChars="200"/>
        <w:jc w:val="left"/>
        <w:rPr>
          <w:rFonts w:eastAsia="仿宋_GB2312"/>
          <w:color w:val="auto"/>
          <w:highlight w:val="none"/>
        </w:rPr>
      </w:pPr>
      <w:r>
        <w:rPr>
          <w:rFonts w:hint="eastAsia" w:eastAsia="仿宋_GB2312"/>
          <w:color w:val="auto"/>
          <w:sz w:val="30"/>
          <w:szCs w:val="32"/>
          <w:highlight w:val="none"/>
        </w:rPr>
        <w:t>承包人采购的钢材须属于以下品牌之一：河钢集团有限公司、山西正大制管有限公司、陕西友发钢管有限公司、陕西钢铁集团有限公司、昆明钢铁控股有限公司、河北敬业精密制管有限公司、福建宁德正上管业科技有限公司、广西北港新材料有限公司、山西晋南钢铁集团有限公司、天津钢管集团股份有限公司、山东盛阳金属科技股份有限公司、青山控股集团有限公司、浦项(张家港) 不锈钢股份有限公司、山西太钢不锈钢股份有限公司、宁波宝新不锈钢有限公司、烟台东方不锈钢工业有限公司、山东泰山钢铁集团、中国宝武钢铁集团有限公司、酒泉钢铁(集团)有限责任公司、河北新武安钢铁集团有限公司、唐山正丰钢铁有限公司、唐山钢铁集团有限责任公司、马鞍山钢铁股份有限公司、内蒙古包钢钢联股份有限公司、河北津西钢铁集团股份有限公司、广西柳州钢铁集团有限公司、涟源钢铁集团有限公司、天津方聚汇源钢管有限公司、邯郸正大制管集团股份有限公司、四川振鸿钢制品有限公司、重庆三钢钢业有限责任公司、江阴华润制钢有限公司、天津友发钢管集团股份有限公司、天津利达钢管集团有限公司、青拓集团有限公司、武钢集团有限公司、邯郸钢铁集团有限责任公司、太原钢铁(集团)有限公司、攀钢集团有限公司、江苏沙钢集团有限公司、莱芜钢铁集团有限公司、济钢集团有限公司、安阳钢铁集团有限责任公司、包头钢铁 (集团) 有限责任公司、重庆钢铁 (集团)有限责任公司、北京建龙重工集团有限公司、湖南钢铁集团有限公司、中信泰富钢铁贸易有限公司、山东钢铁集团有限公司、上海德龙钢铁集团有限公司、首钢集团有限公司、鞍山钢铁集团有限公司、河钢集团有限公司、马钢（集团）控股有限公司、本溪钢铁（集团）有限责任公司、四川省达州钢铁集团有限责任公司、成渝钒钛科技有限公司、泸州鑫阳钒钛钢铁有限公司、重庆永航钢铁集团有限公司或相当于同等档次品牌。</w:t>
      </w:r>
    </w:p>
    <w:p w14:paraId="51AAF574">
      <w:pPr>
        <w:spacing w:after="120"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承包人采购的电缆须属于以下品牌之一：昆明电缆集团股份有限公司、安徽天康(集团)股份有限公司、上海起帆电缆股份有限公司、宝胜集团有限公司、青岛汉缆股份有限公司、江苏上上电缆集团有限公司、远东电缆有限公司、上海熊猫线缆股份有限公司、东莞市民兴电缆有限公司、特变电工(德阳)电缆股份有限公司、宝胜科技创新股份有限公司、正泰集团股份有限公司、德力西集团有限公司、金龙羽集团股份有限公司、金杯电工股份有限公司、上海胜华电缆科技集团有限公司、亨通集团有限公司、山东阳谷电缆集团有限公司、无锡江南电缆有限公司、江西金一电缆有限公司、重庆三峡电缆(集团)有限公司、渝丰科技股份有限公司、四川鑫电电缆有限公司、安徽江淮电缆集团有限公司、上海沪安电缆(集团)有限公司、绿宝电缆(集团)有限公司、金杯电工(成都)有限公司、重庆泰山电缆有限公司、重庆鸽牌电线电缆有限公司或相当于同等档次品牌。</w:t>
      </w:r>
    </w:p>
    <w:p w14:paraId="2BC84244">
      <w:pPr>
        <w:spacing w:after="120"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承包人采购的油漆须属于以下品牌之一：重庆三峡油漆股份有限公司、郑州双塔涂料有限公司、湖南湘江涂料集团有限公司、江苏兰陵化工集团有限公司、江苏云松防腐材料有限公司、陕西宝塔山油漆股份有限公司、南方牌油漆（广东珠江化工涂料有限公司）或相当于同等档次品牌。</w:t>
      </w:r>
    </w:p>
    <w:p w14:paraId="1D32D235">
      <w:pPr>
        <w:pStyle w:val="8"/>
        <w:ind w:left="63" w:right="63" w:firstLine="600"/>
        <w:jc w:val="left"/>
        <w:rPr>
          <w:rFonts w:eastAsia="仿宋_GB2312"/>
          <w:color w:val="auto"/>
          <w:sz w:val="30"/>
          <w:szCs w:val="32"/>
          <w:highlight w:val="none"/>
        </w:rPr>
      </w:pPr>
      <w:r>
        <w:rPr>
          <w:rFonts w:hint="eastAsia" w:eastAsia="仿宋_GB2312"/>
          <w:color w:val="auto"/>
          <w:sz w:val="30"/>
          <w:szCs w:val="32"/>
          <w:highlight w:val="none"/>
        </w:rPr>
        <w:t>承包人采购的碳钢或不锈钢管件法兰须属于以下品牌之一：河北洲际重工有限公司，河北广浩管件集团，河北海浩高压法兰管件集团，河北圣天管件集团有限公司、江苏武进不锈股份有限公司或相当于同等档次品牌。</w:t>
      </w:r>
    </w:p>
    <w:p w14:paraId="5540CF0E">
      <w:pPr>
        <w:ind w:firstLine="600"/>
        <w:rPr>
          <w:rFonts w:eastAsia="仿宋_GB2312"/>
          <w:color w:val="auto"/>
          <w:kern w:val="0"/>
          <w:sz w:val="30"/>
          <w:szCs w:val="32"/>
          <w:highlight w:val="none"/>
        </w:rPr>
      </w:pPr>
      <w:r>
        <w:rPr>
          <w:rFonts w:hint="eastAsia" w:eastAsia="仿宋_GB2312"/>
          <w:color w:val="auto"/>
          <w:kern w:val="0"/>
          <w:sz w:val="30"/>
          <w:szCs w:val="32"/>
          <w:highlight w:val="none"/>
        </w:rPr>
        <w:t>如确需采购以上品牌以外的材料，须经发包人书面同意，否则相关材料不允许用于本工程，已用于本工程的限期整改，逾期未整改完毕，发包人有权单方解除合同，不承担违约责任。如发包人选择解除合同，承包人应于发包人解除合同之日起5日内向发包人支付合同金额10%的违约金，逾期支付，承包人应额外向发包人支付未付金额0.5‰/天的逾期违约金直至完全支付时。如发包人选择不解除合同，发包人有权按照本合同招标控制价中对应清单中材料单价的50%乘以对应材料的数量对承包人扣除违约金。如该材料属于另行认质核价的材料，实际用于现场的材料品牌与核价的品牌不一致，发包人有权按照核价单价的50%乘以对应材料的数量对承包人扣除违约金。</w:t>
      </w:r>
    </w:p>
    <w:p w14:paraId="4ADE6894">
      <w:pPr>
        <w:ind w:firstLine="600"/>
        <w:rPr>
          <w:rFonts w:eastAsia="仿宋_GB2312"/>
          <w:color w:val="auto"/>
          <w:kern w:val="0"/>
          <w:sz w:val="30"/>
          <w:szCs w:val="32"/>
          <w:highlight w:val="none"/>
        </w:rPr>
      </w:pPr>
      <w:r>
        <w:rPr>
          <w:rFonts w:hint="eastAsia" w:eastAsia="仿宋_GB2312"/>
          <w:color w:val="auto"/>
          <w:kern w:val="0"/>
          <w:sz w:val="30"/>
          <w:szCs w:val="32"/>
          <w:highlight w:val="none"/>
        </w:rPr>
        <w:t xml:space="preserve">承包人对发包人认质核价结果有异议的，应在收到核价结果后 </w:t>
      </w:r>
      <w:r>
        <w:rPr>
          <w:rFonts w:eastAsia="仿宋_GB2312"/>
          <w:color w:val="auto"/>
          <w:kern w:val="0"/>
          <w:sz w:val="30"/>
          <w:szCs w:val="32"/>
          <w:highlight w:val="none"/>
        </w:rPr>
        <w:t>10</w:t>
      </w:r>
      <w:r>
        <w:rPr>
          <w:rFonts w:hint="eastAsia" w:eastAsia="仿宋_GB2312"/>
          <w:color w:val="auto"/>
          <w:kern w:val="0"/>
          <w:sz w:val="30"/>
          <w:szCs w:val="32"/>
          <w:highlight w:val="none"/>
        </w:rPr>
        <w:t xml:space="preserve">日内书面提出，发包人应在收到异议后 </w:t>
      </w:r>
      <w:r>
        <w:rPr>
          <w:rFonts w:eastAsia="仿宋_GB2312"/>
          <w:color w:val="auto"/>
          <w:kern w:val="0"/>
          <w:sz w:val="30"/>
          <w:szCs w:val="32"/>
          <w:highlight w:val="none"/>
        </w:rPr>
        <w:t>7</w:t>
      </w:r>
      <w:r>
        <w:rPr>
          <w:rFonts w:hint="eastAsia" w:eastAsia="仿宋_GB2312"/>
          <w:color w:val="auto"/>
          <w:kern w:val="0"/>
          <w:sz w:val="30"/>
          <w:szCs w:val="32"/>
          <w:highlight w:val="none"/>
        </w:rPr>
        <w:t xml:space="preserve">日内组织复核并出具第二次核价结果。承包人应于收到第二次核价结果之日起 </w:t>
      </w:r>
      <w:r>
        <w:rPr>
          <w:rFonts w:eastAsia="仿宋_GB2312"/>
          <w:color w:val="auto"/>
          <w:kern w:val="0"/>
          <w:sz w:val="30"/>
          <w:szCs w:val="32"/>
          <w:highlight w:val="none"/>
        </w:rPr>
        <w:t>5</w:t>
      </w:r>
      <w:r>
        <w:rPr>
          <w:rFonts w:hint="eastAsia" w:eastAsia="仿宋_GB2312"/>
          <w:color w:val="auto"/>
          <w:kern w:val="0"/>
          <w:sz w:val="30"/>
          <w:szCs w:val="32"/>
          <w:highlight w:val="none"/>
        </w:rPr>
        <w:t>日内书面确认接受；逾期未书面确认或提出异议的，视为承包人已接受该次核价结果。若承包人对第二次核价结果仍不接受，则发包人有权单方决定将该部分材料变更为甲供材料（即由发包人自行采购），原合同约定的承包人供货义务相应免除。发包人作出变更决定后，应书面通知承包人，承包人须无条件配合相关交接工作，包括但不限于提供材料清单、供应</w:t>
      </w:r>
      <w:r>
        <w:rPr>
          <w:rFonts w:eastAsia="仿宋_GB2312"/>
          <w:color w:val="auto"/>
          <w:kern w:val="0"/>
          <w:sz w:val="30"/>
          <w:szCs w:val="32"/>
          <w:highlight w:val="none"/>
        </w:rPr>
        <w:t>计划</w:t>
      </w:r>
      <w:r>
        <w:rPr>
          <w:rFonts w:hint="eastAsia" w:eastAsia="仿宋_GB2312"/>
          <w:color w:val="auto"/>
          <w:kern w:val="0"/>
          <w:sz w:val="30"/>
          <w:szCs w:val="32"/>
          <w:highlight w:val="none"/>
        </w:rPr>
        <w:t>等。在上述甲供变更情形下，若发包人实际采购该部分材料的价格（不含税）低于第二次核价结果的，承包人须按（第二次核价结果单价-发包人实际采购单价）×该部分材料实际用量×</w:t>
      </w:r>
      <w:r>
        <w:rPr>
          <w:rFonts w:eastAsia="仿宋_GB2312"/>
          <w:color w:val="auto"/>
          <w:kern w:val="0"/>
          <w:sz w:val="30"/>
          <w:szCs w:val="32"/>
          <w:highlight w:val="none"/>
        </w:rPr>
        <w:t>50</w:t>
      </w:r>
      <w:r>
        <w:rPr>
          <w:rFonts w:hint="eastAsia" w:eastAsia="仿宋_GB2312"/>
          <w:color w:val="auto"/>
          <w:kern w:val="0"/>
          <w:sz w:val="30"/>
          <w:szCs w:val="32"/>
          <w:highlight w:val="none"/>
        </w:rPr>
        <w:t>%向发包人支付违约金，发包人有权从应付承包人的任何工程款中直接抵扣，且发包人有权向承包人追偿因此造成的工期损失。</w:t>
      </w:r>
    </w:p>
    <w:p w14:paraId="6168804C">
      <w:pPr>
        <w:spacing w:after="120" w:line="360" w:lineRule="auto"/>
        <w:ind w:firstLine="600" w:firstLineChars="200"/>
        <w:rPr>
          <w:rFonts w:eastAsia="仿宋_GB2312"/>
          <w:color w:val="auto"/>
          <w:sz w:val="30"/>
          <w:szCs w:val="32"/>
          <w:highlight w:val="none"/>
        </w:rPr>
      </w:pPr>
      <w:r>
        <w:rPr>
          <w:rFonts w:eastAsia="仿宋_GB2312"/>
          <w:color w:val="auto"/>
          <w:sz w:val="30"/>
          <w:szCs w:val="32"/>
          <w:highlight w:val="none"/>
        </w:rPr>
        <w:t>8.3</w:t>
      </w:r>
      <w:r>
        <w:rPr>
          <w:rFonts w:hint="eastAsia" w:eastAsia="仿宋_GB2312"/>
          <w:color w:val="auto"/>
          <w:sz w:val="30"/>
          <w:szCs w:val="32"/>
          <w:highlight w:val="none"/>
        </w:rPr>
        <w:t>发包人供应材料到工程所在地发包人厂区内任何地点，承包人负责材料到场后不分昼夜的随到随卸，并负责材料入库堆放整齐，卸货及材料场内转运费用由承包人承担。承包人需与发包人对甲供材移交清单共同签字确认，</w:t>
      </w:r>
      <w:r>
        <w:rPr>
          <w:rFonts w:hint="eastAsia" w:eastAsia="仿宋_GB2312"/>
          <w:color w:val="auto"/>
          <w:sz w:val="30"/>
          <w:szCs w:val="32"/>
          <w:highlight w:val="none"/>
          <w:lang w:eastAsia="zh-CN"/>
        </w:rPr>
        <w:t>承包人收到移交清单后3日内未签字确认也未提出书面异议的，</w:t>
      </w:r>
      <w:r>
        <w:rPr>
          <w:rFonts w:hint="eastAsia" w:eastAsia="仿宋_GB2312"/>
          <w:color w:val="auto"/>
          <w:sz w:val="30"/>
          <w:szCs w:val="32"/>
          <w:highlight w:val="none"/>
        </w:rPr>
        <w:t>以发包人所提供材料供应商送货清单</w:t>
      </w:r>
      <w:r>
        <w:rPr>
          <w:rFonts w:hint="eastAsia" w:eastAsia="仿宋_GB2312"/>
          <w:color w:val="auto"/>
          <w:sz w:val="30"/>
          <w:szCs w:val="32"/>
          <w:highlight w:val="none"/>
          <w:lang w:eastAsia="zh-CN"/>
        </w:rPr>
        <w:t>及现场验收记录</w:t>
      </w:r>
      <w:r>
        <w:rPr>
          <w:rFonts w:hint="eastAsia" w:eastAsia="仿宋_GB2312"/>
          <w:color w:val="auto"/>
          <w:sz w:val="30"/>
          <w:szCs w:val="32"/>
          <w:highlight w:val="none"/>
        </w:rPr>
        <w:t>为准。甲供材移交承包人时，随材料到场的相关资料一并移交承包人，由承包人整理保管，最终作为竣工资料移交发包人，如承包人管理不善导致资料遗失或移交资料不完善，按专用条款3.1条关于逾期提交竣工资料相关违约条款执行。</w:t>
      </w:r>
    </w:p>
    <w:p w14:paraId="556D28D3">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8</w:t>
      </w:r>
      <w:bookmarkStart w:id="255" w:name="_Toc297120467"/>
      <w:bookmarkStart w:id="256" w:name="_Toc296891207"/>
      <w:bookmarkStart w:id="257" w:name="_Toc297048353"/>
      <w:bookmarkStart w:id="258" w:name="_Toc297216186"/>
      <w:bookmarkStart w:id="259" w:name="_Toc296347166"/>
      <w:bookmarkStart w:id="260" w:name="_Toc312678019"/>
      <w:bookmarkStart w:id="261" w:name="_Toc300934979"/>
      <w:bookmarkStart w:id="262" w:name="_Toc312677493"/>
      <w:bookmarkStart w:id="263" w:name="_Toc280868654"/>
      <w:bookmarkStart w:id="264" w:name="_Toc296346668"/>
      <w:bookmarkStart w:id="265" w:name="_Toc297123527"/>
      <w:bookmarkStart w:id="266" w:name="_Toc296890995"/>
      <w:bookmarkStart w:id="267" w:name="_Toc296944506"/>
      <w:bookmarkStart w:id="268" w:name="_Toc303539136"/>
      <w:bookmarkStart w:id="269" w:name="_Toc296503167"/>
      <w:bookmarkStart w:id="270" w:name="_Toc292559372"/>
      <w:bookmarkStart w:id="271" w:name="_Toc304295556"/>
      <w:bookmarkStart w:id="272" w:name="_Toc292559877"/>
      <w:bookmarkStart w:id="273" w:name="_Toc267251424"/>
      <w:bookmarkStart w:id="274" w:name="_Toc280868656"/>
      <w:bookmarkStart w:id="275" w:name="_Toc280868655"/>
      <w:r>
        <w:rPr>
          <w:rFonts w:eastAsia="黑体"/>
          <w:color w:val="auto"/>
          <w:sz w:val="30"/>
          <w:szCs w:val="32"/>
          <w:highlight w:val="none"/>
        </w:rPr>
        <w:t>.4材料与工程设备的保管与使用</w:t>
      </w:r>
    </w:p>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14:paraId="2D427CF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8</w:t>
      </w:r>
      <w:bookmarkStart w:id="276" w:name="_Toc292559878"/>
      <w:bookmarkStart w:id="277" w:name="_Toc292559373"/>
      <w:bookmarkStart w:id="278" w:name="_Toc297123528"/>
      <w:bookmarkStart w:id="279" w:name="_Toc296944507"/>
      <w:bookmarkStart w:id="280" w:name="_Toc304295557"/>
      <w:bookmarkStart w:id="281" w:name="_Toc296347167"/>
      <w:bookmarkStart w:id="282" w:name="_Toc312677494"/>
      <w:bookmarkStart w:id="283" w:name="_Toc296503168"/>
      <w:bookmarkStart w:id="284" w:name="_Toc296891208"/>
      <w:bookmarkStart w:id="285" w:name="_Toc318581173"/>
      <w:bookmarkStart w:id="286" w:name="_Toc297048354"/>
      <w:bookmarkStart w:id="287" w:name="_Toc296346669"/>
      <w:bookmarkStart w:id="288" w:name="_Toc296890996"/>
      <w:bookmarkStart w:id="289" w:name="_Toc312678020"/>
      <w:bookmarkStart w:id="290" w:name="_Toc300934980"/>
      <w:bookmarkStart w:id="291" w:name="_Toc303539137"/>
      <w:bookmarkStart w:id="292" w:name="_Toc297216187"/>
      <w:bookmarkStart w:id="293" w:name="_Toc297120468"/>
      <w:r>
        <w:rPr>
          <w:rFonts w:eastAsia="仿宋_GB2312"/>
          <w:color w:val="auto"/>
          <w:sz w:val="30"/>
          <w:szCs w:val="32"/>
          <w:highlight w:val="none"/>
        </w:rPr>
        <w:t>.4.1发包人供应的材料设备的保管费用的承担：</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 xml:space="preserve">  </w:t>
      </w:r>
      <w:r>
        <w:rPr>
          <w:rFonts w:eastAsia="仿宋_GB2312"/>
          <w:color w:val="auto"/>
          <w:sz w:val="30"/>
          <w:szCs w:val="32"/>
          <w:highlight w:val="none"/>
        </w:rPr>
        <w:t>。</w:t>
      </w:r>
      <w:bookmarkEnd w:id="276"/>
      <w:bookmarkEnd w:id="277"/>
    </w:p>
    <w:p w14:paraId="5E35137B">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8.8 施工设备和临时设施</w:t>
      </w:r>
    </w:p>
    <w:p w14:paraId="5858D0F1">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8.8.1 承包人提供的施工设备和临时设施</w:t>
      </w:r>
    </w:p>
    <w:p w14:paraId="49544A59">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关于修建临时设施费用承担的约定：</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需要临时占地的，应由</w:t>
      </w:r>
      <w:r>
        <w:rPr>
          <w:rFonts w:hint="eastAsia" w:eastAsia="仿宋_GB2312"/>
          <w:color w:val="auto"/>
          <w:sz w:val="30"/>
          <w:szCs w:val="32"/>
          <w:highlight w:val="none"/>
          <w:u w:val="single"/>
        </w:rPr>
        <w:t>承包人</w:t>
      </w:r>
      <w:r>
        <w:rPr>
          <w:rFonts w:eastAsia="仿宋_GB2312"/>
          <w:color w:val="auto"/>
          <w:sz w:val="30"/>
          <w:szCs w:val="32"/>
          <w:highlight w:val="none"/>
          <w:u w:val="single"/>
        </w:rPr>
        <w:t xml:space="preserve">办理申请手续并承担相应费用   </w:t>
      </w:r>
      <w:r>
        <w:rPr>
          <w:rFonts w:eastAsia="仿宋_GB2312"/>
          <w:color w:val="auto"/>
          <w:sz w:val="30"/>
          <w:szCs w:val="32"/>
          <w:highlight w:val="none"/>
        </w:rPr>
        <w:t>。</w:t>
      </w:r>
    </w:p>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14:paraId="32BF8ACD">
      <w:pPr>
        <w:pStyle w:val="5"/>
        <w:spacing w:before="120" w:after="120" w:line="360" w:lineRule="auto"/>
        <w:rPr>
          <w:rFonts w:ascii="Times New Roman" w:hAnsi="Times New Roman" w:eastAsia="黑体"/>
          <w:b w:val="0"/>
          <w:color w:val="auto"/>
          <w:sz w:val="32"/>
          <w:szCs w:val="32"/>
          <w:highlight w:val="none"/>
        </w:rPr>
      </w:pPr>
      <w:bookmarkStart w:id="294" w:name="_Toc351203641"/>
      <w:r>
        <w:rPr>
          <w:rFonts w:ascii="Times New Roman" w:hAnsi="Times New Roman" w:eastAsia="黑体"/>
          <w:b w:val="0"/>
          <w:color w:val="auto"/>
          <w:sz w:val="32"/>
          <w:szCs w:val="32"/>
          <w:highlight w:val="none"/>
        </w:rPr>
        <w:t>9</w:t>
      </w:r>
      <w:bookmarkEnd w:id="273"/>
      <w:bookmarkEnd w:id="274"/>
      <w:bookmarkEnd w:id="275"/>
      <w:bookmarkStart w:id="295" w:name="_Toc303539139"/>
      <w:bookmarkStart w:id="296" w:name="_Toc297123533"/>
      <w:bookmarkStart w:id="297" w:name="_Toc300934982"/>
      <w:bookmarkStart w:id="298" w:name="_Toc312678021"/>
      <w:bookmarkStart w:id="299" w:name="_Toc297216192"/>
      <w:bookmarkStart w:id="300" w:name="_Toc304295559"/>
      <w:bookmarkStart w:id="301" w:name="_Toc312677495"/>
      <w:bookmarkStart w:id="302" w:name="_Toc296503173"/>
      <w:bookmarkStart w:id="303" w:name="_Toc297120473"/>
      <w:bookmarkStart w:id="304" w:name="_Toc267251427"/>
      <w:bookmarkStart w:id="305" w:name="_Toc296891001"/>
      <w:bookmarkStart w:id="306" w:name="_Toc296347172"/>
      <w:bookmarkStart w:id="307" w:name="_Toc292559378"/>
      <w:bookmarkStart w:id="308" w:name="_Toc296891213"/>
      <w:bookmarkStart w:id="309" w:name="_Toc296944512"/>
      <w:bookmarkStart w:id="310" w:name="_Toc267251428"/>
      <w:bookmarkStart w:id="311" w:name="_Toc296346674"/>
      <w:bookmarkStart w:id="312" w:name="_Toc297048359"/>
      <w:bookmarkStart w:id="313" w:name="_Toc292559883"/>
      <w:r>
        <w:rPr>
          <w:rFonts w:ascii="Times New Roman" w:hAnsi="Times New Roman" w:eastAsia="黑体"/>
          <w:b w:val="0"/>
          <w:color w:val="auto"/>
          <w:sz w:val="32"/>
          <w:szCs w:val="32"/>
          <w:highlight w:val="none"/>
        </w:rPr>
        <w:t>. 试验与检验</w:t>
      </w:r>
      <w:bookmarkEnd w:id="294"/>
    </w:p>
    <w:bookmarkEnd w:id="295"/>
    <w:bookmarkEnd w:id="296"/>
    <w:bookmarkEnd w:id="297"/>
    <w:bookmarkEnd w:id="298"/>
    <w:bookmarkEnd w:id="299"/>
    <w:bookmarkEnd w:id="300"/>
    <w:bookmarkEnd w:id="301"/>
    <w:p w14:paraId="2E487FBF">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9</w:t>
      </w:r>
      <w:bookmarkStart w:id="314" w:name="_Toc297123534"/>
      <w:bookmarkStart w:id="315" w:name="_Toc297216193"/>
      <w:bookmarkStart w:id="316" w:name="_Toc312678022"/>
      <w:bookmarkStart w:id="317" w:name="_Toc312677496"/>
      <w:bookmarkStart w:id="318" w:name="_Toc303539140"/>
      <w:bookmarkStart w:id="319" w:name="_Toc300934983"/>
      <w:bookmarkStart w:id="320" w:name="_Toc304295560"/>
      <w:r>
        <w:rPr>
          <w:rFonts w:eastAsia="黑体"/>
          <w:color w:val="auto"/>
          <w:sz w:val="30"/>
          <w:szCs w:val="32"/>
          <w:highlight w:val="none"/>
        </w:rPr>
        <w:t>.1试验设备与试验人员</w:t>
      </w:r>
    </w:p>
    <w:bookmarkEnd w:id="314"/>
    <w:bookmarkEnd w:id="315"/>
    <w:bookmarkEnd w:id="316"/>
    <w:bookmarkEnd w:id="317"/>
    <w:bookmarkEnd w:id="318"/>
    <w:bookmarkEnd w:id="319"/>
    <w:bookmarkEnd w:id="320"/>
    <w:p w14:paraId="45A91D4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9</w:t>
      </w:r>
      <w:bookmarkStart w:id="321" w:name="_Toc303539141"/>
      <w:bookmarkStart w:id="322" w:name="_Toc312677497"/>
      <w:bookmarkStart w:id="323" w:name="_Toc304295561"/>
      <w:bookmarkStart w:id="324" w:name="_Toc297216194"/>
      <w:bookmarkStart w:id="325" w:name="_Toc312678023"/>
      <w:bookmarkStart w:id="326" w:name="_Toc297123535"/>
      <w:bookmarkStart w:id="327" w:name="_Toc300934984"/>
      <w:bookmarkStart w:id="328" w:name="_Toc318581174"/>
      <w:r>
        <w:rPr>
          <w:rFonts w:eastAsia="仿宋_GB2312"/>
          <w:color w:val="auto"/>
          <w:sz w:val="30"/>
          <w:szCs w:val="32"/>
          <w:highlight w:val="none"/>
        </w:rPr>
        <w:t>.1.2 试验设备</w:t>
      </w:r>
    </w:p>
    <w:p w14:paraId="29973758">
      <w:pPr>
        <w:spacing w:line="360" w:lineRule="auto"/>
        <w:jc w:val="left"/>
        <w:rPr>
          <w:rFonts w:eastAsia="仿宋_GB2312"/>
          <w:color w:val="auto"/>
          <w:sz w:val="30"/>
          <w:szCs w:val="32"/>
          <w:highlight w:val="none"/>
        </w:rPr>
      </w:pPr>
      <w:r>
        <w:rPr>
          <w:rFonts w:eastAsia="仿宋_GB2312"/>
          <w:color w:val="auto"/>
          <w:sz w:val="30"/>
          <w:szCs w:val="32"/>
          <w:highlight w:val="none"/>
        </w:rPr>
        <w:t>施工现场需要配置的试验场所、</w:t>
      </w:r>
      <w:r>
        <w:rPr>
          <w:rFonts w:hint="eastAsia" w:eastAsia="仿宋_GB2312"/>
          <w:color w:val="auto"/>
          <w:sz w:val="30"/>
          <w:szCs w:val="32"/>
          <w:highlight w:val="none"/>
        </w:rPr>
        <w:t>配备的实验设备及其他实验条件</w:t>
      </w:r>
      <w:bookmarkEnd w:id="321"/>
      <w:bookmarkEnd w:id="322"/>
      <w:bookmarkEnd w:id="323"/>
      <w:bookmarkEnd w:id="324"/>
      <w:bookmarkEnd w:id="325"/>
      <w:bookmarkEnd w:id="326"/>
      <w:bookmarkEnd w:id="327"/>
      <w:bookmarkStart w:id="329" w:name="_Toc297216195"/>
      <w:bookmarkStart w:id="330" w:name="_Toc297123536"/>
      <w:bookmarkStart w:id="331" w:name="_Toc312677498"/>
      <w:bookmarkStart w:id="332" w:name="_Toc304295562"/>
      <w:bookmarkStart w:id="333" w:name="_Toc312678024"/>
      <w:bookmarkStart w:id="334" w:name="_Toc300934985"/>
      <w:bookmarkStart w:id="335" w:name="_Toc303539142"/>
      <w:r>
        <w:rPr>
          <w:rFonts w:eastAsia="仿宋_GB2312"/>
          <w:color w:val="auto"/>
          <w:sz w:val="30"/>
          <w:szCs w:val="32"/>
          <w:highlight w:val="none"/>
        </w:rPr>
        <w:t>：</w:t>
      </w:r>
      <w:r>
        <w:rPr>
          <w:rFonts w:hint="eastAsia" w:eastAsia="仿宋_GB2312"/>
          <w:color w:val="auto"/>
          <w:sz w:val="30"/>
          <w:szCs w:val="32"/>
          <w:highlight w:val="none"/>
          <w:u w:val="single"/>
        </w:rPr>
        <w:t>须满足检验试验相关需求</w:t>
      </w:r>
      <w:r>
        <w:rPr>
          <w:rFonts w:eastAsia="仿宋_GB2312"/>
          <w:color w:val="auto"/>
          <w:sz w:val="30"/>
          <w:szCs w:val="32"/>
          <w:highlight w:val="none"/>
          <w:u w:val="single"/>
        </w:rPr>
        <w:t xml:space="preserve">  </w:t>
      </w:r>
      <w:r>
        <w:rPr>
          <w:rFonts w:eastAsia="仿宋_GB2312"/>
          <w:color w:val="auto"/>
          <w:sz w:val="30"/>
          <w:szCs w:val="32"/>
          <w:highlight w:val="none"/>
        </w:rPr>
        <w:t>。</w:t>
      </w:r>
      <w:r>
        <w:rPr>
          <w:rFonts w:hint="eastAsia" w:eastAsia="仿宋_GB2312"/>
          <w:color w:val="auto"/>
          <w:sz w:val="30"/>
          <w:szCs w:val="32"/>
          <w:highlight w:val="none"/>
        </w:rPr>
        <w:t xml:space="preserve"> </w:t>
      </w:r>
    </w:p>
    <w:p w14:paraId="53DA6C05">
      <w:pPr>
        <w:spacing w:line="360" w:lineRule="auto"/>
        <w:jc w:val="left"/>
        <w:rPr>
          <w:rFonts w:eastAsia="仿宋_GB2312"/>
          <w:color w:val="auto"/>
          <w:sz w:val="30"/>
          <w:szCs w:val="32"/>
          <w:highlight w:val="none"/>
        </w:rPr>
      </w:pPr>
      <w:r>
        <w:rPr>
          <w:rFonts w:eastAsia="仿宋_GB2312"/>
          <w:color w:val="auto"/>
          <w:sz w:val="30"/>
          <w:szCs w:val="32"/>
          <w:highlight w:val="none"/>
        </w:rPr>
        <w:t xml:space="preserve">    9.5</w:t>
      </w:r>
      <w:r>
        <w:rPr>
          <w:rFonts w:hint="eastAsia" w:eastAsia="仿宋_GB2312"/>
          <w:color w:val="auto"/>
          <w:sz w:val="30"/>
          <w:szCs w:val="32"/>
          <w:highlight w:val="none"/>
        </w:rPr>
        <w:t>本工程中不属于承包人需承担的特殊检验相关手续由承包人负责办理，承包人凭特殊检验费发票、特殊检验报告单及发包人出具的相关书面委托书向发包人报销。</w:t>
      </w:r>
    </w:p>
    <w:bookmarkEnd w:id="328"/>
    <w:bookmarkEnd w:id="329"/>
    <w:bookmarkEnd w:id="330"/>
    <w:bookmarkEnd w:id="331"/>
    <w:bookmarkEnd w:id="332"/>
    <w:bookmarkEnd w:id="333"/>
    <w:bookmarkEnd w:id="334"/>
    <w:bookmarkEnd w:id="335"/>
    <w:p w14:paraId="5BD071B2">
      <w:pPr>
        <w:pStyle w:val="5"/>
        <w:spacing w:before="120" w:after="120" w:line="360" w:lineRule="auto"/>
        <w:rPr>
          <w:rFonts w:ascii="Times New Roman" w:hAnsi="Times New Roman" w:eastAsia="黑体"/>
          <w:b w:val="0"/>
          <w:color w:val="auto"/>
          <w:sz w:val="32"/>
          <w:szCs w:val="32"/>
          <w:highlight w:val="none"/>
        </w:rPr>
      </w:pPr>
      <w:bookmarkStart w:id="336" w:name="_Toc351203642"/>
      <w:r>
        <w:rPr>
          <w:rFonts w:ascii="Times New Roman" w:hAnsi="Times New Roman" w:eastAsia="黑体"/>
          <w:b w:val="0"/>
          <w:color w:val="auto"/>
          <w:sz w:val="32"/>
          <w:szCs w:val="32"/>
          <w:highlight w:val="none"/>
        </w:rPr>
        <w:t>1</w:t>
      </w:r>
      <w:bookmarkEnd w:id="302"/>
      <w:bookmarkEnd w:id="303"/>
      <w:bookmarkEnd w:id="304"/>
      <w:bookmarkEnd w:id="305"/>
      <w:bookmarkEnd w:id="306"/>
      <w:bookmarkEnd w:id="307"/>
      <w:bookmarkEnd w:id="308"/>
      <w:bookmarkEnd w:id="309"/>
      <w:bookmarkEnd w:id="310"/>
      <w:bookmarkEnd w:id="311"/>
      <w:bookmarkEnd w:id="312"/>
      <w:bookmarkEnd w:id="313"/>
      <w:bookmarkStart w:id="337" w:name="_Toc303539146"/>
      <w:bookmarkStart w:id="338" w:name="_Toc297216199"/>
      <w:bookmarkStart w:id="339" w:name="_Toc300934989"/>
      <w:bookmarkStart w:id="340" w:name="_Toc297120493"/>
      <w:bookmarkStart w:id="341" w:name="_Toc296346694"/>
      <w:bookmarkStart w:id="342" w:name="_Toc296944532"/>
      <w:bookmarkStart w:id="343" w:name="_Toc297123540"/>
      <w:bookmarkStart w:id="344" w:name="_Toc304295566"/>
      <w:bookmarkStart w:id="345" w:name="_Toc296503193"/>
      <w:bookmarkStart w:id="346" w:name="_Toc292559398"/>
      <w:bookmarkStart w:id="347" w:name="_Toc297048379"/>
      <w:bookmarkStart w:id="348" w:name="_Toc292559903"/>
      <w:bookmarkStart w:id="349" w:name="_Toc296347192"/>
      <w:bookmarkStart w:id="350" w:name="_Toc296891021"/>
      <w:bookmarkStart w:id="351" w:name="_Toc296891233"/>
      <w:bookmarkStart w:id="352" w:name="_Toc312678025"/>
      <w:bookmarkStart w:id="353" w:name="_Toc312677499"/>
      <w:bookmarkStart w:id="354" w:name="_Toc267251441"/>
      <w:bookmarkStart w:id="355" w:name="_Toc267251439"/>
      <w:bookmarkStart w:id="356" w:name="_Toc267251433"/>
      <w:bookmarkStart w:id="357" w:name="_Toc267251437"/>
      <w:bookmarkStart w:id="358" w:name="_Toc267251440"/>
      <w:bookmarkStart w:id="359" w:name="_Toc267251435"/>
      <w:bookmarkStart w:id="360" w:name="_Toc267251442"/>
      <w:r>
        <w:rPr>
          <w:rFonts w:ascii="Times New Roman" w:hAnsi="Times New Roman" w:eastAsia="黑体"/>
          <w:b w:val="0"/>
          <w:color w:val="auto"/>
          <w:sz w:val="32"/>
          <w:szCs w:val="32"/>
          <w:highlight w:val="none"/>
        </w:rPr>
        <w:t>0. 变更</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bookmarkEnd w:id="352"/>
    <w:bookmarkEnd w:id="353"/>
    <w:p w14:paraId="69AD2F81">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w:t>
      </w:r>
      <w:bookmarkStart w:id="361" w:name="_Toc292559399"/>
      <w:bookmarkStart w:id="362" w:name="_Toc312678026"/>
      <w:bookmarkStart w:id="363" w:name="_Toc297048380"/>
      <w:bookmarkStart w:id="364" w:name="_Toc297123541"/>
      <w:bookmarkStart w:id="365" w:name="_Toc300934990"/>
      <w:bookmarkStart w:id="366" w:name="_Toc296891234"/>
      <w:bookmarkStart w:id="367" w:name="_Toc296891022"/>
      <w:bookmarkStart w:id="368" w:name="_Toc296944533"/>
      <w:bookmarkStart w:id="369" w:name="_Toc297120494"/>
      <w:bookmarkStart w:id="370" w:name="_Toc296503194"/>
      <w:bookmarkStart w:id="371" w:name="_Toc296346695"/>
      <w:bookmarkStart w:id="372" w:name="_Toc292559904"/>
      <w:bookmarkStart w:id="373" w:name="_Toc297216200"/>
      <w:bookmarkStart w:id="374" w:name="_Toc303539147"/>
      <w:bookmarkStart w:id="375" w:name="_Toc304295567"/>
      <w:bookmarkStart w:id="376" w:name="_Toc312677500"/>
      <w:bookmarkStart w:id="377" w:name="_Toc296347193"/>
      <w:r>
        <w:rPr>
          <w:rFonts w:eastAsia="黑体"/>
          <w:color w:val="auto"/>
          <w:sz w:val="30"/>
          <w:szCs w:val="32"/>
          <w:highlight w:val="none"/>
        </w:rPr>
        <w:t>0.1变更的范围</w:t>
      </w:r>
    </w:p>
    <w:p w14:paraId="67E5040A">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关于变更的范围的约定：</w:t>
      </w:r>
      <w:r>
        <w:rPr>
          <w:rFonts w:hint="eastAsia" w:eastAsia="仿宋_GB2312"/>
          <w:color w:val="auto"/>
          <w:sz w:val="30"/>
          <w:szCs w:val="32"/>
          <w:highlight w:val="none"/>
          <w:u w:val="single"/>
        </w:rPr>
        <w:t xml:space="preserve">根据工程建设的需要双方协商确定，承包人不得擅自变更    </w:t>
      </w:r>
      <w:r>
        <w:rPr>
          <w:rFonts w:eastAsia="仿宋_GB2312"/>
          <w:color w:val="auto"/>
          <w:sz w:val="30"/>
          <w:szCs w:val="32"/>
          <w:highlight w:val="none"/>
        </w:rPr>
        <w:t>。</w:t>
      </w:r>
    </w:p>
    <w:p w14:paraId="72B2655A">
      <w:pPr>
        <w:pStyle w:val="8"/>
        <w:ind w:left="63" w:right="63" w:firstLine="600" w:firstLineChars="200"/>
        <w:jc w:val="both"/>
        <w:rPr>
          <w:color w:val="auto"/>
          <w:highlight w:val="none"/>
        </w:rPr>
      </w:pPr>
      <w:r>
        <w:rPr>
          <w:rFonts w:hint="eastAsia" w:eastAsia="仿宋_GB2312"/>
          <w:color w:val="auto"/>
          <w:sz w:val="30"/>
          <w:szCs w:val="32"/>
          <w:highlight w:val="none"/>
        </w:rPr>
        <w:t>承包人必须严格按照发包人提供的已完善审批程序的变更资料实施，如未按照变更资料实施或未收到变更资料擅自实施，则发包人不予认可该部分费用，不支付该部分款项。（发包人设计变更审批制度详见附件6）。</w:t>
      </w:r>
    </w:p>
    <w:p w14:paraId="696CDD3B">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w:t>
      </w:r>
      <w:r>
        <w:rPr>
          <w:rFonts w:hint="eastAsia" w:eastAsia="仿宋_GB2312"/>
          <w:color w:val="auto"/>
          <w:sz w:val="30"/>
          <w:szCs w:val="32"/>
          <w:highlight w:val="none"/>
        </w:rPr>
        <w:t>变更权</w:t>
      </w:r>
    </w:p>
    <w:p w14:paraId="67E45C70">
      <w:pPr>
        <w:spacing w:line="360" w:lineRule="auto"/>
        <w:ind w:firstLine="600"/>
        <w:jc w:val="left"/>
        <w:rPr>
          <w:rFonts w:eastAsia="仿宋_GB2312"/>
          <w:color w:val="auto"/>
          <w:sz w:val="30"/>
          <w:szCs w:val="32"/>
          <w:highlight w:val="none"/>
        </w:rPr>
      </w:pPr>
      <w:r>
        <w:rPr>
          <w:rFonts w:hint="eastAsia" w:eastAsia="仿宋_GB2312"/>
          <w:color w:val="auto"/>
          <w:sz w:val="30"/>
          <w:szCs w:val="32"/>
          <w:highlight w:val="none"/>
        </w:rPr>
        <w:t>10.2.1任何变更的经济签证、核定单、变更、工程联系单、洽商等文件须由监理人、发包人现场代表或经授权的对口专业负责人、预决算人员、发包人项目办主管/分管领导共同签字并加盖部门公章后才能生效；</w:t>
      </w:r>
    </w:p>
    <w:p w14:paraId="2D9BAF6B">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10.2.2</w:t>
      </w:r>
      <w:r>
        <w:rPr>
          <w:rFonts w:hint="eastAsia" w:eastAsia="仿宋_GB2312"/>
          <w:color w:val="auto"/>
          <w:sz w:val="30"/>
          <w:szCs w:val="32"/>
          <w:highlight w:val="none"/>
        </w:rPr>
        <w:t>本工程的所有经济签证承包人须按照发包人《工程经济资料管理办法》执行。所有经济签证应注明工程名称、单位工程（单项工程、分部工程、分项工程）签证部位、施工简图（无法画图的应注明增减工作量）、签证日期、费用发生原因等；</w:t>
      </w:r>
    </w:p>
    <w:p w14:paraId="6FDE881D">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10.2.3</w:t>
      </w:r>
      <w:r>
        <w:rPr>
          <w:rFonts w:hint="eastAsia" w:eastAsia="仿宋_GB2312"/>
          <w:color w:val="auto"/>
          <w:sz w:val="30"/>
          <w:szCs w:val="32"/>
          <w:highlight w:val="none"/>
        </w:rPr>
        <w:t>本工程的所有经济签证必须在签证工作内容完成后七日内办理，否则视为承包人放弃对此签证单进行结算。</w:t>
      </w:r>
    </w:p>
    <w:p w14:paraId="43A11352">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10.4 变更估价</w:t>
      </w:r>
    </w:p>
    <w:p w14:paraId="2737EDF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10.4.1 变更估价原则</w:t>
      </w:r>
    </w:p>
    <w:p w14:paraId="6A4C07A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 xml:space="preserve">关于变更估价的约定: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按专用条款14.5条执行</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14:paraId="6A61C0D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10.8 暂列金额</w:t>
      </w:r>
    </w:p>
    <w:p w14:paraId="54270502">
      <w:pPr>
        <w:autoSpaceDE w:val="0"/>
        <w:autoSpaceDN w:val="0"/>
        <w:adjustRightInd w:val="0"/>
        <w:spacing w:line="360" w:lineRule="auto"/>
        <w:jc w:val="left"/>
        <w:rPr>
          <w:rFonts w:eastAsia="仿宋_GB2312"/>
          <w:color w:val="auto"/>
          <w:kern w:val="0"/>
          <w:sz w:val="30"/>
          <w:szCs w:val="32"/>
          <w:highlight w:val="none"/>
        </w:rPr>
      </w:pPr>
      <w:r>
        <w:rPr>
          <w:rFonts w:hint="eastAsia" w:eastAsia="仿宋_GB2312"/>
          <w:color w:val="auto"/>
          <w:kern w:val="0"/>
          <w:sz w:val="30"/>
          <w:szCs w:val="32"/>
          <w:highlight w:val="none"/>
        </w:rPr>
        <w:t>合同当事人关于暂列金额使用的约定：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按通用合同条款执行   </w:t>
      </w:r>
      <w:r>
        <w:rPr>
          <w:rFonts w:hint="eastAsia" w:eastAsia="仿宋_GB2312"/>
          <w:color w:val="auto"/>
          <w:kern w:val="0"/>
          <w:sz w:val="30"/>
          <w:szCs w:val="32"/>
          <w:highlight w:val="none"/>
        </w:rPr>
        <w:t>。</w:t>
      </w:r>
    </w:p>
    <w:p w14:paraId="3CDAF710">
      <w:pPr>
        <w:pStyle w:val="5"/>
        <w:spacing w:before="120" w:after="120" w:line="360" w:lineRule="auto"/>
        <w:rPr>
          <w:rFonts w:ascii="Times New Roman" w:hAnsi="Times New Roman" w:eastAsia="黑体"/>
          <w:b w:val="0"/>
          <w:color w:val="auto"/>
          <w:sz w:val="32"/>
          <w:szCs w:val="32"/>
          <w:highlight w:val="none"/>
        </w:rPr>
      </w:pPr>
      <w:bookmarkStart w:id="378" w:name="_Toc351203643"/>
      <w:r>
        <w:rPr>
          <w:rFonts w:ascii="Times New Roman" w:hAnsi="Times New Roman" w:eastAsia="黑体"/>
          <w:b w:val="0"/>
          <w:color w:val="auto"/>
          <w:sz w:val="32"/>
          <w:szCs w:val="32"/>
          <w:highlight w:val="none"/>
        </w:rPr>
        <w:t>11. 价格调整</w:t>
      </w:r>
      <w:bookmarkEnd w:id="378"/>
    </w:p>
    <w:p w14:paraId="779990ED">
      <w:pPr>
        <w:spacing w:after="120" w:line="360" w:lineRule="auto"/>
        <w:ind w:firstLine="600" w:firstLineChars="200"/>
        <w:rPr>
          <w:rFonts w:eastAsia="黑体"/>
          <w:color w:val="auto"/>
          <w:sz w:val="30"/>
          <w:szCs w:val="32"/>
          <w:highlight w:val="none"/>
        </w:rPr>
      </w:pPr>
      <w:bookmarkStart w:id="379" w:name="_Toc303539157"/>
      <w:bookmarkStart w:id="380" w:name="_Toc297216209"/>
      <w:bookmarkStart w:id="381" w:name="_Toc296944540"/>
      <w:bookmarkStart w:id="382" w:name="_Toc296503201"/>
      <w:bookmarkStart w:id="383" w:name="_Toc296346702"/>
      <w:bookmarkStart w:id="384" w:name="_Toc296891029"/>
      <w:bookmarkStart w:id="385" w:name="_Toc297120501"/>
      <w:bookmarkStart w:id="386" w:name="_Toc296891241"/>
      <w:bookmarkStart w:id="387" w:name="_Toc297123550"/>
      <w:bookmarkStart w:id="388" w:name="_Toc292559406"/>
      <w:bookmarkStart w:id="389" w:name="_Toc296347200"/>
      <w:bookmarkStart w:id="390" w:name="_Toc297048387"/>
      <w:bookmarkStart w:id="391" w:name="_Toc304295577"/>
      <w:bookmarkStart w:id="392" w:name="_Toc292559911"/>
      <w:bookmarkStart w:id="393" w:name="_Toc300935000"/>
      <w:bookmarkStart w:id="394" w:name="_Toc312678039"/>
      <w:r>
        <w:rPr>
          <w:rFonts w:eastAsia="黑体"/>
          <w:color w:val="auto"/>
          <w:sz w:val="30"/>
          <w:szCs w:val="32"/>
          <w:highlight w:val="none"/>
        </w:rPr>
        <w:t>11.1 市场价格波动引起的调整</w:t>
      </w:r>
    </w:p>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14:paraId="1FF10215">
      <w:pPr>
        <w:spacing w:line="360" w:lineRule="auto"/>
        <w:ind w:firstLine="600" w:firstLineChars="200"/>
        <w:jc w:val="left"/>
        <w:rPr>
          <w:rFonts w:hint="eastAsia" w:eastAsia="仿宋_GB2312"/>
          <w:color w:val="auto"/>
          <w:sz w:val="30"/>
          <w:szCs w:val="32"/>
          <w:highlight w:val="none"/>
          <w:lang w:val="en-US" w:eastAsia="zh-CN"/>
        </w:rPr>
      </w:pPr>
      <w:r>
        <w:rPr>
          <w:rFonts w:eastAsia="仿宋_GB2312"/>
          <w:color w:val="auto"/>
          <w:kern w:val="0"/>
          <w:sz w:val="30"/>
          <w:szCs w:val="32"/>
          <w:highlight w:val="none"/>
        </w:rPr>
        <w:t>市场价格波动是否调整合同价格的约定：</w:t>
      </w:r>
      <w:r>
        <w:rPr>
          <w:rFonts w:hint="eastAsia" w:eastAsia="仿宋_GB2312"/>
          <w:color w:val="auto"/>
          <w:kern w:val="0"/>
          <w:sz w:val="30"/>
          <w:szCs w:val="32"/>
          <w:highlight w:val="none"/>
          <w:u w:val="single"/>
          <w:lang w:val="en-US" w:eastAsia="zh-CN"/>
        </w:rPr>
        <w:t>不调整</w:t>
      </w:r>
    </w:p>
    <w:bookmarkEnd w:id="354"/>
    <w:bookmarkEnd w:id="355"/>
    <w:bookmarkEnd w:id="356"/>
    <w:bookmarkEnd w:id="357"/>
    <w:bookmarkEnd w:id="358"/>
    <w:bookmarkEnd w:id="359"/>
    <w:p w14:paraId="4A1F7502">
      <w:pPr>
        <w:pStyle w:val="5"/>
        <w:spacing w:before="120" w:after="120" w:line="360" w:lineRule="auto"/>
        <w:rPr>
          <w:rFonts w:ascii="Times New Roman" w:hAnsi="Times New Roman" w:eastAsia="黑体"/>
          <w:b w:val="0"/>
          <w:color w:val="auto"/>
          <w:sz w:val="32"/>
          <w:szCs w:val="32"/>
          <w:highlight w:val="none"/>
        </w:rPr>
      </w:pPr>
      <w:bookmarkStart w:id="395" w:name="_Toc296347204"/>
      <w:bookmarkStart w:id="396" w:name="_Toc296891245"/>
      <w:bookmarkStart w:id="397" w:name="_Toc297048391"/>
      <w:bookmarkStart w:id="398" w:name="_Toc296503205"/>
      <w:bookmarkStart w:id="399" w:name="_Toc296944544"/>
      <w:bookmarkStart w:id="400" w:name="_Toc296346706"/>
      <w:bookmarkStart w:id="401" w:name="_Toc297120505"/>
      <w:bookmarkStart w:id="402" w:name="_Toc292559915"/>
      <w:bookmarkStart w:id="403" w:name="_Toc296891033"/>
      <w:bookmarkStart w:id="404" w:name="_Toc292559410"/>
      <w:bookmarkStart w:id="405" w:name="_Toc351203644"/>
      <w:bookmarkStart w:id="406" w:name="_Toc297123552"/>
      <w:bookmarkStart w:id="407" w:name="_Toc303539159"/>
      <w:bookmarkStart w:id="408" w:name="_Toc312678040"/>
      <w:bookmarkStart w:id="409" w:name="_Toc304295579"/>
      <w:bookmarkStart w:id="410" w:name="_Toc297216211"/>
      <w:bookmarkStart w:id="411" w:name="_Toc300935002"/>
      <w:r>
        <w:rPr>
          <w:rFonts w:ascii="Times New Roman" w:hAnsi="Times New Roman" w:eastAsia="黑体"/>
          <w:b w:val="0"/>
          <w:color w:val="auto"/>
          <w:sz w:val="32"/>
          <w:szCs w:val="32"/>
          <w:highlight w:val="none"/>
        </w:rPr>
        <w:t xml:space="preserve">12. </w:t>
      </w:r>
      <w:bookmarkEnd w:id="395"/>
      <w:bookmarkEnd w:id="396"/>
      <w:bookmarkEnd w:id="397"/>
      <w:bookmarkEnd w:id="398"/>
      <w:bookmarkEnd w:id="399"/>
      <w:bookmarkEnd w:id="400"/>
      <w:bookmarkEnd w:id="401"/>
      <w:bookmarkEnd w:id="402"/>
      <w:bookmarkEnd w:id="403"/>
      <w:bookmarkEnd w:id="404"/>
      <w:r>
        <w:rPr>
          <w:rFonts w:ascii="Times New Roman" w:hAnsi="Times New Roman" w:eastAsia="黑体"/>
          <w:b w:val="0"/>
          <w:color w:val="auto"/>
          <w:sz w:val="32"/>
          <w:szCs w:val="32"/>
          <w:highlight w:val="none"/>
        </w:rPr>
        <w:t>合同价格、计量与支付</w:t>
      </w:r>
      <w:bookmarkEnd w:id="405"/>
    </w:p>
    <w:bookmarkEnd w:id="406"/>
    <w:bookmarkEnd w:id="407"/>
    <w:bookmarkEnd w:id="408"/>
    <w:bookmarkEnd w:id="409"/>
    <w:bookmarkEnd w:id="410"/>
    <w:bookmarkEnd w:id="411"/>
    <w:p w14:paraId="26B552CD">
      <w:pPr>
        <w:spacing w:after="120" w:line="360" w:lineRule="auto"/>
        <w:ind w:firstLine="600" w:firstLineChars="200"/>
        <w:rPr>
          <w:rFonts w:eastAsia="黑体"/>
          <w:color w:val="auto"/>
          <w:sz w:val="30"/>
          <w:szCs w:val="32"/>
          <w:highlight w:val="none"/>
          <w:u w:val="single"/>
        </w:rPr>
      </w:pPr>
      <w:bookmarkStart w:id="412" w:name="_Toc292559411"/>
      <w:bookmarkStart w:id="413" w:name="_Toc267251461"/>
      <w:bookmarkStart w:id="414" w:name="_Toc292559916"/>
      <w:bookmarkStart w:id="415" w:name="_Toc296503206"/>
      <w:bookmarkStart w:id="416" w:name="_Toc297120506"/>
      <w:bookmarkStart w:id="417" w:name="_Toc297048392"/>
      <w:bookmarkStart w:id="418" w:name="_Toc296891034"/>
      <w:bookmarkStart w:id="419" w:name="_Toc296347205"/>
      <w:bookmarkStart w:id="420" w:name="_Toc296944545"/>
      <w:bookmarkStart w:id="421" w:name="_Toc296346707"/>
      <w:bookmarkStart w:id="422" w:name="_Toc296891246"/>
      <w:bookmarkStart w:id="423" w:name="_Toc304295580"/>
      <w:bookmarkStart w:id="424" w:name="_Toc297123553"/>
      <w:bookmarkStart w:id="425" w:name="_Toc300935003"/>
      <w:bookmarkStart w:id="426" w:name="_Toc312678041"/>
      <w:bookmarkStart w:id="427" w:name="_Toc303539160"/>
      <w:bookmarkStart w:id="428" w:name="_Toc297216212"/>
      <w:r>
        <w:rPr>
          <w:rFonts w:eastAsia="黑体"/>
          <w:color w:val="auto"/>
          <w:sz w:val="30"/>
          <w:szCs w:val="32"/>
          <w:highlight w:val="none"/>
        </w:rPr>
        <w:t>12.1 合</w:t>
      </w:r>
      <w:bookmarkEnd w:id="412"/>
      <w:bookmarkEnd w:id="413"/>
      <w:bookmarkEnd w:id="414"/>
      <w:r>
        <w:rPr>
          <w:rFonts w:eastAsia="黑体"/>
          <w:color w:val="auto"/>
          <w:sz w:val="30"/>
          <w:szCs w:val="32"/>
          <w:highlight w:val="none"/>
        </w:rPr>
        <w:t>同价</w:t>
      </w:r>
      <w:bookmarkEnd w:id="415"/>
      <w:bookmarkEnd w:id="416"/>
      <w:bookmarkEnd w:id="417"/>
      <w:bookmarkEnd w:id="418"/>
      <w:bookmarkEnd w:id="419"/>
      <w:bookmarkEnd w:id="420"/>
      <w:bookmarkEnd w:id="421"/>
      <w:bookmarkEnd w:id="422"/>
      <w:r>
        <w:rPr>
          <w:rFonts w:eastAsia="黑体"/>
          <w:color w:val="auto"/>
          <w:sz w:val="30"/>
          <w:szCs w:val="32"/>
          <w:highlight w:val="none"/>
        </w:rPr>
        <w:t>格形式：</w:t>
      </w:r>
      <w:r>
        <w:rPr>
          <w:rFonts w:hint="eastAsia" w:eastAsia="黑体"/>
          <w:color w:val="auto"/>
          <w:sz w:val="30"/>
          <w:szCs w:val="32"/>
          <w:highlight w:val="none"/>
          <w:u w:val="single"/>
        </w:rPr>
        <w:t>固定单价合同  。</w:t>
      </w:r>
    </w:p>
    <w:bookmarkEnd w:id="423"/>
    <w:bookmarkEnd w:id="424"/>
    <w:bookmarkEnd w:id="425"/>
    <w:bookmarkEnd w:id="426"/>
    <w:bookmarkEnd w:id="427"/>
    <w:bookmarkEnd w:id="428"/>
    <w:p w14:paraId="4BEE7A6B">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合同</w:t>
      </w:r>
      <w:r>
        <w:rPr>
          <w:rFonts w:eastAsia="仿宋_GB2312"/>
          <w:color w:val="auto"/>
          <w:sz w:val="30"/>
          <w:szCs w:val="32"/>
          <w:highlight w:val="none"/>
        </w:rPr>
        <w:t>风险范围</w:t>
      </w:r>
      <w:r>
        <w:rPr>
          <w:rFonts w:hint="eastAsia" w:eastAsia="仿宋_GB2312"/>
          <w:color w:val="auto"/>
          <w:sz w:val="30"/>
          <w:szCs w:val="32"/>
          <w:highlight w:val="none"/>
        </w:rPr>
        <w:t>包含但不限于</w:t>
      </w:r>
      <w:r>
        <w:rPr>
          <w:rFonts w:eastAsia="仿宋_GB2312"/>
          <w:color w:val="auto"/>
          <w:sz w:val="30"/>
          <w:szCs w:val="32"/>
          <w:highlight w:val="none"/>
        </w:rPr>
        <w:t>：</w:t>
      </w:r>
    </w:p>
    <w:p w14:paraId="3E75ADE6">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1、 合同期内人工、材料、机械、设备价格变动或其他因素调整、变动；</w:t>
      </w:r>
    </w:p>
    <w:p w14:paraId="5E8CD9B3">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2、 在限定的工期内完成施工项目及整项工程并达到合同规定的质量标准所需要的费用，隐含的为完成该项目而必须发生的费用；</w:t>
      </w:r>
    </w:p>
    <w:p w14:paraId="55499D2B">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3、一个月内临时停水、停电在工作时间24小时以内的停工、窝工损失；</w:t>
      </w:r>
    </w:p>
    <w:p w14:paraId="4B84A44E">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4、发包人供应材料设备不及时，造成的停、窝工每月在工作时间24小时以内的损失；</w:t>
      </w:r>
    </w:p>
    <w:p w14:paraId="1B73376A">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5、材料的理论重量与实际重量的差；材料颜色、规格的变动(但不包括钢材)；</w:t>
      </w:r>
    </w:p>
    <w:p w14:paraId="6D25C9C3">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发生以上事件所延误的工期和增加的费用由承包人承担。</w:t>
      </w:r>
    </w:p>
    <w:p w14:paraId="0E70C73E">
      <w:pPr>
        <w:spacing w:after="120" w:line="360" w:lineRule="auto"/>
        <w:ind w:firstLine="600" w:firstLineChars="200"/>
        <w:rPr>
          <w:rFonts w:eastAsia="黑体"/>
          <w:color w:val="auto"/>
          <w:sz w:val="30"/>
          <w:szCs w:val="32"/>
          <w:highlight w:val="none"/>
        </w:rPr>
      </w:pPr>
      <w:bookmarkStart w:id="429" w:name="_Toc297123554"/>
      <w:bookmarkStart w:id="430" w:name="_Toc312678042"/>
      <w:bookmarkStart w:id="431" w:name="_Toc297216213"/>
      <w:bookmarkStart w:id="432" w:name="_Toc300935004"/>
      <w:bookmarkStart w:id="433" w:name="_Toc303539161"/>
      <w:bookmarkStart w:id="434" w:name="_Toc304295581"/>
      <w:bookmarkStart w:id="435" w:name="_Toc296891247"/>
      <w:bookmarkStart w:id="436" w:name="_Toc297048393"/>
      <w:bookmarkStart w:id="437" w:name="_Toc296944546"/>
      <w:bookmarkStart w:id="438" w:name="_Toc296891035"/>
      <w:bookmarkStart w:id="439" w:name="_Toc297120507"/>
      <w:bookmarkStart w:id="440" w:name="_Toc296503207"/>
      <w:bookmarkStart w:id="441" w:name="_Toc296347206"/>
      <w:bookmarkStart w:id="442" w:name="_Toc292559412"/>
      <w:bookmarkStart w:id="443" w:name="_Toc296346708"/>
      <w:bookmarkStart w:id="444" w:name="_Toc292559917"/>
      <w:r>
        <w:rPr>
          <w:rFonts w:eastAsia="黑体"/>
          <w:color w:val="auto"/>
          <w:sz w:val="30"/>
          <w:szCs w:val="32"/>
          <w:highlight w:val="none"/>
        </w:rPr>
        <w:t>12.2 预付款</w:t>
      </w:r>
    </w:p>
    <w:bookmarkEnd w:id="429"/>
    <w:bookmarkEnd w:id="430"/>
    <w:bookmarkEnd w:id="431"/>
    <w:bookmarkEnd w:id="432"/>
    <w:bookmarkEnd w:id="433"/>
    <w:bookmarkEnd w:id="434"/>
    <w:p w14:paraId="673D6DD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12.2.1 预付款的支付</w:t>
      </w:r>
    </w:p>
    <w:p w14:paraId="47DA5E3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预付款支付比例或金额：</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不支付预付款</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35"/>
    <w:bookmarkEnd w:id="436"/>
    <w:bookmarkEnd w:id="437"/>
    <w:bookmarkEnd w:id="438"/>
    <w:bookmarkEnd w:id="439"/>
    <w:bookmarkEnd w:id="440"/>
    <w:bookmarkEnd w:id="441"/>
    <w:bookmarkEnd w:id="442"/>
    <w:bookmarkEnd w:id="443"/>
    <w:bookmarkEnd w:id="444"/>
    <w:p w14:paraId="08FE34B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12.3 计量</w:t>
      </w:r>
    </w:p>
    <w:p w14:paraId="7E21717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12.3.1 计量原则</w:t>
      </w:r>
    </w:p>
    <w:p w14:paraId="766D1BF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工程量计算规则：</w:t>
      </w:r>
      <w:r>
        <w:rPr>
          <w:rFonts w:eastAsia="仿宋_GB2312"/>
          <w:color w:val="auto"/>
          <w:sz w:val="30"/>
          <w:szCs w:val="32"/>
          <w:highlight w:val="none"/>
          <w:u w:val="single"/>
        </w:rPr>
        <w:t xml:space="preserve"> </w:t>
      </w:r>
      <w:r>
        <w:rPr>
          <w:rFonts w:ascii="宋体" w:hAnsi="宋体"/>
          <w:color w:val="auto"/>
          <w:szCs w:val="21"/>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《建设工程工程量清单计价规范》GB50500-2013、《重庆市建设工程工程量清单计价规则》（CQJJGZ-2013）、《重庆市建设工程工程量计算规则》、《重庆市房屋建筑与装饰工程计价定额》（CQ</w:t>
      </w:r>
      <w:r>
        <w:rPr>
          <w:rFonts w:eastAsia="仿宋_GB2312"/>
          <w:color w:val="auto"/>
          <w:sz w:val="30"/>
          <w:szCs w:val="32"/>
          <w:highlight w:val="none"/>
          <w:u w:val="single"/>
        </w:rPr>
        <w:t>JZZS</w:t>
      </w:r>
      <w:r>
        <w:rPr>
          <w:rFonts w:hint="eastAsia" w:eastAsia="仿宋_GB2312"/>
          <w:color w:val="auto"/>
          <w:sz w:val="30"/>
          <w:szCs w:val="32"/>
          <w:highlight w:val="none"/>
          <w:u w:val="single"/>
        </w:rPr>
        <w:t>DE-2018）、《重庆市市政工程计价定额》（CQSZDE-20</w:t>
      </w:r>
      <w:r>
        <w:rPr>
          <w:rFonts w:eastAsia="仿宋_GB2312"/>
          <w:color w:val="auto"/>
          <w:sz w:val="30"/>
          <w:szCs w:val="32"/>
          <w:highlight w:val="none"/>
          <w:u w:val="single"/>
        </w:rPr>
        <w:t>1</w:t>
      </w:r>
      <w:r>
        <w:rPr>
          <w:rFonts w:hint="eastAsia" w:eastAsia="仿宋_GB2312"/>
          <w:color w:val="auto"/>
          <w:sz w:val="30"/>
          <w:szCs w:val="32"/>
          <w:highlight w:val="none"/>
          <w:u w:val="single"/>
        </w:rPr>
        <w:t>8）、《重庆市通用安装工程计价定额》（CQAZDE-2018）、《重庆市房屋修缮工程计价定额》（C</w:t>
      </w:r>
      <w:r>
        <w:rPr>
          <w:rFonts w:eastAsia="仿宋_GB2312"/>
          <w:color w:val="auto"/>
          <w:sz w:val="30"/>
          <w:szCs w:val="32"/>
          <w:highlight w:val="none"/>
          <w:u w:val="single"/>
        </w:rPr>
        <w:t>QXSDE-2018）、《</w:t>
      </w:r>
      <w:r>
        <w:rPr>
          <w:rFonts w:hint="eastAsia" w:eastAsia="仿宋_GB2312"/>
          <w:color w:val="auto"/>
          <w:sz w:val="30"/>
          <w:szCs w:val="32"/>
          <w:highlight w:val="none"/>
          <w:u w:val="single"/>
        </w:rPr>
        <w:t>重庆市绿色建筑工程计价定额》（C</w:t>
      </w:r>
      <w:r>
        <w:rPr>
          <w:rFonts w:eastAsia="仿宋_GB2312"/>
          <w:color w:val="auto"/>
          <w:sz w:val="30"/>
          <w:szCs w:val="32"/>
          <w:highlight w:val="none"/>
          <w:u w:val="single"/>
        </w:rPr>
        <w:t>QLSJZDE-2018）、</w:t>
      </w:r>
      <w:r>
        <w:rPr>
          <w:rFonts w:hint="eastAsia" w:eastAsia="仿宋_GB2312"/>
          <w:color w:val="auto"/>
          <w:sz w:val="30"/>
          <w:szCs w:val="32"/>
          <w:highlight w:val="none"/>
          <w:u w:val="single"/>
        </w:rPr>
        <w:t>《重庆市建设工程费用定额》（CQFYDE-2018）及相关配套文件明确的计量规则执行</w:t>
      </w:r>
      <w:r>
        <w:rPr>
          <w:rFonts w:eastAsia="仿宋_GB2312"/>
          <w:color w:val="auto"/>
          <w:sz w:val="30"/>
          <w:szCs w:val="32"/>
          <w:highlight w:val="none"/>
          <w:u w:val="single"/>
        </w:rPr>
        <w:t xml:space="preserve">    </w:t>
      </w:r>
      <w:r>
        <w:rPr>
          <w:rFonts w:eastAsia="仿宋_GB2312"/>
          <w:color w:val="auto"/>
          <w:sz w:val="30"/>
          <w:szCs w:val="32"/>
          <w:highlight w:val="none"/>
        </w:rPr>
        <w:t>。</w:t>
      </w:r>
    </w:p>
    <w:p w14:paraId="1CE7ADE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12.3.2 计量周期</w:t>
      </w:r>
    </w:p>
    <w:p w14:paraId="5346820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关于计量周期的约定：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lang w:val="en-US" w:eastAsia="zh-CN"/>
        </w:rPr>
        <w:t>竣工验收时一次性计量</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441D3B6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12.3.3 单价合同的计量</w:t>
      </w:r>
    </w:p>
    <w:p w14:paraId="630F0996">
      <w:pPr>
        <w:spacing w:line="360" w:lineRule="auto"/>
        <w:ind w:firstLine="600" w:firstLineChars="200"/>
        <w:jc w:val="left"/>
        <w:rPr>
          <w:rFonts w:hint="eastAsia" w:eastAsia="仿宋_GB2312"/>
          <w:color w:val="auto"/>
          <w:sz w:val="30"/>
          <w:szCs w:val="32"/>
          <w:highlight w:val="none"/>
          <w:lang w:eastAsia="zh-CN"/>
        </w:rPr>
      </w:pPr>
      <w:r>
        <w:rPr>
          <w:rFonts w:eastAsia="仿宋_GB2312"/>
          <w:color w:val="auto"/>
          <w:sz w:val="30"/>
          <w:szCs w:val="32"/>
          <w:highlight w:val="none"/>
        </w:rPr>
        <w:t>关于单价合同计量的约定：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lang w:val="en-US" w:eastAsia="zh-CN"/>
        </w:rPr>
        <w:t>/</w:t>
      </w:r>
    </w:p>
    <w:p w14:paraId="7559FF4F">
      <w:pPr>
        <w:spacing w:line="360" w:lineRule="auto"/>
        <w:ind w:firstLine="600" w:firstLineChars="200"/>
        <w:jc w:val="left"/>
        <w:rPr>
          <w:rFonts w:eastAsia="黑体"/>
          <w:color w:val="auto"/>
          <w:sz w:val="30"/>
          <w:szCs w:val="32"/>
          <w:highlight w:val="none"/>
        </w:rPr>
      </w:pPr>
      <w:r>
        <w:rPr>
          <w:rFonts w:eastAsia="黑体"/>
          <w:color w:val="auto"/>
          <w:sz w:val="30"/>
          <w:szCs w:val="32"/>
          <w:highlight w:val="none"/>
        </w:rPr>
        <w:t>12.6 工程</w:t>
      </w:r>
      <w:r>
        <w:rPr>
          <w:rFonts w:hint="eastAsia" w:eastAsia="黑体"/>
          <w:color w:val="auto"/>
          <w:sz w:val="30"/>
          <w:szCs w:val="32"/>
          <w:highlight w:val="none"/>
        </w:rPr>
        <w:t>款支付方式</w:t>
      </w:r>
    </w:p>
    <w:p w14:paraId="7B2F213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发包人的支付方式约定为银行承兑汇票或电汇付款（银行转账）</w:t>
      </w:r>
    </w:p>
    <w:bookmarkEnd w:id="360"/>
    <w:p w14:paraId="7C082C1E">
      <w:pPr>
        <w:pStyle w:val="5"/>
        <w:spacing w:before="120" w:after="120" w:line="360" w:lineRule="auto"/>
        <w:rPr>
          <w:rFonts w:ascii="Times New Roman" w:hAnsi="Times New Roman" w:eastAsia="黑体"/>
          <w:b w:val="0"/>
          <w:color w:val="auto"/>
          <w:sz w:val="32"/>
          <w:szCs w:val="32"/>
          <w:highlight w:val="none"/>
        </w:rPr>
      </w:pPr>
      <w:bookmarkStart w:id="445" w:name="_Toc351203645"/>
      <w:bookmarkStart w:id="446" w:name="_Toc297216223"/>
      <w:bookmarkStart w:id="447" w:name="_Toc297123564"/>
      <w:bookmarkStart w:id="448" w:name="_Toc296891047"/>
      <w:bookmarkStart w:id="449" w:name="_Toc292559929"/>
      <w:bookmarkStart w:id="450" w:name="_Toc297120519"/>
      <w:bookmarkStart w:id="451" w:name="_Toc312678053"/>
      <w:bookmarkStart w:id="452" w:name="_Toc297048405"/>
      <w:bookmarkStart w:id="453" w:name="_Toc296346720"/>
      <w:bookmarkStart w:id="454" w:name="_Toc300935015"/>
      <w:bookmarkStart w:id="455" w:name="_Toc304295593"/>
      <w:bookmarkStart w:id="456" w:name="_Toc296944558"/>
      <w:bookmarkStart w:id="457" w:name="_Toc292559424"/>
      <w:bookmarkStart w:id="458" w:name="_Toc296503219"/>
      <w:bookmarkStart w:id="459" w:name="_Toc296891259"/>
      <w:bookmarkStart w:id="460" w:name="_Toc296347218"/>
      <w:bookmarkStart w:id="461" w:name="_Toc303539172"/>
      <w:r>
        <w:rPr>
          <w:rFonts w:ascii="Times New Roman" w:hAnsi="Times New Roman" w:eastAsia="黑体"/>
          <w:b w:val="0"/>
          <w:color w:val="auto"/>
          <w:sz w:val="32"/>
          <w:szCs w:val="32"/>
          <w:highlight w:val="none"/>
        </w:rPr>
        <w:t>13.</w:t>
      </w:r>
      <w:r>
        <w:rPr>
          <w:rFonts w:hint="eastAsia" w:ascii="Times New Roman" w:hAnsi="Times New Roman" w:eastAsia="黑体"/>
          <w:b w:val="0"/>
          <w:color w:val="auto"/>
          <w:sz w:val="32"/>
          <w:szCs w:val="32"/>
          <w:highlight w:val="none"/>
        </w:rPr>
        <w:t xml:space="preserve"> </w:t>
      </w:r>
      <w:r>
        <w:rPr>
          <w:rFonts w:ascii="Times New Roman" w:hAnsi="Times New Roman" w:eastAsia="黑体"/>
          <w:b w:val="0"/>
          <w:color w:val="auto"/>
          <w:sz w:val="32"/>
          <w:szCs w:val="32"/>
          <w:highlight w:val="none"/>
        </w:rPr>
        <w:t>验收和工程试车</w:t>
      </w:r>
      <w:bookmarkEnd w:id="445"/>
    </w:p>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14:paraId="6B712DFD">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13.1 分部分项工程验收</w:t>
      </w:r>
    </w:p>
    <w:p w14:paraId="26FC4EC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13.1.2监理人不能按时进行验收时，应提前</w:t>
      </w:r>
      <w:r>
        <w:rPr>
          <w:rFonts w:eastAsia="仿宋_GB2312"/>
          <w:color w:val="auto"/>
          <w:sz w:val="30"/>
          <w:szCs w:val="32"/>
          <w:highlight w:val="none"/>
          <w:u w:val="single"/>
        </w:rPr>
        <w:t xml:space="preserve">  24  </w:t>
      </w:r>
      <w:r>
        <w:rPr>
          <w:rFonts w:eastAsia="仿宋_GB2312"/>
          <w:color w:val="auto"/>
          <w:sz w:val="30"/>
          <w:szCs w:val="32"/>
          <w:highlight w:val="none"/>
        </w:rPr>
        <w:t>小时提交书面延期要求。</w:t>
      </w:r>
    </w:p>
    <w:p w14:paraId="2D158219">
      <w:pPr>
        <w:spacing w:line="360" w:lineRule="auto"/>
        <w:ind w:firstLine="600" w:firstLineChars="200"/>
        <w:jc w:val="left"/>
        <w:rPr>
          <w:rFonts w:eastAsia="仿宋_GB2312"/>
          <w:b/>
          <w:color w:val="auto"/>
          <w:sz w:val="30"/>
          <w:szCs w:val="32"/>
          <w:highlight w:val="none"/>
        </w:rPr>
      </w:pPr>
      <w:r>
        <w:rPr>
          <w:rFonts w:eastAsia="仿宋_GB2312"/>
          <w:color w:val="auto"/>
          <w:sz w:val="30"/>
          <w:szCs w:val="32"/>
          <w:highlight w:val="none"/>
        </w:rPr>
        <w:t>关于延期最长不得超过：</w:t>
      </w:r>
      <w:r>
        <w:rPr>
          <w:rFonts w:eastAsia="仿宋_GB2312"/>
          <w:color w:val="auto"/>
          <w:sz w:val="30"/>
          <w:szCs w:val="32"/>
          <w:highlight w:val="none"/>
          <w:u w:val="single"/>
        </w:rPr>
        <w:t xml:space="preserve">   48   </w:t>
      </w:r>
      <w:r>
        <w:rPr>
          <w:rFonts w:eastAsia="仿宋_GB2312"/>
          <w:color w:val="auto"/>
          <w:sz w:val="30"/>
          <w:szCs w:val="32"/>
          <w:highlight w:val="none"/>
        </w:rPr>
        <w:t>小时。</w:t>
      </w:r>
    </w:p>
    <w:p w14:paraId="70A1D298">
      <w:pPr>
        <w:spacing w:after="120" w:line="360" w:lineRule="auto"/>
        <w:ind w:firstLine="600" w:firstLineChars="200"/>
        <w:rPr>
          <w:rFonts w:eastAsia="黑体"/>
          <w:color w:val="auto"/>
          <w:sz w:val="30"/>
          <w:szCs w:val="32"/>
          <w:highlight w:val="none"/>
        </w:rPr>
      </w:pPr>
      <w:bookmarkStart w:id="462" w:name="_Toc297123565"/>
      <w:bookmarkStart w:id="463" w:name="_Toc297216224"/>
      <w:bookmarkStart w:id="464" w:name="_Toc297048409"/>
      <w:bookmarkStart w:id="465" w:name="_Toc292559933"/>
      <w:bookmarkStart w:id="466" w:name="_Toc296346724"/>
      <w:bookmarkStart w:id="467" w:name="_Toc300935016"/>
      <w:bookmarkStart w:id="468" w:name="_Toc296891051"/>
      <w:bookmarkStart w:id="469" w:name="_Toc297120523"/>
      <w:bookmarkStart w:id="470" w:name="_Toc296347222"/>
      <w:bookmarkStart w:id="471" w:name="_Toc296891263"/>
      <w:bookmarkStart w:id="472" w:name="_Toc296944562"/>
      <w:bookmarkStart w:id="473" w:name="_Toc292559428"/>
      <w:bookmarkStart w:id="474" w:name="_Toc303539173"/>
      <w:bookmarkStart w:id="475" w:name="_Toc312678056"/>
      <w:bookmarkStart w:id="476" w:name="_Toc304295596"/>
      <w:bookmarkStart w:id="477" w:name="_Toc296503223"/>
      <w:bookmarkStart w:id="478" w:name="_Toc267251474"/>
      <w:bookmarkStart w:id="479" w:name="_Toc267251470"/>
      <w:bookmarkStart w:id="480" w:name="_Toc267251473"/>
      <w:bookmarkStart w:id="481" w:name="_Toc267251475"/>
      <w:bookmarkStart w:id="482" w:name="_Toc267251472"/>
      <w:bookmarkStart w:id="483" w:name="_Toc267251476"/>
      <w:bookmarkStart w:id="484" w:name="_Toc267251471"/>
      <w:r>
        <w:rPr>
          <w:rFonts w:eastAsia="黑体"/>
          <w:color w:val="auto"/>
          <w:sz w:val="30"/>
          <w:szCs w:val="32"/>
          <w:highlight w:val="none"/>
        </w:rPr>
        <w:t>13.2 竣工验收</w:t>
      </w:r>
    </w:p>
    <w:p w14:paraId="66316DA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13.2.1</w:t>
      </w:r>
      <w:r>
        <w:rPr>
          <w:rFonts w:hint="eastAsia" w:eastAsia="仿宋_GB2312"/>
          <w:color w:val="auto"/>
          <w:sz w:val="30"/>
          <w:szCs w:val="32"/>
          <w:highlight w:val="none"/>
        </w:rPr>
        <w:t>竣工资料</w:t>
      </w:r>
    </w:p>
    <w:p w14:paraId="38581F06">
      <w:pPr>
        <w:spacing w:after="120" w:line="360" w:lineRule="auto"/>
        <w:ind w:firstLine="600" w:firstLineChars="200"/>
        <w:rPr>
          <w:rFonts w:ascii="宋体" w:hAnsi="宋体"/>
          <w:color w:val="auto"/>
          <w:szCs w:val="21"/>
          <w:highlight w:val="none"/>
        </w:rPr>
      </w:pPr>
      <w:r>
        <w:rPr>
          <w:rFonts w:hint="eastAsia" w:eastAsia="仿宋_GB2312"/>
          <w:color w:val="auto"/>
          <w:kern w:val="0"/>
          <w:sz w:val="30"/>
          <w:szCs w:val="32"/>
          <w:highlight w:val="none"/>
        </w:rPr>
        <w:t>竣工资料内容：</w:t>
      </w:r>
      <w:r>
        <w:rPr>
          <w:rFonts w:hint="eastAsia" w:eastAsia="仿宋_GB2312"/>
          <w:color w:val="auto"/>
          <w:sz w:val="30"/>
          <w:szCs w:val="32"/>
          <w:highlight w:val="none"/>
          <w:u w:val="single"/>
        </w:rPr>
        <w:t xml:space="preserve">   建设工程档案验收所需的所有资料  </w:t>
      </w:r>
      <w:r>
        <w:rPr>
          <w:rFonts w:hint="eastAsia" w:eastAsia="仿宋_GB2312"/>
          <w:color w:val="auto"/>
          <w:sz w:val="30"/>
          <w:szCs w:val="32"/>
          <w:highlight w:val="none"/>
        </w:rPr>
        <w:t>。</w:t>
      </w:r>
    </w:p>
    <w:p w14:paraId="584A598C">
      <w:pPr>
        <w:spacing w:line="360" w:lineRule="auto"/>
        <w:ind w:firstLine="600" w:firstLineChars="200"/>
        <w:jc w:val="left"/>
        <w:rPr>
          <w:rFonts w:eastAsia="仿宋_GB2312"/>
          <w:color w:val="auto"/>
          <w:sz w:val="30"/>
          <w:szCs w:val="32"/>
          <w:highlight w:val="none"/>
        </w:rPr>
      </w:pPr>
      <w:r>
        <w:rPr>
          <w:rFonts w:hint="eastAsia" w:eastAsia="仿宋_GB2312"/>
          <w:color w:val="auto"/>
          <w:kern w:val="0"/>
          <w:sz w:val="30"/>
          <w:szCs w:val="32"/>
          <w:highlight w:val="none"/>
        </w:rPr>
        <w:t>竣工资料份数：</w:t>
      </w:r>
      <w:r>
        <w:rPr>
          <w:rFonts w:hint="eastAsia" w:eastAsia="仿宋_GB2312"/>
          <w:color w:val="auto"/>
          <w:sz w:val="30"/>
          <w:szCs w:val="32"/>
          <w:highlight w:val="none"/>
          <w:u w:val="single"/>
        </w:rPr>
        <w:t xml:space="preserve"> 竣工验收后承包人向发包人提交验收合格的完整的竣工图和工程竣工技术档案资料一式三份，电子文档及竣工图三份</w:t>
      </w:r>
      <w:r>
        <w:rPr>
          <w:rFonts w:hint="eastAsia" w:eastAsia="仿宋_GB2312"/>
          <w:color w:val="auto"/>
          <w:sz w:val="30"/>
          <w:szCs w:val="32"/>
          <w:highlight w:val="none"/>
        </w:rPr>
        <w:t>。</w:t>
      </w:r>
    </w:p>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14:paraId="67105A0C">
      <w:pPr>
        <w:spacing w:line="360" w:lineRule="auto"/>
        <w:ind w:firstLine="600" w:firstLineChars="200"/>
        <w:jc w:val="left"/>
        <w:rPr>
          <w:rFonts w:eastAsia="仿宋_GB2312"/>
          <w:color w:val="auto"/>
          <w:sz w:val="30"/>
          <w:szCs w:val="32"/>
          <w:highlight w:val="none"/>
        </w:rPr>
      </w:pPr>
      <w:bookmarkStart w:id="485" w:name="_Toc280868704"/>
      <w:bookmarkStart w:id="486" w:name="_Toc280868705"/>
      <w:bookmarkStart w:id="487" w:name="_Toc280868706"/>
      <w:bookmarkStart w:id="488" w:name="_Toc280868707"/>
      <w:bookmarkStart w:id="489" w:name="_Toc280868708"/>
      <w:bookmarkStart w:id="490" w:name="_Toc280868709"/>
      <w:r>
        <w:rPr>
          <w:rFonts w:eastAsia="仿宋_GB2312"/>
          <w:color w:val="auto"/>
          <w:sz w:val="30"/>
          <w:szCs w:val="32"/>
          <w:highlight w:val="none"/>
        </w:rPr>
        <w:t>13.2.2竣工验收程序</w:t>
      </w:r>
    </w:p>
    <w:bookmarkEnd w:id="485"/>
    <w:p w14:paraId="15F2C77D">
      <w:pPr>
        <w:rPr>
          <w:rFonts w:eastAsia="仿宋_GB2312"/>
          <w:color w:val="auto"/>
          <w:sz w:val="30"/>
          <w:szCs w:val="32"/>
          <w:highlight w:val="none"/>
        </w:rPr>
      </w:pPr>
      <w:r>
        <w:rPr>
          <w:rFonts w:eastAsia="仿宋_GB2312"/>
          <w:color w:val="auto"/>
          <w:kern w:val="0"/>
          <w:sz w:val="30"/>
          <w:szCs w:val="32"/>
          <w:highlight w:val="none"/>
        </w:rPr>
        <w:t>关于竣工验收程序的约定：</w:t>
      </w:r>
      <w:r>
        <w:rPr>
          <w:rFonts w:eastAsia="仿宋_GB2312"/>
          <w:color w:val="auto"/>
          <w:sz w:val="30"/>
          <w:szCs w:val="32"/>
          <w:highlight w:val="none"/>
          <w:u w:val="single"/>
        </w:rPr>
        <w:t xml:space="preserve"> </w:t>
      </w:r>
      <w:r>
        <w:rPr>
          <w:rFonts w:hint="eastAsia" w:eastAsia="仿宋_GB2312"/>
          <w:color w:val="auto"/>
          <w:kern w:val="0"/>
          <w:sz w:val="30"/>
          <w:szCs w:val="32"/>
          <w:highlight w:val="none"/>
          <w:u w:val="single"/>
        </w:rPr>
        <w:t>按住房城乡建设部关于印发《房屋建筑和市政基础设施工程竣工验收规定》的通知（建质〔2013〕171号）文件执行</w:t>
      </w:r>
      <w:r>
        <w:rPr>
          <w:rFonts w:eastAsia="仿宋_GB2312"/>
          <w:color w:val="auto"/>
          <w:sz w:val="30"/>
          <w:szCs w:val="32"/>
          <w:highlight w:val="none"/>
          <w:u w:val="single"/>
        </w:rPr>
        <w:t xml:space="preserve"> </w:t>
      </w:r>
      <w:r>
        <w:rPr>
          <w:rFonts w:eastAsia="仿宋_GB2312"/>
          <w:color w:val="auto"/>
          <w:sz w:val="30"/>
          <w:szCs w:val="32"/>
          <w:highlight w:val="none"/>
        </w:rPr>
        <w:t>。</w:t>
      </w:r>
    </w:p>
    <w:p w14:paraId="58E389A7">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发包人不按照本项约定组织竣工验收、颁发工程接收证书的违约金的计算方法：</w:t>
      </w:r>
      <w:r>
        <w:rPr>
          <w:rFonts w:eastAsia="仿宋_GB2312"/>
          <w:color w:val="auto"/>
          <w:sz w:val="30"/>
          <w:szCs w:val="32"/>
          <w:highlight w:val="none"/>
          <w:u w:val="single"/>
        </w:rPr>
        <w:t xml:space="preserve">  每逾期一天，应以签约合同价</w:t>
      </w:r>
      <w:r>
        <w:rPr>
          <w:rFonts w:hint="eastAsia" w:eastAsia="仿宋_GB2312"/>
          <w:color w:val="auto"/>
          <w:sz w:val="30"/>
          <w:szCs w:val="32"/>
          <w:highlight w:val="none"/>
          <w:u w:val="single"/>
        </w:rPr>
        <w:t>扣除已支付工程款</w:t>
      </w:r>
      <w:r>
        <w:rPr>
          <w:rFonts w:eastAsia="仿宋_GB2312"/>
          <w:color w:val="auto"/>
          <w:sz w:val="30"/>
          <w:szCs w:val="32"/>
          <w:highlight w:val="none"/>
          <w:u w:val="single"/>
        </w:rPr>
        <w:t xml:space="preserve">为基数，按照中国人民银行发布的同期同类贷款基准利率支付违约金   </w:t>
      </w:r>
      <w:r>
        <w:rPr>
          <w:rFonts w:eastAsia="仿宋_GB2312"/>
          <w:color w:val="auto"/>
          <w:sz w:val="30"/>
          <w:szCs w:val="32"/>
          <w:highlight w:val="none"/>
        </w:rPr>
        <w:t>。</w:t>
      </w:r>
    </w:p>
    <w:bookmarkEnd w:id="486"/>
    <w:p w14:paraId="368E599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13.2.5移交、接收全部与部分工程</w:t>
      </w:r>
    </w:p>
    <w:bookmarkEnd w:id="487"/>
    <w:p w14:paraId="18714A46">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承包人向发包人移交工程的期限：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通过工程竣工验收后，承包人应在28天内，同发包人办理工程移交手续</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hint="eastAsia" w:eastAsia="仿宋_GB2312"/>
          <w:color w:val="auto"/>
          <w:sz w:val="30"/>
          <w:szCs w:val="32"/>
          <w:highlight w:val="none"/>
        </w:rPr>
        <w:t>。</w:t>
      </w:r>
    </w:p>
    <w:p w14:paraId="6E454AF3">
      <w:pPr>
        <w:spacing w:line="360" w:lineRule="auto"/>
        <w:ind w:firstLine="600" w:firstLineChars="200"/>
        <w:jc w:val="left"/>
        <w:rPr>
          <w:rFonts w:eastAsia="仿宋_GB2312"/>
          <w:color w:val="auto"/>
          <w:sz w:val="30"/>
          <w:szCs w:val="32"/>
          <w:highlight w:val="none"/>
          <w:u w:val="single"/>
        </w:rPr>
      </w:pPr>
      <w:r>
        <w:rPr>
          <w:rFonts w:eastAsia="仿宋_GB2312"/>
          <w:color w:val="auto"/>
          <w:kern w:val="0"/>
          <w:sz w:val="30"/>
          <w:szCs w:val="32"/>
          <w:highlight w:val="none"/>
        </w:rPr>
        <w:t>发包人未按本合同约定接收全部或部分工程的，违约金的计算方法为：</w:t>
      </w:r>
      <w:r>
        <w:rPr>
          <w:rFonts w:hint="eastAsia" w:eastAsia="仿宋_GB2312"/>
          <w:color w:val="auto"/>
          <w:sz w:val="30"/>
          <w:szCs w:val="32"/>
          <w:highlight w:val="none"/>
          <w:u w:val="single"/>
        </w:rPr>
        <w:t xml:space="preserve">由双方确定与此相关的工程照管与养护费用补偿额  </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88"/>
    <w:p w14:paraId="68FFAEB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承包人未按时移交工程的，违约金的计算方法为：</w:t>
      </w:r>
      <w:r>
        <w:rPr>
          <w:rFonts w:hint="eastAsia" w:eastAsia="仿宋_GB2312"/>
          <w:color w:val="auto"/>
          <w:sz w:val="30"/>
          <w:szCs w:val="32"/>
          <w:highlight w:val="none"/>
          <w:u w:val="single"/>
        </w:rPr>
        <w:t>按专用合同条款7.5.2执行</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89"/>
    <w:p w14:paraId="0BA0EBF4">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13.6 竣工退场</w:t>
      </w:r>
    </w:p>
    <w:p w14:paraId="7BC3E76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13.6.1 竣工退场</w:t>
      </w:r>
    </w:p>
    <w:p w14:paraId="3D7B39FF">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承包人完成竣工退场的期限：</w:t>
      </w:r>
      <w:r>
        <w:rPr>
          <w:rFonts w:hint="eastAsia" w:eastAsia="仿宋_GB2312"/>
          <w:color w:val="auto"/>
          <w:sz w:val="30"/>
          <w:szCs w:val="32"/>
          <w:highlight w:val="none"/>
          <w:u w:val="single"/>
        </w:rPr>
        <w:t>颁发工程接收证书后7天内</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5BF53796">
      <w:pPr>
        <w:pStyle w:val="5"/>
        <w:spacing w:before="120" w:after="120" w:line="360" w:lineRule="auto"/>
        <w:rPr>
          <w:rFonts w:ascii="Times New Roman" w:hAnsi="Times New Roman" w:eastAsia="黑体"/>
          <w:b w:val="0"/>
          <w:color w:val="auto"/>
          <w:sz w:val="32"/>
          <w:szCs w:val="32"/>
          <w:highlight w:val="none"/>
        </w:rPr>
      </w:pPr>
      <w:bookmarkStart w:id="491" w:name="_Toc351203646"/>
      <w:r>
        <w:rPr>
          <w:rFonts w:ascii="Times New Roman" w:hAnsi="Times New Roman" w:eastAsia="黑体"/>
          <w:b w:val="0"/>
          <w:color w:val="auto"/>
          <w:sz w:val="32"/>
          <w:szCs w:val="32"/>
          <w:highlight w:val="none"/>
        </w:rPr>
        <w:t>14. 竣工结算</w:t>
      </w:r>
      <w:bookmarkEnd w:id="491"/>
    </w:p>
    <w:p w14:paraId="590E9500">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14.1 竣工</w:t>
      </w:r>
      <w:r>
        <w:rPr>
          <w:rFonts w:hint="eastAsia" w:eastAsia="黑体"/>
          <w:color w:val="auto"/>
          <w:sz w:val="30"/>
          <w:szCs w:val="32"/>
          <w:highlight w:val="none"/>
        </w:rPr>
        <w:t>结算</w:t>
      </w:r>
      <w:r>
        <w:rPr>
          <w:rFonts w:eastAsia="黑体"/>
          <w:color w:val="auto"/>
          <w:sz w:val="30"/>
          <w:szCs w:val="32"/>
          <w:highlight w:val="none"/>
        </w:rPr>
        <w:t>申请</w:t>
      </w:r>
    </w:p>
    <w:p w14:paraId="1C6D540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承包人提交竣工</w:t>
      </w:r>
      <w:r>
        <w:rPr>
          <w:rFonts w:hint="eastAsia" w:eastAsia="仿宋_GB2312"/>
          <w:color w:val="auto"/>
          <w:sz w:val="30"/>
          <w:szCs w:val="32"/>
          <w:highlight w:val="none"/>
        </w:rPr>
        <w:t>结算</w:t>
      </w:r>
      <w:r>
        <w:rPr>
          <w:rFonts w:eastAsia="仿宋_GB2312"/>
          <w:color w:val="auto"/>
          <w:sz w:val="30"/>
          <w:szCs w:val="32"/>
          <w:highlight w:val="none"/>
        </w:rPr>
        <w:t>申请单的期限：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竣工验收合格后60日历天内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1200F7D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承包人提交竣工付款申请单的份数：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三份</w:t>
      </w:r>
      <w:r>
        <w:rPr>
          <w:rFonts w:eastAsia="仿宋_GB2312"/>
          <w:color w:val="auto"/>
          <w:sz w:val="30"/>
          <w:szCs w:val="32"/>
          <w:highlight w:val="none"/>
          <w:u w:val="single"/>
        </w:rPr>
        <w:t xml:space="preserve">      </w:t>
      </w:r>
      <w:r>
        <w:rPr>
          <w:rFonts w:eastAsia="仿宋_GB2312"/>
          <w:color w:val="auto"/>
          <w:sz w:val="30"/>
          <w:szCs w:val="32"/>
          <w:highlight w:val="none"/>
        </w:rPr>
        <w:t>。</w:t>
      </w:r>
    </w:p>
    <w:p w14:paraId="5CECFD5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竣工</w:t>
      </w:r>
      <w:r>
        <w:rPr>
          <w:rFonts w:hint="eastAsia" w:eastAsia="仿宋_GB2312"/>
          <w:color w:val="auto"/>
          <w:sz w:val="30"/>
          <w:szCs w:val="32"/>
          <w:highlight w:val="none"/>
        </w:rPr>
        <w:t>结算</w:t>
      </w:r>
      <w:r>
        <w:rPr>
          <w:rFonts w:eastAsia="仿宋_GB2312"/>
          <w:color w:val="auto"/>
          <w:sz w:val="30"/>
          <w:szCs w:val="32"/>
          <w:highlight w:val="none"/>
        </w:rPr>
        <w:t>申请单应包括的内容：</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(1)竣工结算合同价格。(2)发包人已支付承包人的款项。(3)应扣留的质量保证金，已缴纳履约保证金的或提供其他工程质量担保方式的除外。(4)发包人应支付承包人的合同价款</w:t>
      </w:r>
      <w:r>
        <w:rPr>
          <w:rFonts w:eastAsia="仿宋_GB2312"/>
          <w:color w:val="auto"/>
          <w:sz w:val="30"/>
          <w:szCs w:val="32"/>
          <w:highlight w:val="none"/>
          <w:u w:val="single"/>
        </w:rPr>
        <w:t xml:space="preserve"> </w:t>
      </w:r>
      <w:r>
        <w:rPr>
          <w:rFonts w:eastAsia="仿宋_GB2312"/>
          <w:color w:val="auto"/>
          <w:sz w:val="30"/>
          <w:szCs w:val="32"/>
          <w:highlight w:val="none"/>
        </w:rPr>
        <w:t>。</w:t>
      </w:r>
    </w:p>
    <w:p w14:paraId="0ABD536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须向发包人一次性递交完整的竣工结算资料，并以发包人一次性签收的竣工结算资料办理竣工结算，承包人此后补交的任何竣工结算资料发包人均拒绝接受。在递交完整竣工结算资料时承包人应提供发包人和承包人双方签认的《交接验收证书》，否则发包人有权拒绝接收竣工结算资料。</w:t>
      </w:r>
    </w:p>
    <w:p w14:paraId="7D1F89D7">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14.2 竣工结算审核</w:t>
      </w:r>
    </w:p>
    <w:p w14:paraId="6AEB55B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1、竣工验收合格后，发包人收到承包人提交的完整的竣工结算报告及结算资料后</w:t>
      </w:r>
      <w:r>
        <w:rPr>
          <w:rFonts w:hint="eastAsia" w:eastAsia="仿宋_GB2312"/>
          <w:color w:val="auto"/>
          <w:kern w:val="0"/>
          <w:sz w:val="30"/>
          <w:szCs w:val="32"/>
          <w:highlight w:val="none"/>
          <w:lang w:val="en-US" w:eastAsia="zh-CN"/>
        </w:rPr>
        <w:t>28</w:t>
      </w:r>
      <w:r>
        <w:rPr>
          <w:rFonts w:hint="eastAsia" w:eastAsia="仿宋_GB2312"/>
          <w:color w:val="auto"/>
          <w:sz w:val="30"/>
          <w:szCs w:val="32"/>
          <w:highlight w:val="none"/>
        </w:rPr>
        <w:t>天内进行核实，给予确认或者提出修改意见 ；</w:t>
      </w:r>
    </w:p>
    <w:p w14:paraId="447CE87F">
      <w:pPr>
        <w:spacing w:line="360" w:lineRule="auto"/>
        <w:ind w:firstLine="600" w:firstLineChars="200"/>
        <w:jc w:val="left"/>
        <w:rPr>
          <w:rFonts w:hint="eastAsia" w:eastAsia="仿宋_GB2312"/>
          <w:color w:val="auto"/>
          <w:sz w:val="30"/>
          <w:szCs w:val="32"/>
          <w:highlight w:val="none"/>
          <w:lang w:eastAsia="zh-CN"/>
        </w:rPr>
      </w:pPr>
      <w:r>
        <w:rPr>
          <w:rFonts w:hint="eastAsia" w:eastAsia="仿宋_GB2312"/>
          <w:color w:val="auto"/>
          <w:sz w:val="30"/>
          <w:szCs w:val="32"/>
          <w:highlight w:val="none"/>
        </w:rPr>
        <w:t>2、自工程竣工验收合格之日起60天内，承包人未能向发包人提交竣工结算报告及完整的结算资料，逾期提交一天，承包人承担2000元违约金；或虽提交了完整的结算资料，承包人的相关人员未按时配合发包人及造价咨询机构完成结算审核，造成工程竣工结算不能正常进行或工程竣工结算价款不能及时支付，发包人不承担相应责任，并经发包人书面通知催告后仍未配合，自发出书面通知催告七日后，每逾期一日，承包人承担2000元违约金</w:t>
      </w:r>
      <w:r>
        <w:rPr>
          <w:rFonts w:hint="eastAsia" w:eastAsia="仿宋_GB2312"/>
          <w:color w:val="auto"/>
          <w:sz w:val="30"/>
          <w:szCs w:val="32"/>
          <w:highlight w:val="none"/>
          <w:lang w:eastAsia="zh-CN"/>
        </w:rPr>
        <w:t>。</w:t>
      </w:r>
      <w:r>
        <w:rPr>
          <w:rFonts w:hint="eastAsia" w:ascii="Times New Roman" w:hAnsi="Times New Roman" w:eastAsia="仿宋_GB2312" w:cs="Times New Roman"/>
          <w:color w:val="auto"/>
          <w:sz w:val="30"/>
          <w:szCs w:val="32"/>
          <w:highlight w:val="none"/>
        </w:rPr>
        <w:t>发包人及造价咨询机构完成结算审核并向承包人反馈审核结果后 30 日内，双方未签署结算定案表且承包人未提出书面异议的，发包人向承包人发送书面催告；承包人收到催告文件后 15 日内仍未提出异议的，视为认可发包人及造价咨询机构出具的结算审核金额，催告期限届满之次日，视为结算定案表已签订</w:t>
      </w:r>
      <w:r>
        <w:rPr>
          <w:rFonts w:hint="eastAsia" w:eastAsia="仿宋_GB2312"/>
          <w:color w:val="auto"/>
          <w:sz w:val="30"/>
          <w:szCs w:val="32"/>
          <w:highlight w:val="none"/>
          <w:lang w:eastAsia="zh-CN"/>
        </w:rPr>
        <w:t>；</w:t>
      </w:r>
    </w:p>
    <w:p w14:paraId="6FECC4D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w:t>
      </w:r>
      <w:bookmarkStart w:id="492" w:name="auto_fouce_21"/>
      <w:r>
        <w:rPr>
          <w:rFonts w:eastAsia="仿宋_GB2312"/>
          <w:color w:val="auto"/>
          <w:sz w:val="30"/>
          <w:szCs w:val="32"/>
          <w:highlight w:val="none"/>
        </w:rPr>
        <w:t>发包人在收到承包人提交</w:t>
      </w:r>
      <w:r>
        <w:rPr>
          <w:rFonts w:hint="eastAsia" w:eastAsia="仿宋_GB2312"/>
          <w:color w:val="auto"/>
          <w:sz w:val="30"/>
          <w:szCs w:val="32"/>
          <w:highlight w:val="none"/>
          <w:lang w:eastAsia="zh-CN"/>
        </w:rPr>
        <w:t>的完整</w:t>
      </w:r>
      <w:r>
        <w:rPr>
          <w:rFonts w:eastAsia="仿宋_GB2312"/>
          <w:color w:val="auto"/>
          <w:sz w:val="30"/>
          <w:szCs w:val="32"/>
          <w:highlight w:val="none"/>
        </w:rPr>
        <w:t>竣工结算</w:t>
      </w:r>
      <w:r>
        <w:rPr>
          <w:rFonts w:hint="eastAsia" w:eastAsia="仿宋_GB2312"/>
          <w:color w:val="auto"/>
          <w:sz w:val="30"/>
          <w:szCs w:val="32"/>
          <w:highlight w:val="none"/>
        </w:rPr>
        <w:t>报告及结算资料</w:t>
      </w:r>
      <w:r>
        <w:rPr>
          <w:rFonts w:eastAsia="仿宋_GB2312"/>
          <w:color w:val="auto"/>
          <w:sz w:val="30"/>
          <w:szCs w:val="32"/>
          <w:highlight w:val="none"/>
        </w:rPr>
        <w:t>后</w:t>
      </w:r>
      <w:r>
        <w:rPr>
          <w:rFonts w:hint="eastAsia" w:eastAsia="仿宋_GB2312"/>
          <w:color w:val="auto"/>
          <w:sz w:val="30"/>
          <w:szCs w:val="32"/>
          <w:highlight w:val="none"/>
          <w:lang w:val="en-US" w:eastAsia="zh-CN"/>
        </w:rPr>
        <w:t>29</w:t>
      </w:r>
      <w:r>
        <w:rPr>
          <w:rFonts w:eastAsia="仿宋_GB2312"/>
          <w:color w:val="auto"/>
          <w:sz w:val="30"/>
          <w:szCs w:val="32"/>
          <w:highlight w:val="none"/>
        </w:rPr>
        <w:t>天未完成审核</w:t>
      </w:r>
      <w:r>
        <w:rPr>
          <w:rFonts w:hint="eastAsia" w:eastAsia="仿宋_GB2312"/>
          <w:color w:val="auto"/>
          <w:sz w:val="30"/>
          <w:szCs w:val="32"/>
          <w:highlight w:val="none"/>
        </w:rPr>
        <w:t>又</w:t>
      </w:r>
      <w:r>
        <w:rPr>
          <w:rFonts w:eastAsia="仿宋_GB2312"/>
          <w:color w:val="auto"/>
          <w:sz w:val="30"/>
          <w:szCs w:val="32"/>
          <w:highlight w:val="none"/>
        </w:rPr>
        <w:t>未提出异议的，</w:t>
      </w:r>
      <w:r>
        <w:rPr>
          <w:rFonts w:hint="eastAsia" w:eastAsia="仿宋_GB2312"/>
          <w:color w:val="auto"/>
          <w:sz w:val="30"/>
          <w:szCs w:val="32"/>
          <w:highlight w:val="none"/>
          <w:lang w:eastAsia="zh-CN"/>
        </w:rPr>
        <w:t>承</w:t>
      </w:r>
      <w:r>
        <w:rPr>
          <w:rFonts w:eastAsia="仿宋_GB2312"/>
          <w:color w:val="auto"/>
          <w:sz w:val="30"/>
          <w:szCs w:val="32"/>
          <w:highlight w:val="none"/>
        </w:rPr>
        <w:t>包人</w:t>
      </w:r>
      <w:r>
        <w:rPr>
          <w:rFonts w:hint="eastAsia" w:eastAsia="仿宋_GB2312"/>
          <w:color w:val="auto"/>
          <w:sz w:val="30"/>
          <w:szCs w:val="32"/>
          <w:highlight w:val="none"/>
          <w:lang w:eastAsia="zh-CN"/>
        </w:rPr>
        <w:t>应向发</w:t>
      </w:r>
      <w:r>
        <w:rPr>
          <w:rFonts w:eastAsia="仿宋_GB2312"/>
          <w:color w:val="auto"/>
          <w:sz w:val="30"/>
          <w:szCs w:val="32"/>
          <w:highlight w:val="none"/>
        </w:rPr>
        <w:t>包人</w:t>
      </w:r>
      <w:r>
        <w:rPr>
          <w:rFonts w:hint="eastAsia" w:eastAsia="仿宋_GB2312"/>
          <w:color w:val="auto"/>
          <w:sz w:val="30"/>
          <w:szCs w:val="32"/>
          <w:highlight w:val="none"/>
          <w:lang w:eastAsia="zh-CN"/>
        </w:rPr>
        <w:t>发出书面催</w:t>
      </w:r>
      <w:r>
        <w:rPr>
          <w:rFonts w:hint="eastAsia" w:eastAsia="仿宋_GB2312"/>
          <w:color w:val="auto"/>
          <w:sz w:val="30"/>
          <w:szCs w:val="32"/>
          <w:highlight w:val="none"/>
        </w:rPr>
        <w:t>告</w:t>
      </w:r>
      <w:r>
        <w:rPr>
          <w:rFonts w:eastAsia="仿宋_GB2312"/>
          <w:color w:val="auto"/>
          <w:sz w:val="30"/>
          <w:szCs w:val="32"/>
          <w:highlight w:val="none"/>
        </w:rPr>
        <w:t>，发包人收到</w:t>
      </w:r>
      <w:r>
        <w:rPr>
          <w:rFonts w:hint="eastAsia" w:eastAsia="仿宋_GB2312"/>
          <w:color w:val="auto"/>
          <w:sz w:val="30"/>
          <w:szCs w:val="32"/>
          <w:highlight w:val="none"/>
          <w:lang w:eastAsia="zh-CN"/>
        </w:rPr>
        <w:t>催告后</w:t>
      </w:r>
      <w:r>
        <w:rPr>
          <w:rFonts w:hint="eastAsia" w:eastAsia="仿宋_GB2312"/>
          <w:color w:val="auto"/>
          <w:sz w:val="30"/>
          <w:szCs w:val="32"/>
          <w:highlight w:val="none"/>
          <w:lang w:val="en-US" w:eastAsia="zh-CN"/>
        </w:rPr>
        <w:t>7</w:t>
      </w:r>
      <w:r>
        <w:rPr>
          <w:rFonts w:hint="eastAsia" w:eastAsia="仿宋_GB2312"/>
          <w:color w:val="auto"/>
          <w:sz w:val="30"/>
          <w:szCs w:val="32"/>
          <w:highlight w:val="none"/>
          <w:lang w:eastAsia="zh-CN"/>
        </w:rPr>
        <w:t>天仍未完成审核且未提出异议的，视为认可</w:t>
      </w:r>
      <w:r>
        <w:rPr>
          <w:rFonts w:eastAsia="仿宋_GB2312"/>
          <w:color w:val="auto"/>
          <w:sz w:val="30"/>
          <w:szCs w:val="32"/>
          <w:highlight w:val="none"/>
        </w:rPr>
        <w:t>承包人提交的竣工结算</w:t>
      </w:r>
      <w:r>
        <w:rPr>
          <w:rFonts w:hint="eastAsia" w:eastAsia="仿宋_GB2312"/>
          <w:color w:val="auto"/>
          <w:sz w:val="30"/>
          <w:szCs w:val="32"/>
          <w:highlight w:val="none"/>
        </w:rPr>
        <w:t>报告</w:t>
      </w:r>
      <w:r>
        <w:rPr>
          <w:rFonts w:hint="eastAsia" w:eastAsia="仿宋_GB2312"/>
          <w:color w:val="auto"/>
          <w:sz w:val="30"/>
          <w:szCs w:val="32"/>
          <w:highlight w:val="none"/>
          <w:lang w:eastAsia="zh-CN"/>
        </w:rPr>
        <w:t>，自催告期满次日</w:t>
      </w:r>
      <w:r>
        <w:rPr>
          <w:rFonts w:eastAsia="仿宋_GB2312"/>
          <w:color w:val="auto"/>
          <w:sz w:val="30"/>
          <w:szCs w:val="32"/>
          <w:highlight w:val="none"/>
        </w:rPr>
        <w:t>起视为已</w:t>
      </w:r>
      <w:r>
        <w:rPr>
          <w:rFonts w:hint="eastAsia" w:eastAsia="仿宋_GB2312"/>
          <w:color w:val="auto"/>
          <w:sz w:val="30"/>
          <w:szCs w:val="32"/>
          <w:highlight w:val="none"/>
        </w:rPr>
        <w:t>签订结算定案表；</w:t>
      </w:r>
      <w:bookmarkEnd w:id="492"/>
    </w:p>
    <w:p w14:paraId="143F39DA">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w:t>
      </w:r>
      <w:r>
        <w:rPr>
          <w:rFonts w:eastAsia="仿宋_GB2312"/>
          <w:color w:val="auto"/>
          <w:sz w:val="30"/>
          <w:szCs w:val="32"/>
          <w:highlight w:val="none"/>
        </w:rPr>
        <w:t>发包人应在</w:t>
      </w:r>
      <w:r>
        <w:rPr>
          <w:rFonts w:hint="eastAsia" w:eastAsia="仿宋_GB2312"/>
          <w:color w:val="auto"/>
          <w:sz w:val="30"/>
          <w:szCs w:val="32"/>
          <w:highlight w:val="none"/>
        </w:rPr>
        <w:t>签订结算定案表</w:t>
      </w:r>
      <w:r>
        <w:rPr>
          <w:rFonts w:eastAsia="仿宋_GB2312"/>
          <w:color w:val="auto"/>
          <w:sz w:val="30"/>
          <w:szCs w:val="32"/>
          <w:highlight w:val="none"/>
        </w:rPr>
        <w:t>后的</w:t>
      </w:r>
      <w:r>
        <w:rPr>
          <w:rFonts w:hint="eastAsia" w:eastAsia="仿宋_GB2312"/>
          <w:color w:val="auto"/>
          <w:sz w:val="30"/>
          <w:szCs w:val="32"/>
          <w:highlight w:val="none"/>
        </w:rPr>
        <w:t>28</w:t>
      </w:r>
      <w:r>
        <w:rPr>
          <w:rFonts w:eastAsia="仿宋_GB2312"/>
          <w:color w:val="auto"/>
          <w:sz w:val="30"/>
          <w:szCs w:val="32"/>
          <w:highlight w:val="none"/>
        </w:rPr>
        <w:t xml:space="preserve"> 天内，</w:t>
      </w:r>
      <w:r>
        <w:rPr>
          <w:rFonts w:hint="eastAsia" w:eastAsia="仿宋_GB2312"/>
          <w:color w:val="auto"/>
          <w:sz w:val="30"/>
          <w:szCs w:val="32"/>
          <w:highlight w:val="none"/>
        </w:rPr>
        <w:t>支付至竣工结算价款的</w:t>
      </w:r>
      <w:r>
        <w:rPr>
          <w:rFonts w:hint="eastAsia" w:eastAsia="仿宋_GB2312"/>
          <w:color w:val="auto"/>
          <w:sz w:val="30"/>
          <w:szCs w:val="32"/>
          <w:highlight w:val="none"/>
          <w:lang w:val="en-US" w:eastAsia="zh-CN"/>
        </w:rPr>
        <w:t>97</w:t>
      </w:r>
      <w:r>
        <w:rPr>
          <w:rFonts w:hint="eastAsia" w:eastAsia="仿宋_GB2312"/>
          <w:color w:val="auto"/>
          <w:sz w:val="30"/>
          <w:szCs w:val="32"/>
          <w:highlight w:val="none"/>
        </w:rPr>
        <w:t>%，</w:t>
      </w:r>
      <w:r>
        <w:rPr>
          <w:rFonts w:eastAsia="仿宋_GB2312"/>
          <w:color w:val="auto"/>
          <w:sz w:val="30"/>
          <w:szCs w:val="32"/>
          <w:highlight w:val="none"/>
        </w:rPr>
        <w:t>余3%</w:t>
      </w:r>
      <w:r>
        <w:rPr>
          <w:rFonts w:hint="eastAsia" w:eastAsia="仿宋_GB2312"/>
          <w:color w:val="auto"/>
          <w:sz w:val="30"/>
          <w:szCs w:val="32"/>
          <w:highlight w:val="none"/>
        </w:rPr>
        <w:t>质保</w:t>
      </w:r>
      <w:r>
        <w:rPr>
          <w:rFonts w:eastAsia="仿宋_GB2312"/>
          <w:color w:val="auto"/>
          <w:sz w:val="30"/>
          <w:szCs w:val="32"/>
          <w:highlight w:val="none"/>
        </w:rPr>
        <w:t>金，待</w:t>
      </w:r>
      <w:r>
        <w:rPr>
          <w:rFonts w:hint="eastAsia" w:eastAsia="仿宋_GB2312"/>
          <w:color w:val="auto"/>
          <w:sz w:val="30"/>
          <w:szCs w:val="32"/>
          <w:highlight w:val="none"/>
        </w:rPr>
        <w:t>缺陷责任期</w:t>
      </w:r>
      <w:r>
        <w:rPr>
          <w:rFonts w:eastAsia="仿宋_GB2312"/>
          <w:color w:val="auto"/>
          <w:sz w:val="30"/>
          <w:szCs w:val="32"/>
          <w:highlight w:val="none"/>
        </w:rPr>
        <w:t>满后一次性付清。</w:t>
      </w:r>
    </w:p>
    <w:p w14:paraId="06D257A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14.4 最终结清</w:t>
      </w:r>
    </w:p>
    <w:p w14:paraId="0D9D23BD">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14.4.1 最终结清申请单</w:t>
      </w:r>
    </w:p>
    <w:p w14:paraId="6073D0E7">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承包人提交最终结清申请单的份数：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三份</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7A740A86">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承包人提交最终结算申请单的期限：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承包人应在缺陷责任期终止证书颁发后7天内，向发包人提交最终结清申请单，并提供相关证明材料</w:t>
      </w:r>
      <w:r>
        <w:rPr>
          <w:rFonts w:eastAsia="仿宋_GB2312"/>
          <w:color w:val="auto"/>
          <w:sz w:val="30"/>
          <w:szCs w:val="32"/>
          <w:highlight w:val="none"/>
        </w:rPr>
        <w:t xml:space="preserve">。 </w:t>
      </w:r>
    </w:p>
    <w:p w14:paraId="50F2CEF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14.4.2 最终结清证书和支付</w:t>
      </w:r>
    </w:p>
    <w:p w14:paraId="34B353C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（1）发包人完成最终结清申请单的</w:t>
      </w:r>
      <w:r>
        <w:rPr>
          <w:rFonts w:hint="eastAsia" w:eastAsia="仿宋_GB2312"/>
          <w:color w:val="auto"/>
          <w:sz w:val="30"/>
          <w:szCs w:val="32"/>
          <w:highlight w:val="none"/>
        </w:rPr>
        <w:t>审批</w:t>
      </w:r>
      <w:r>
        <w:rPr>
          <w:rFonts w:eastAsia="仿宋_GB2312"/>
          <w:color w:val="auto"/>
          <w:sz w:val="30"/>
          <w:szCs w:val="32"/>
          <w:highlight w:val="none"/>
        </w:rPr>
        <w:t>并颁发最终结清证书的期限：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发包人应在收到承包人提交的最终结清申请单后14天内完成审批并向承包颁发最终结清证书 </w:t>
      </w:r>
      <w:r>
        <w:rPr>
          <w:rFonts w:eastAsia="仿宋_GB2312"/>
          <w:color w:val="auto"/>
          <w:sz w:val="30"/>
          <w:szCs w:val="32"/>
          <w:highlight w:val="none"/>
          <w:u w:val="single"/>
        </w:rPr>
        <w:t xml:space="preserve">    </w:t>
      </w:r>
      <w:r>
        <w:rPr>
          <w:rFonts w:eastAsia="仿宋_GB2312"/>
          <w:color w:val="auto"/>
          <w:sz w:val="30"/>
          <w:szCs w:val="32"/>
          <w:highlight w:val="none"/>
        </w:rPr>
        <w:t>。</w:t>
      </w:r>
    </w:p>
    <w:p w14:paraId="1BFA79E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（2）发包人完成支付的期限：</w:t>
      </w:r>
      <w:r>
        <w:rPr>
          <w:rFonts w:eastAsia="仿宋_GB2312"/>
          <w:color w:val="auto"/>
          <w:sz w:val="30"/>
          <w:szCs w:val="32"/>
          <w:highlight w:val="none"/>
          <w:u w:val="single"/>
        </w:rPr>
        <w:t xml:space="preserve">   在颁发最终结清证书后28天内完成支付  </w:t>
      </w:r>
      <w:r>
        <w:rPr>
          <w:rFonts w:eastAsia="仿宋_GB2312"/>
          <w:color w:val="auto"/>
          <w:sz w:val="30"/>
          <w:szCs w:val="32"/>
          <w:highlight w:val="none"/>
        </w:rPr>
        <w:t>。</w:t>
      </w:r>
    </w:p>
    <w:p w14:paraId="06A47C2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14.5</w:t>
      </w:r>
      <w:r>
        <w:rPr>
          <w:rFonts w:hint="eastAsia" w:eastAsia="仿宋_GB2312"/>
          <w:color w:val="auto"/>
          <w:sz w:val="30"/>
          <w:szCs w:val="32"/>
          <w:highlight w:val="none"/>
        </w:rPr>
        <w:t>竣工结算办理依据</w:t>
      </w:r>
    </w:p>
    <w:p w14:paraId="3C9124C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1. 结算总价=分部分项工程量清单结算价±分部分项工程量清单新增或变更等引起的增（减）子项结算价±主要材料调差引起的增（减）结算价+措施费±其他项目费±规费±税金；    </w:t>
      </w:r>
    </w:p>
    <w:p w14:paraId="6C51A2B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2.增减（变更）工程结算：</w:t>
      </w:r>
    </w:p>
    <w:p w14:paraId="0B382BA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（1）、工程内容与已标价工程量清单中有相同的子项或类似子项，则按投标时的相同子项或类似子项的综合单价执行（类似子项的综合单价由发包人审定）；</w:t>
      </w:r>
    </w:p>
    <w:p w14:paraId="0C1B77A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 (2)、工程内容如有与已标价工程量清单（包括技术措施项目部分）不同的子项（既无相同子项，又无类似子项），按《建设工程工程量清单计价规范》（GB50500-2013）、《重庆市建设工程工程量清单计价规则》（CQJJGZ-2013）、《重庆市建设工程工程量计算规则》（CQJLGZ-2013）、《重庆市房屋建筑与装饰工程计价定额》（CQ</w:t>
      </w:r>
      <w:r>
        <w:rPr>
          <w:rFonts w:eastAsia="仿宋_GB2312"/>
          <w:color w:val="auto"/>
          <w:sz w:val="30"/>
          <w:szCs w:val="32"/>
          <w:highlight w:val="none"/>
        </w:rPr>
        <w:t>JZZS</w:t>
      </w:r>
      <w:r>
        <w:rPr>
          <w:rFonts w:hint="eastAsia" w:eastAsia="仿宋_GB2312"/>
          <w:color w:val="auto"/>
          <w:sz w:val="30"/>
          <w:szCs w:val="32"/>
          <w:highlight w:val="none"/>
        </w:rPr>
        <w:t>DE-2018）、《重庆市市政工程计价定额》（CQSZDE-20</w:t>
      </w:r>
      <w:r>
        <w:rPr>
          <w:rFonts w:eastAsia="仿宋_GB2312"/>
          <w:color w:val="auto"/>
          <w:sz w:val="30"/>
          <w:szCs w:val="32"/>
          <w:highlight w:val="none"/>
        </w:rPr>
        <w:t>1</w:t>
      </w:r>
      <w:r>
        <w:rPr>
          <w:rFonts w:hint="eastAsia" w:eastAsia="仿宋_GB2312"/>
          <w:color w:val="auto"/>
          <w:sz w:val="30"/>
          <w:szCs w:val="32"/>
          <w:highlight w:val="none"/>
        </w:rPr>
        <w:t>8）、《重庆市通用安装工程计价定额》（CQAZDE-2018）、《重庆市房屋修缮工程计价定额》（C</w:t>
      </w:r>
      <w:r>
        <w:rPr>
          <w:rFonts w:eastAsia="仿宋_GB2312"/>
          <w:color w:val="auto"/>
          <w:sz w:val="30"/>
          <w:szCs w:val="32"/>
          <w:highlight w:val="none"/>
        </w:rPr>
        <w:t>QXSDE-2018）、《</w:t>
      </w:r>
      <w:r>
        <w:rPr>
          <w:rFonts w:hint="eastAsia" w:eastAsia="仿宋_GB2312"/>
          <w:color w:val="auto"/>
          <w:sz w:val="30"/>
          <w:szCs w:val="32"/>
          <w:highlight w:val="none"/>
        </w:rPr>
        <w:t>重庆市绿色建筑工程计价定额》（C</w:t>
      </w:r>
      <w:r>
        <w:rPr>
          <w:rFonts w:eastAsia="仿宋_GB2312"/>
          <w:color w:val="auto"/>
          <w:sz w:val="30"/>
          <w:szCs w:val="32"/>
          <w:highlight w:val="none"/>
        </w:rPr>
        <w:t>QLSJZDE-2018）、</w:t>
      </w:r>
      <w:r>
        <w:rPr>
          <w:rFonts w:hint="eastAsia" w:eastAsia="仿宋_GB2312"/>
          <w:color w:val="auto"/>
          <w:sz w:val="30"/>
          <w:szCs w:val="32"/>
          <w:highlight w:val="none"/>
        </w:rPr>
        <w:t>《重庆市建设工程费用定额》（CQFYDE-2018）、《重庆市建设工程混凝土及砂浆配合比表》（CQP</w:t>
      </w:r>
      <w:r>
        <w:rPr>
          <w:rFonts w:eastAsia="仿宋_GB2312"/>
          <w:color w:val="auto"/>
          <w:sz w:val="30"/>
          <w:szCs w:val="32"/>
          <w:highlight w:val="none"/>
        </w:rPr>
        <w:t>HBB</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8）、《重庆市建设工程施工机械台班定额》（CQ</w:t>
      </w:r>
      <w:r>
        <w:rPr>
          <w:rFonts w:eastAsia="仿宋_GB2312"/>
          <w:color w:val="auto"/>
          <w:sz w:val="30"/>
          <w:szCs w:val="32"/>
          <w:highlight w:val="none"/>
        </w:rPr>
        <w:t>JXDE</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8）、《重庆市建设工程施工仪器仪表台班定额》（CQ</w:t>
      </w:r>
      <w:r>
        <w:rPr>
          <w:rFonts w:eastAsia="仿宋_GB2312"/>
          <w:color w:val="auto"/>
          <w:sz w:val="30"/>
          <w:szCs w:val="32"/>
          <w:highlight w:val="none"/>
        </w:rPr>
        <w:t>YQYBDE</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及相关配套文件执行，再按承包人报价浮动费率{承包人报价浮动率=【1-（不含税中标价-甲供材-暂估价-暂列金额-安全文明施工费）/（不含税投标总报价最高限价-甲供材-暂估价-暂列金额-安全文明施工费）】×100%}进行税前下浮后结算，其中：</w:t>
      </w:r>
    </w:p>
    <w:p w14:paraId="2FF9F87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人工工日单价按《重庆工程造价信息》公布的</w:t>
      </w:r>
      <w:r>
        <w:rPr>
          <w:rFonts w:hint="eastAsia" w:eastAsia="仿宋_GB2312"/>
          <w:color w:val="auto"/>
          <w:kern w:val="0"/>
          <w:sz w:val="30"/>
          <w:szCs w:val="32"/>
          <w:highlight w:val="none"/>
          <w:lang w:val="en-US" w:eastAsia="zh-CN"/>
        </w:rPr>
        <w:t>2026</w:t>
      </w:r>
      <w:r>
        <w:rPr>
          <w:rFonts w:hint="eastAsia" w:eastAsia="仿宋_GB2312"/>
          <w:color w:val="auto"/>
          <w:sz w:val="30"/>
          <w:szCs w:val="32"/>
          <w:highlight w:val="none"/>
        </w:rPr>
        <w:t>年第</w:t>
      </w:r>
      <w:r>
        <w:rPr>
          <w:rFonts w:hint="eastAsia" w:eastAsia="仿宋_GB2312"/>
          <w:color w:val="auto"/>
          <w:kern w:val="0"/>
          <w:sz w:val="30"/>
          <w:szCs w:val="32"/>
          <w:highlight w:val="none"/>
          <w:lang w:val="en-US" w:eastAsia="zh-CN"/>
        </w:rPr>
        <w:t>2</w:t>
      </w:r>
      <w:r>
        <w:rPr>
          <w:rFonts w:hint="eastAsia" w:eastAsia="仿宋_GB2312"/>
          <w:color w:val="auto"/>
          <w:sz w:val="30"/>
          <w:szCs w:val="32"/>
          <w:highlight w:val="none"/>
        </w:rPr>
        <w:t>季度项目所在地人工信息价计算；</w:t>
      </w:r>
    </w:p>
    <w:p w14:paraId="77D3830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材料单价：</w:t>
      </w:r>
    </w:p>
    <w:p w14:paraId="3982E63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①按合同签订日期《重庆工程造价信息》发布的项目所在地的信息价（厂商推荐价格和厂商推广价格除外）执行，如所在地区县没有相关材料信息价，则按主城区信息价（综合价格信息）执行；</w:t>
      </w:r>
    </w:p>
    <w:p w14:paraId="127D77A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②阻燃、耐火、低烟无卤等电缆的单价在普通电缆信息价基础上按以下比例上浮，再执行合同约定的下浮费率：</w:t>
      </w:r>
    </w:p>
    <w:p w14:paraId="0733371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⒈阻燃线缆在同截面普通线缆上C类加2%、B类加4.3%、A类加6.7%；</w:t>
      </w:r>
    </w:p>
    <w:p w14:paraId="7AA143A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⒉耐火线缆在同截面普通线缆上加15%（50mm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19%（10mm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28%（10mm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w:t>
      </w:r>
      <w:r>
        <w:rPr>
          <w:rFonts w:hint="eastAsia" w:eastAsia="仿宋_GB2312"/>
          <w:color w:val="auto"/>
          <w:sz w:val="30"/>
          <w:szCs w:val="32"/>
          <w:highlight w:val="none"/>
        </w:rPr>
        <w:t>）；</w:t>
      </w:r>
    </w:p>
    <w:p w14:paraId="15167BB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⒊低烟无卤阻燃（B类）线缆在同截面普通线缆价格上加10%(50mm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)、13%（10mm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17%（10mm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以下）；低烟无卤阻燃耐火（</w:t>
      </w:r>
      <w:r>
        <w:rPr>
          <w:rFonts w:hint="eastAsia" w:eastAsia="仿宋_GB2312"/>
          <w:color w:val="auto"/>
          <w:sz w:val="30"/>
          <w:szCs w:val="32"/>
          <w:highlight w:val="none"/>
        </w:rPr>
        <w:t>B类）线缆在同截面普通线缆价格上加22%（50mm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29%（10mm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34%（10mm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以下）；低烟无卤</w:t>
      </w:r>
      <w:r>
        <w:rPr>
          <w:rFonts w:hint="eastAsia" w:eastAsia="仿宋_GB2312"/>
          <w:color w:val="auto"/>
          <w:sz w:val="30"/>
          <w:szCs w:val="32"/>
          <w:highlight w:val="none"/>
        </w:rPr>
        <w:t>A类单价按B类单价乘1.05系数，低烟无卤C类单价按B类单价乘0.93系数；</w:t>
      </w:r>
    </w:p>
    <w:p w14:paraId="1356F39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⒋燃烧性能B1级按低烟无卤阻燃（B类）线缆相同截面价格基础上乘1.09系数。</w:t>
      </w:r>
    </w:p>
    <w:p w14:paraId="0D9E2B0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③信息价中虽载有同类型钢材，但所刊载的具体型号、规格与工程实际使用钢材不完全一致时，按以下原则参照近似规格的信息价执行，仍须适用本合同约定的价格下浮费率：</w:t>
      </w:r>
    </w:p>
    <w:p w14:paraId="22E7EC7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⒈实际规格低于信息价所列最小规格，按信息价中最接近的较小规格区间价格执行（示例： 槽钢实际规格低于 8# 的，参照信息价中“8–14#”区间价格执行）。</w:t>
      </w:r>
    </w:p>
    <w:p w14:paraId="00E7E8E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⒉实际规格高于信息价所列最大规格，按信息价中最接近的较大规格区间价格执行（示例： 槽钢实际规格高于 40# 的，参照信息价中“36–40#”区间价格执行）。</w:t>
      </w:r>
    </w:p>
    <w:p w14:paraId="504C731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⒊其他规格差异情形参照上述原则，选择与工程实际使用钢材在性能参数、尺寸规格方面最为接近的信息价对应区间执行。</w:t>
      </w:r>
    </w:p>
    <w:p w14:paraId="455F128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④信息价没有的按承包人中标文件中相同材料单价的最低值执行；</w:t>
      </w:r>
    </w:p>
    <w:p w14:paraId="1D5A8DA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⑤信息价和承包人中标文件都没有的，按发包人结合市场行情认质核价确定；</w:t>
      </w:r>
    </w:p>
    <w:p w14:paraId="37EADFD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⑥不再另行计取采保费；</w:t>
      </w:r>
    </w:p>
    <w:p w14:paraId="58C3E47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下浮基数不含安全文明施工费、认质核价的费用、甲供材、规费；</w:t>
      </w:r>
    </w:p>
    <w:p w14:paraId="1858DFC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（3）、零星机械台班和经审批的特殊施工方案中明确的机械台班按发包人核价执行，零星材料和经审批的特殊施工方案中明确的材料按前款第（2）条中的约定执行；</w:t>
      </w:r>
    </w:p>
    <w:p w14:paraId="76ACE9F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施工组织措施项目费：完成合同范围约定内的工作内容，则按投标时施工组织措施项目费的报价作为结算价，若有新增工作内容，施工组织措施项目费费率高于重庆市建设工程费用定额（CQFYDE-2018）规定的，结算时按定额标准计取，否则按投标报价费率计取；</w:t>
      </w:r>
    </w:p>
    <w:p w14:paraId="4A98BCA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5）、施工技术措施项目费中以项计列的项目，完成合同范围约定内的工作内容，则按投标时施工技术措施项目费的报价作为结算价；技术措施清单中以项目编码、项目名称、项目特征、工程内容、工程量及计量单位列项的项目，以中标人投标报价的综合单价乘以按《建设工程工程量清单计价规范》（GB50500-2013）约定的计量规则计算的实际变更及调整合格工程量办理结算；    </w:t>
      </w:r>
    </w:p>
    <w:p w14:paraId="4148B7E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安全文明施工费：按《关于修订发布《重庆市建设工程安全文明施工费计取及使用管理规定》的通知》（渝建管〔2024〕38号）规定进行结算，即在结算时先减去投标时的暂列金额，再按渝建管〔2024〕38号结算。</w:t>
      </w:r>
    </w:p>
    <w:p w14:paraId="12FBF48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4. 规费按2018年重庆市建设工程费用定额规定结算。税金按《重庆市城乡建设委员会关于建筑业营业税改征增值税调整建设工程计价依据的通知》（渝建发[2016]35号）文件及《重庆市城乡建设委员会关于适用增值税新税率调整建设工程计价依据的通知》（渝建〔2019〕143 号）文件规定执行。  </w:t>
      </w:r>
    </w:p>
    <w:p w14:paraId="75D03E6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5. 承包人不得以工程量增减变化为由向发包人提出利润、管理费等费用索赔；</w:t>
      </w:r>
    </w:p>
    <w:p w14:paraId="196C1A0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6.甲供材消耗量按投标文件对应综合单价分析表中材料损耗率计算，如无对应综合单价分析表则参照本条增减工程结算约定的计价定额中相关定额子目材料损耗率计算。承包人领取材料量大于结算材料消耗量则视为材料过剩，如非承包人原因所造成的，则承包人需将多余材料移交发包人，并完成移交手续，双方签字确认；如未完成移交手续或承包人无法证明过剩材料非承包人原因所造成，则按发包人对应材料采购合同中材料单价计算，并在结算工程款中扣除。另外，若承包人领取的单项材料量超过结算材料消耗量的10%时，超过部分材料，承包人除承担该部分材料价款外，还将按发包人采购价的50%作为承包人应承担的违约金，并在结算工程款中扣除。</w:t>
      </w:r>
    </w:p>
    <w:bookmarkEnd w:id="478"/>
    <w:bookmarkEnd w:id="479"/>
    <w:bookmarkEnd w:id="480"/>
    <w:bookmarkEnd w:id="481"/>
    <w:bookmarkEnd w:id="482"/>
    <w:bookmarkEnd w:id="483"/>
    <w:bookmarkEnd w:id="484"/>
    <w:bookmarkEnd w:id="490"/>
    <w:p w14:paraId="0736991F">
      <w:pPr>
        <w:pStyle w:val="5"/>
        <w:spacing w:before="120" w:after="120" w:line="360" w:lineRule="auto"/>
        <w:rPr>
          <w:rFonts w:ascii="Times New Roman" w:hAnsi="Times New Roman" w:eastAsia="黑体"/>
          <w:b w:val="0"/>
          <w:color w:val="auto"/>
          <w:sz w:val="32"/>
          <w:szCs w:val="32"/>
          <w:highlight w:val="none"/>
        </w:rPr>
      </w:pPr>
      <w:bookmarkStart w:id="493" w:name="_Toc351203647"/>
      <w:bookmarkStart w:id="494" w:name="_Toc267251483"/>
      <w:bookmarkStart w:id="495" w:name="_Toc267251484"/>
      <w:bookmarkStart w:id="496" w:name="_Toc267251482"/>
      <w:bookmarkStart w:id="497" w:name="_Toc267251485"/>
      <w:bookmarkStart w:id="498" w:name="_Toc267251489"/>
      <w:bookmarkStart w:id="499" w:name="_Toc267251488"/>
      <w:bookmarkStart w:id="500" w:name="_Toc267251490"/>
      <w:bookmarkStart w:id="501" w:name="_Toc267251486"/>
      <w:bookmarkStart w:id="502" w:name="_Toc267251493"/>
      <w:bookmarkStart w:id="503" w:name="_Toc267251501"/>
      <w:bookmarkStart w:id="504" w:name="_Toc267251494"/>
      <w:bookmarkStart w:id="505" w:name="_Toc267251492"/>
      <w:bookmarkStart w:id="506" w:name="_Toc267251497"/>
      <w:bookmarkStart w:id="507" w:name="_Toc267251503"/>
      <w:bookmarkStart w:id="508" w:name="_Toc267251491"/>
      <w:bookmarkStart w:id="509" w:name="_Toc267251496"/>
      <w:bookmarkStart w:id="510" w:name="_Toc267251498"/>
      <w:bookmarkStart w:id="511" w:name="_Toc267251495"/>
      <w:bookmarkStart w:id="512" w:name="_Toc267251502"/>
      <w:bookmarkStart w:id="513" w:name="_Toc267251499"/>
      <w:bookmarkStart w:id="514" w:name="_Toc267251507"/>
      <w:bookmarkStart w:id="515" w:name="_Toc267251506"/>
      <w:bookmarkStart w:id="516" w:name="_Toc267251504"/>
      <w:bookmarkStart w:id="517" w:name="_Toc267251508"/>
      <w:bookmarkStart w:id="518" w:name="_Toc267251509"/>
      <w:bookmarkStart w:id="519" w:name="_Toc267251514"/>
      <w:bookmarkStart w:id="520" w:name="_Toc267251513"/>
      <w:bookmarkStart w:id="521" w:name="_Toc267251510"/>
      <w:bookmarkStart w:id="522" w:name="_Toc267251511"/>
      <w:bookmarkStart w:id="523" w:name="_Toc267251515"/>
      <w:r>
        <w:rPr>
          <w:rFonts w:ascii="Times New Roman" w:hAnsi="Times New Roman" w:eastAsia="黑体"/>
          <w:b w:val="0"/>
          <w:color w:val="auto"/>
          <w:sz w:val="32"/>
          <w:szCs w:val="32"/>
          <w:highlight w:val="none"/>
        </w:rPr>
        <w:t>15. 缺陷责任期与保修</w:t>
      </w:r>
      <w:bookmarkEnd w:id="493"/>
    </w:p>
    <w:p w14:paraId="35A4519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15.2缺陷责任期</w:t>
      </w:r>
      <w:bookmarkEnd w:id="494"/>
    </w:p>
    <w:p w14:paraId="4B5B4A9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缺陷责任期的具体期限：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自工程通过竣工验收之日起计算24个月</w:t>
      </w:r>
      <w:r>
        <w:rPr>
          <w:rFonts w:eastAsia="仿宋_GB2312"/>
          <w:color w:val="auto"/>
          <w:sz w:val="30"/>
          <w:szCs w:val="32"/>
          <w:highlight w:val="none"/>
          <w:u w:val="single"/>
        </w:rPr>
        <w:t xml:space="preserve">  </w:t>
      </w:r>
      <w:r>
        <w:rPr>
          <w:rFonts w:eastAsia="仿宋_GB2312"/>
          <w:color w:val="auto"/>
          <w:sz w:val="30"/>
          <w:szCs w:val="32"/>
          <w:highlight w:val="none"/>
        </w:rPr>
        <w:t>。</w:t>
      </w:r>
    </w:p>
    <w:p w14:paraId="40BAB257">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15.3 质量保证金</w:t>
      </w:r>
    </w:p>
    <w:p w14:paraId="1B6FC5B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关于是否扣留质量保证金的约定：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是</w:t>
      </w:r>
      <w:r>
        <w:rPr>
          <w:rFonts w:eastAsia="仿宋_GB2312"/>
          <w:color w:val="auto"/>
          <w:sz w:val="30"/>
          <w:szCs w:val="32"/>
          <w:highlight w:val="none"/>
          <w:u w:val="single"/>
        </w:rPr>
        <w:t xml:space="preserve">  </w:t>
      </w:r>
      <w:r>
        <w:rPr>
          <w:rFonts w:eastAsia="仿宋_GB2312"/>
          <w:color w:val="auto"/>
          <w:sz w:val="30"/>
          <w:szCs w:val="32"/>
          <w:highlight w:val="none"/>
        </w:rPr>
        <w:t>。</w:t>
      </w:r>
    </w:p>
    <w:p w14:paraId="0DE58FC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在工程项目竣工前，承包人按专用合同条款第3.7条提供履约担保的，发包人不得同时预留工程质量保证金。</w:t>
      </w:r>
    </w:p>
    <w:p w14:paraId="544A0B4B">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 xml:space="preserve">15.3.1 </w:t>
      </w:r>
      <w:r>
        <w:rPr>
          <w:rFonts w:hint="eastAsia" w:eastAsia="仿宋_GB2312"/>
          <w:color w:val="auto"/>
          <w:sz w:val="30"/>
          <w:szCs w:val="32"/>
          <w:highlight w:val="none"/>
        </w:rPr>
        <w:t>承包人提供</w:t>
      </w:r>
      <w:r>
        <w:rPr>
          <w:rFonts w:eastAsia="仿宋_GB2312"/>
          <w:color w:val="auto"/>
          <w:sz w:val="30"/>
          <w:szCs w:val="32"/>
          <w:highlight w:val="none"/>
        </w:rPr>
        <w:t>质量保证金的</w:t>
      </w:r>
      <w:r>
        <w:rPr>
          <w:rFonts w:hint="eastAsia" w:eastAsia="仿宋_GB2312"/>
          <w:color w:val="auto"/>
          <w:sz w:val="30"/>
          <w:szCs w:val="32"/>
          <w:highlight w:val="none"/>
        </w:rPr>
        <w:t>方</w:t>
      </w:r>
      <w:r>
        <w:rPr>
          <w:rFonts w:eastAsia="仿宋_GB2312"/>
          <w:color w:val="auto"/>
          <w:sz w:val="30"/>
          <w:szCs w:val="32"/>
          <w:highlight w:val="none"/>
        </w:rPr>
        <w:t>式</w:t>
      </w:r>
    </w:p>
    <w:p w14:paraId="1FA2DF5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质量保证金采用以下第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2</w:t>
      </w:r>
      <w:r>
        <w:rPr>
          <w:rFonts w:eastAsia="仿宋_GB2312"/>
          <w:color w:val="auto"/>
          <w:sz w:val="30"/>
          <w:szCs w:val="32"/>
          <w:highlight w:val="none"/>
          <w:u w:val="single"/>
        </w:rPr>
        <w:t xml:space="preserve">  </w:t>
      </w:r>
      <w:r>
        <w:rPr>
          <w:rFonts w:eastAsia="仿宋_GB2312"/>
          <w:color w:val="auto"/>
          <w:sz w:val="30"/>
          <w:szCs w:val="32"/>
          <w:highlight w:val="none"/>
        </w:rPr>
        <w:t>种方式：</w:t>
      </w:r>
    </w:p>
    <w:p w14:paraId="362D2B89">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（1）质量保证金保函，保证金额为：</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 xml:space="preserve">； </w:t>
      </w:r>
    </w:p>
    <w:p w14:paraId="25F09BAD">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w:t>
      </w:r>
      <w:r>
        <w:rPr>
          <w:rFonts w:eastAsia="仿宋_GB2312"/>
          <w:color w:val="auto"/>
          <w:kern w:val="0"/>
          <w:sz w:val="30"/>
          <w:szCs w:val="32"/>
          <w:highlight w:val="none"/>
          <w:u w:val="single"/>
        </w:rPr>
        <w:t xml:space="preserve">  3  </w:t>
      </w:r>
      <w:r>
        <w:rPr>
          <w:rFonts w:eastAsia="仿宋_GB2312"/>
          <w:color w:val="auto"/>
          <w:kern w:val="0"/>
          <w:sz w:val="30"/>
          <w:szCs w:val="32"/>
          <w:highlight w:val="none"/>
        </w:rPr>
        <w:t>%的工程款；</w:t>
      </w:r>
    </w:p>
    <w:p w14:paraId="3C82DDF2">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（3）其他</w:t>
      </w:r>
      <w:r>
        <w:rPr>
          <w:rFonts w:hint="eastAsia" w:eastAsia="仿宋_GB2312"/>
          <w:color w:val="auto"/>
          <w:kern w:val="0"/>
          <w:sz w:val="30"/>
          <w:szCs w:val="32"/>
          <w:highlight w:val="none"/>
        </w:rPr>
        <w:t>方</w:t>
      </w:r>
      <w:r>
        <w:rPr>
          <w:rFonts w:eastAsia="仿宋_GB2312"/>
          <w:color w:val="auto"/>
          <w:kern w:val="0"/>
          <w:sz w:val="30"/>
          <w:szCs w:val="32"/>
          <w:highlight w:val="none"/>
        </w:rPr>
        <w:t>式:</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584A8B98">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 xml:space="preserve">15.3.2 质量保证金的扣留 </w:t>
      </w:r>
    </w:p>
    <w:p w14:paraId="14F45C0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质量保证金的扣留采取以下第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2</w:t>
      </w:r>
      <w:r>
        <w:rPr>
          <w:rFonts w:eastAsia="仿宋_GB2312"/>
          <w:color w:val="auto"/>
          <w:sz w:val="30"/>
          <w:szCs w:val="32"/>
          <w:highlight w:val="none"/>
          <w:u w:val="single"/>
        </w:rPr>
        <w:t xml:space="preserve">  </w:t>
      </w:r>
      <w:r>
        <w:rPr>
          <w:rFonts w:eastAsia="仿宋_GB2312"/>
          <w:color w:val="auto"/>
          <w:sz w:val="30"/>
          <w:szCs w:val="32"/>
          <w:highlight w:val="none"/>
        </w:rPr>
        <w:t>种方式：</w:t>
      </w:r>
    </w:p>
    <w:p w14:paraId="038B0B5E">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（1）在支付工程进度款时逐次扣留，在此情形下，质量保证金的计算基数不包括预付款的支付、扣回以及价格调整的金额；</w:t>
      </w:r>
    </w:p>
    <w:p w14:paraId="66E61691">
      <w:pPr>
        <w:autoSpaceDE w:val="0"/>
        <w:autoSpaceDN w:val="0"/>
        <w:adjustRightInd w:val="0"/>
        <w:spacing w:line="360" w:lineRule="auto"/>
        <w:ind w:firstLine="600" w:firstLineChars="200"/>
        <w:jc w:val="left"/>
        <w:outlineLvl w:val="0"/>
        <w:rPr>
          <w:rFonts w:eastAsia="仿宋_GB2312"/>
          <w:color w:val="auto"/>
          <w:kern w:val="0"/>
          <w:sz w:val="30"/>
          <w:szCs w:val="32"/>
          <w:highlight w:val="none"/>
        </w:rPr>
      </w:pPr>
      <w:r>
        <w:rPr>
          <w:rFonts w:eastAsia="仿宋_GB2312"/>
          <w:color w:val="auto"/>
          <w:kern w:val="0"/>
          <w:sz w:val="30"/>
          <w:szCs w:val="32"/>
          <w:highlight w:val="none"/>
        </w:rPr>
        <w:t>（2）工程竣工结算时一次性扣留质量保证金；</w:t>
      </w:r>
    </w:p>
    <w:p w14:paraId="04D3B37C">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（3）其他扣留方式:</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B906C51">
      <w:pPr>
        <w:spacing w:line="360" w:lineRule="auto"/>
        <w:ind w:firstLine="600" w:firstLineChars="200"/>
        <w:jc w:val="left"/>
        <w:rPr>
          <w:rFonts w:eastAsia="仿宋_GB2312"/>
          <w:color w:val="auto"/>
          <w:kern w:val="0"/>
          <w:sz w:val="30"/>
          <w:szCs w:val="32"/>
          <w:highlight w:val="none"/>
          <w:u w:val="single"/>
        </w:rPr>
      </w:pPr>
      <w:r>
        <w:rPr>
          <w:rFonts w:eastAsia="仿宋_GB2312"/>
          <w:color w:val="auto"/>
          <w:sz w:val="30"/>
          <w:szCs w:val="32"/>
          <w:highlight w:val="none"/>
        </w:rPr>
        <w:t>关于质量保证金的补充约定：</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发包人退还质量保证金时仅退还本金，不另计利息   </w:t>
      </w:r>
      <w:r>
        <w:rPr>
          <w:rFonts w:eastAsia="仿宋_GB2312"/>
          <w:color w:val="auto"/>
          <w:kern w:val="0"/>
          <w:sz w:val="30"/>
          <w:szCs w:val="32"/>
          <w:highlight w:val="none"/>
        </w:rPr>
        <w:t>。</w:t>
      </w:r>
    </w:p>
    <w:bookmarkEnd w:id="495"/>
    <w:bookmarkEnd w:id="496"/>
    <w:p w14:paraId="45641FB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15.4保修</w:t>
      </w:r>
    </w:p>
    <w:bookmarkEnd w:id="497"/>
    <w:p w14:paraId="2604F34D">
      <w:pPr>
        <w:spacing w:line="360" w:lineRule="auto"/>
        <w:ind w:firstLine="585" w:firstLineChars="195"/>
        <w:jc w:val="left"/>
        <w:rPr>
          <w:rFonts w:eastAsia="仿宋_GB2312"/>
          <w:color w:val="auto"/>
          <w:sz w:val="30"/>
          <w:szCs w:val="32"/>
          <w:highlight w:val="none"/>
        </w:rPr>
      </w:pPr>
      <w:r>
        <w:rPr>
          <w:rFonts w:eastAsia="仿宋_GB2312"/>
          <w:color w:val="auto"/>
          <w:sz w:val="30"/>
          <w:szCs w:val="32"/>
          <w:highlight w:val="none"/>
        </w:rPr>
        <w:t>15.4.1 保修责任</w:t>
      </w:r>
    </w:p>
    <w:p w14:paraId="0B890D2D">
      <w:pPr>
        <w:ind w:firstLine="600" w:firstLineChars="200"/>
        <w:rPr>
          <w:rFonts w:eastAsia="仿宋_GB2312"/>
          <w:color w:val="auto"/>
          <w:sz w:val="30"/>
          <w:szCs w:val="32"/>
          <w:highlight w:val="none"/>
        </w:rPr>
      </w:pPr>
      <w:r>
        <w:rPr>
          <w:rFonts w:eastAsia="仿宋_GB2312"/>
          <w:color w:val="auto"/>
          <w:sz w:val="30"/>
          <w:szCs w:val="32"/>
          <w:highlight w:val="none"/>
        </w:rPr>
        <w:t>工程保修期为：</w:t>
      </w:r>
    </w:p>
    <w:p w14:paraId="184E72B6">
      <w:pPr>
        <w:ind w:firstLine="600" w:firstLineChars="200"/>
        <w:rPr>
          <w:rFonts w:ascii="仿宋_GB2312" w:eastAsia="仿宋_GB2312"/>
          <w:color w:val="auto"/>
          <w:sz w:val="30"/>
          <w:szCs w:val="30"/>
          <w:highlight w:val="none"/>
        </w:rPr>
      </w:pPr>
      <w:r>
        <w:rPr>
          <w:rFonts w:hint="eastAsia" w:eastAsia="仿宋_GB2312"/>
          <w:color w:val="auto"/>
          <w:sz w:val="30"/>
          <w:szCs w:val="30"/>
          <w:highlight w:val="none"/>
        </w:rPr>
        <w:t>（1）．</w:t>
      </w:r>
      <w:r>
        <w:rPr>
          <w:rFonts w:hint="eastAsia" w:ascii="仿宋_GB2312" w:eastAsia="仿宋_GB2312"/>
          <w:color w:val="auto"/>
          <w:sz w:val="30"/>
          <w:szCs w:val="30"/>
          <w:highlight w:val="none"/>
        </w:rPr>
        <w:t>地基基础工程和主体结构工程为设计文件规定的工程合理使用年限；</w:t>
      </w:r>
    </w:p>
    <w:p w14:paraId="4B69623F">
      <w:pPr>
        <w:spacing w:line="360" w:lineRule="auto"/>
        <w:ind w:firstLine="600" w:firstLineChars="200"/>
        <w:rPr>
          <w:rFonts w:eastAsia="仿宋_GB2312"/>
          <w:color w:val="auto"/>
          <w:sz w:val="30"/>
          <w:szCs w:val="30"/>
          <w:highlight w:val="none"/>
        </w:rPr>
      </w:pPr>
      <w:r>
        <w:rPr>
          <w:rFonts w:hint="eastAsia" w:ascii="仿宋_GB2312" w:eastAsia="仿宋_GB2312"/>
          <w:color w:val="auto"/>
          <w:sz w:val="30"/>
          <w:szCs w:val="30"/>
          <w:highlight w:val="none"/>
        </w:rPr>
        <w:t>（2）．</w:t>
      </w:r>
      <w:r>
        <w:rPr>
          <w:rFonts w:eastAsia="仿宋_GB2312"/>
          <w:color w:val="auto"/>
          <w:sz w:val="30"/>
          <w:szCs w:val="30"/>
          <w:highlight w:val="none"/>
        </w:rPr>
        <w:t>屋面防水工程、有防水要求的卫生间、房间和外墙面的防渗</w:t>
      </w:r>
      <w:r>
        <w:rPr>
          <w:rFonts w:hint="eastAsia" w:eastAsia="仿宋_GB2312"/>
          <w:color w:val="auto"/>
          <w:sz w:val="30"/>
          <w:szCs w:val="30"/>
          <w:highlight w:val="none"/>
        </w:rPr>
        <w:t>为</w:t>
      </w:r>
      <w:r>
        <w:rPr>
          <w:rFonts w:hint="eastAsia" w:eastAsia="仿宋_GB2312"/>
          <w:color w:val="auto"/>
          <w:sz w:val="30"/>
          <w:szCs w:val="30"/>
          <w:highlight w:val="none"/>
          <w:u w:val="single"/>
        </w:rPr>
        <w:t xml:space="preserve">5  </w:t>
      </w:r>
      <w:r>
        <w:rPr>
          <w:rFonts w:eastAsia="仿宋_GB2312"/>
          <w:color w:val="auto"/>
          <w:sz w:val="30"/>
          <w:szCs w:val="30"/>
          <w:highlight w:val="none"/>
        </w:rPr>
        <w:t>年；</w:t>
      </w:r>
    </w:p>
    <w:p w14:paraId="7E4592C5">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（3）．</w:t>
      </w:r>
      <w:r>
        <w:rPr>
          <w:rFonts w:eastAsia="仿宋_GB2312"/>
          <w:color w:val="auto"/>
          <w:sz w:val="30"/>
          <w:szCs w:val="30"/>
          <w:highlight w:val="none"/>
        </w:rPr>
        <w:t>装修工程为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0DCA18B2">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（4）．</w:t>
      </w:r>
      <w:r>
        <w:rPr>
          <w:rFonts w:eastAsia="仿宋_GB2312"/>
          <w:color w:val="auto"/>
          <w:sz w:val="30"/>
          <w:szCs w:val="30"/>
          <w:highlight w:val="none"/>
        </w:rPr>
        <w:t>电气管线、给排水管道、设备安装工程为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5409DA37">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（5）．</w:t>
      </w:r>
      <w:r>
        <w:rPr>
          <w:rFonts w:eastAsia="仿宋_GB2312"/>
          <w:color w:val="auto"/>
          <w:sz w:val="30"/>
          <w:szCs w:val="30"/>
          <w:highlight w:val="none"/>
        </w:rPr>
        <w:t>供热与供冷系统为</w:t>
      </w:r>
      <w:r>
        <w:rPr>
          <w:rFonts w:eastAsia="仿宋_GB2312"/>
          <w:color w:val="auto"/>
          <w:sz w:val="30"/>
          <w:szCs w:val="30"/>
          <w:highlight w:val="none"/>
          <w:u w:val="single"/>
        </w:rPr>
        <w:t xml:space="preserve">  2  </w:t>
      </w:r>
      <w:r>
        <w:rPr>
          <w:rFonts w:eastAsia="仿宋_GB2312"/>
          <w:color w:val="auto"/>
          <w:sz w:val="30"/>
          <w:szCs w:val="30"/>
          <w:highlight w:val="none"/>
        </w:rPr>
        <w:t>个采暖期、供冷期；</w:t>
      </w:r>
    </w:p>
    <w:p w14:paraId="6B8AD29C">
      <w:pPr>
        <w:spacing w:line="360" w:lineRule="auto"/>
        <w:ind w:left="420" w:leftChars="200" w:firstLine="150" w:firstLineChars="50"/>
        <w:rPr>
          <w:color w:val="auto"/>
          <w:highlight w:val="none"/>
        </w:rPr>
      </w:pPr>
      <w:r>
        <w:rPr>
          <w:rFonts w:hint="eastAsia" w:ascii="仿宋_GB2312" w:eastAsia="仿宋_GB2312"/>
          <w:color w:val="auto"/>
          <w:sz w:val="30"/>
          <w:szCs w:val="30"/>
          <w:highlight w:val="none"/>
        </w:rPr>
        <w:t>（6）．</w:t>
      </w:r>
      <w:r>
        <w:rPr>
          <w:rFonts w:hint="eastAsia" w:eastAsia="仿宋_GB2312"/>
          <w:color w:val="auto"/>
          <w:sz w:val="30"/>
          <w:szCs w:val="30"/>
          <w:highlight w:val="none"/>
        </w:rPr>
        <w:t>厂区</w:t>
      </w:r>
      <w:r>
        <w:rPr>
          <w:rFonts w:eastAsia="仿宋_GB2312"/>
          <w:color w:val="auto"/>
          <w:sz w:val="30"/>
          <w:szCs w:val="30"/>
          <w:highlight w:val="none"/>
        </w:rPr>
        <w:t>内的给排水设施、道路等配套工程为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41830D58">
      <w:pPr>
        <w:spacing w:line="360" w:lineRule="auto"/>
        <w:ind w:firstLine="585" w:firstLineChars="195"/>
        <w:jc w:val="left"/>
        <w:rPr>
          <w:rFonts w:eastAsia="仿宋_GB2312"/>
          <w:color w:val="auto"/>
          <w:sz w:val="30"/>
          <w:szCs w:val="32"/>
          <w:highlight w:val="none"/>
        </w:rPr>
      </w:pPr>
      <w:r>
        <w:rPr>
          <w:rFonts w:eastAsia="仿宋_GB2312"/>
          <w:color w:val="auto"/>
          <w:sz w:val="30"/>
          <w:szCs w:val="32"/>
          <w:highlight w:val="none"/>
        </w:rPr>
        <w:t>15.4.3 修复通知</w:t>
      </w:r>
    </w:p>
    <w:p w14:paraId="5A7B7612">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承包人收到保修通知并到达工程现场的合理时间：</w:t>
      </w:r>
      <w:r>
        <w:rPr>
          <w:rFonts w:eastAsia="仿宋_GB2312"/>
          <w:color w:val="auto"/>
          <w:kern w:val="0"/>
          <w:sz w:val="30"/>
          <w:szCs w:val="32"/>
          <w:highlight w:val="none"/>
          <w:u w:val="single"/>
        </w:rPr>
        <w:t xml:space="preserve">  24</w:t>
      </w:r>
      <w:r>
        <w:rPr>
          <w:rFonts w:hint="eastAsia" w:eastAsia="仿宋_GB2312"/>
          <w:color w:val="auto"/>
          <w:kern w:val="0"/>
          <w:sz w:val="30"/>
          <w:szCs w:val="32"/>
          <w:highlight w:val="none"/>
          <w:u w:val="single"/>
        </w:rPr>
        <w:t>小时内</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bookmarkEnd w:id="498"/>
    <w:bookmarkEnd w:id="499"/>
    <w:bookmarkEnd w:id="500"/>
    <w:bookmarkEnd w:id="501"/>
    <w:p w14:paraId="27B9E0AB">
      <w:pPr>
        <w:pStyle w:val="5"/>
        <w:spacing w:before="120" w:after="120" w:line="360" w:lineRule="auto"/>
        <w:rPr>
          <w:rFonts w:ascii="Times New Roman" w:hAnsi="Times New Roman" w:eastAsia="黑体"/>
          <w:b w:val="0"/>
          <w:color w:val="auto"/>
          <w:sz w:val="32"/>
          <w:szCs w:val="32"/>
          <w:highlight w:val="none"/>
        </w:rPr>
      </w:pPr>
      <w:bookmarkStart w:id="524" w:name="_Toc351203648"/>
      <w:bookmarkStart w:id="525" w:name="_Toc280868717"/>
      <w:bookmarkStart w:id="526" w:name="_Toc280868718"/>
      <w:r>
        <w:rPr>
          <w:rFonts w:ascii="Times New Roman" w:hAnsi="Times New Roman" w:eastAsia="黑体"/>
          <w:b w:val="0"/>
          <w:color w:val="auto"/>
          <w:sz w:val="32"/>
          <w:szCs w:val="32"/>
          <w:highlight w:val="none"/>
        </w:rPr>
        <w:t>16. 违约</w:t>
      </w:r>
      <w:bookmarkEnd w:id="524"/>
    </w:p>
    <w:p w14:paraId="78E4D783">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16.1 发包人违约</w:t>
      </w:r>
    </w:p>
    <w:p w14:paraId="2D9FBA13">
      <w:pPr>
        <w:spacing w:line="360" w:lineRule="auto"/>
        <w:ind w:left="1500" w:hanging="1500" w:hangingChars="500"/>
        <w:jc w:val="left"/>
        <w:rPr>
          <w:rFonts w:eastAsia="仿宋_GB2312"/>
          <w:color w:val="auto"/>
          <w:kern w:val="0"/>
          <w:sz w:val="30"/>
          <w:szCs w:val="32"/>
          <w:highlight w:val="none"/>
        </w:rPr>
      </w:pPr>
      <w:r>
        <w:rPr>
          <w:rFonts w:eastAsia="仿宋_GB2312"/>
          <w:color w:val="auto"/>
          <w:kern w:val="0"/>
          <w:sz w:val="30"/>
          <w:szCs w:val="32"/>
          <w:highlight w:val="none"/>
        </w:rPr>
        <w:t xml:space="preserve">    16.1.2 发包人违约的责任</w:t>
      </w:r>
    </w:p>
    <w:p w14:paraId="540B49ED">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发包人违约责任的承担方式和计算方法：</w:t>
      </w:r>
    </w:p>
    <w:p w14:paraId="018B23AD">
      <w:pPr>
        <w:spacing w:line="360" w:lineRule="auto"/>
        <w:ind w:firstLine="600" w:firstLineChars="200"/>
        <w:jc w:val="left"/>
        <w:rPr>
          <w:rFonts w:eastAsia="仿宋_GB2312"/>
          <w:color w:val="auto"/>
          <w:kern w:val="0"/>
          <w:sz w:val="30"/>
          <w:szCs w:val="32"/>
          <w:highlight w:val="none"/>
          <w:u w:val="single"/>
        </w:rPr>
      </w:pPr>
      <w:r>
        <w:rPr>
          <w:rFonts w:eastAsia="仿宋_GB2312"/>
          <w:color w:val="auto"/>
          <w:kern w:val="0"/>
          <w:sz w:val="30"/>
          <w:szCs w:val="32"/>
          <w:highlight w:val="none"/>
        </w:rPr>
        <w:t>（1）因发包人原因未能在计划开工日期前7天内下达开工通知的违约责任：</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相关风险已包含在合同金额内，发包人不再承担违约责任 </w:t>
      </w:r>
      <w:r>
        <w:rPr>
          <w:rFonts w:eastAsia="仿宋_GB2312"/>
          <w:color w:val="auto"/>
          <w:kern w:val="0"/>
          <w:sz w:val="30"/>
          <w:szCs w:val="32"/>
          <w:highlight w:val="none"/>
        </w:rPr>
        <w:t>。</w:t>
      </w:r>
    </w:p>
    <w:p w14:paraId="34E6D73B">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（2）因发包人原因未能按合同约定支付合同价款的违约责任：</w:t>
      </w:r>
      <w:r>
        <w:rPr>
          <w:rFonts w:eastAsia="仿宋_GB2312"/>
          <w:color w:val="auto"/>
          <w:kern w:val="0"/>
          <w:sz w:val="30"/>
          <w:szCs w:val="32"/>
          <w:highlight w:val="none"/>
          <w:u w:val="single"/>
        </w:rPr>
        <w:t xml:space="preserve">  按照中国人民银行发布的同期</w:t>
      </w:r>
      <w:r>
        <w:rPr>
          <w:rFonts w:hint="eastAsia" w:eastAsia="仿宋_GB2312"/>
          <w:color w:val="auto"/>
          <w:kern w:val="0"/>
          <w:sz w:val="30"/>
          <w:szCs w:val="32"/>
          <w:highlight w:val="none"/>
          <w:u w:val="single"/>
        </w:rPr>
        <w:t>、同类贷款基准利率</w:t>
      </w:r>
      <w:r>
        <w:rPr>
          <w:rFonts w:eastAsia="仿宋_GB2312"/>
          <w:color w:val="auto"/>
          <w:kern w:val="0"/>
          <w:sz w:val="30"/>
          <w:szCs w:val="32"/>
          <w:highlight w:val="none"/>
          <w:u w:val="single"/>
        </w:rPr>
        <w:t xml:space="preserve">支付违约金 </w:t>
      </w:r>
      <w:r>
        <w:rPr>
          <w:rFonts w:eastAsia="仿宋_GB2312"/>
          <w:color w:val="auto"/>
          <w:kern w:val="0"/>
          <w:sz w:val="30"/>
          <w:szCs w:val="32"/>
          <w:highlight w:val="none"/>
        </w:rPr>
        <w:t>。</w:t>
      </w:r>
    </w:p>
    <w:p w14:paraId="45AC79A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（3）发包人违反第10.1款</w:t>
      </w:r>
      <w:r>
        <w:rPr>
          <w:rFonts w:hint="eastAsia" w:eastAsia="仿宋_GB2312"/>
          <w:color w:val="auto"/>
          <w:kern w:val="0"/>
          <w:sz w:val="30"/>
          <w:szCs w:val="32"/>
          <w:highlight w:val="none"/>
        </w:rPr>
        <w:t>〔</w:t>
      </w:r>
      <w:r>
        <w:rPr>
          <w:rFonts w:eastAsia="仿宋_GB2312"/>
          <w:color w:val="auto"/>
          <w:kern w:val="0"/>
          <w:sz w:val="30"/>
          <w:szCs w:val="32"/>
          <w:highlight w:val="none"/>
        </w:rPr>
        <w:t>变更的范围</w:t>
      </w:r>
      <w:r>
        <w:rPr>
          <w:rFonts w:hint="eastAsia" w:eastAsia="仿宋_GB2312"/>
          <w:color w:val="auto"/>
          <w:kern w:val="0"/>
          <w:sz w:val="30"/>
          <w:szCs w:val="32"/>
          <w:highlight w:val="none"/>
        </w:rPr>
        <w:t>〕</w:t>
      </w:r>
      <w:r>
        <w:rPr>
          <w:rFonts w:eastAsia="仿宋_GB2312"/>
          <w:color w:val="auto"/>
          <w:kern w:val="0"/>
          <w:sz w:val="30"/>
          <w:szCs w:val="32"/>
          <w:highlight w:val="none"/>
        </w:rPr>
        <w:t>第（2）项约定，自行实施被取消的工作或转由他人实施的违约责任：</w:t>
      </w:r>
      <w:r>
        <w:rPr>
          <w:rFonts w:hint="eastAsia" w:eastAsia="仿宋_GB2312"/>
          <w:color w:val="auto"/>
          <w:kern w:val="0"/>
          <w:sz w:val="30"/>
          <w:szCs w:val="32"/>
          <w:highlight w:val="none"/>
          <w:u w:val="single"/>
        </w:rPr>
        <w:t xml:space="preserve">应支付承包人相应工作的合理利润 </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D0EC854">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（4）发包人提供的材料、工程设备的规格、数量或质量不符合合同约定，或因发包人原因导致交货日期延误或交货地点变更等情况的违约责任：</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相应工期顺延</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16F555E6">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（7）</w:t>
      </w:r>
      <w:r>
        <w:rPr>
          <w:rFonts w:hint="eastAsia" w:eastAsia="仿宋_GB2312"/>
          <w:color w:val="auto"/>
          <w:kern w:val="0"/>
          <w:sz w:val="30"/>
          <w:szCs w:val="32"/>
          <w:highlight w:val="none"/>
        </w:rPr>
        <w:t>其他：</w:t>
      </w:r>
      <w:r>
        <w:rPr>
          <w:rFonts w:hint="eastAsia" w:eastAsia="仿宋_GB2312"/>
          <w:color w:val="auto"/>
          <w:kern w:val="0"/>
          <w:sz w:val="30"/>
          <w:szCs w:val="32"/>
          <w:highlight w:val="none"/>
          <w:u w:val="single"/>
        </w:rPr>
        <w:t>因发包人违约给承包人造成的损失，发包人只对直接损失给予赔偿，对间接损失不予任何费用赔偿</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382D3EFF">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16.2 承包人违约</w:t>
      </w:r>
    </w:p>
    <w:p w14:paraId="171A332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16.2.2承包人违约的责任</w:t>
      </w:r>
    </w:p>
    <w:p w14:paraId="50D5A57B">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1、承包人在施工中没有领会发包人意图或不明确施工要求而又不向发包人求证明确，致使施工不能达到发包人要求的，发包人有权要求承包人返工并由承包人承担返工损失，工期不得顺延；</w:t>
      </w:r>
    </w:p>
    <w:p w14:paraId="15B93D00">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2、承包人不能因为任何原因拖欠农民工工资，由此引发的任何责任由承包人承担；出现拖欠农民工工资行为，发包人有权从承包人工程进度款中扣减直接支付给农民工，并处每次二万元整的违约金；承包人不能因为任何原因拖欠包含但不限于承包人材料供应商及施工机具租赁方任何费用，由此引发的任何责任由承包人承担；出现拖欠包含但不限于材料费及机具租赁费等行为，发包人有权暂停支付工程进度款直至承包人支付完成为止，并处每次二万元整的违约金。</w:t>
      </w:r>
    </w:p>
    <w:p w14:paraId="2C3BA064">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3、承包人派往施工现场的项目经理、技术负责人、其他管理人员每周在现场的时间不少于6天，未经发包人批准擅自离岗的支付违约金每人500元/天；如任一管理人员擅自离岗累计超出5天后，则按超出天数支付违约金</w:t>
      </w:r>
      <w:r>
        <w:rPr>
          <w:rFonts w:eastAsia="仿宋_GB2312"/>
          <w:color w:val="auto"/>
          <w:kern w:val="0"/>
          <w:sz w:val="30"/>
          <w:szCs w:val="32"/>
          <w:highlight w:val="none"/>
        </w:rPr>
        <w:t>1</w:t>
      </w:r>
      <w:r>
        <w:rPr>
          <w:rFonts w:hint="eastAsia" w:eastAsia="仿宋_GB2312"/>
          <w:color w:val="auto"/>
          <w:kern w:val="0"/>
          <w:sz w:val="30"/>
          <w:szCs w:val="32"/>
          <w:highlight w:val="none"/>
        </w:rPr>
        <w:t>000元/天；如任一管理人员擅自离岗累计超出10天，</w:t>
      </w:r>
      <w:r>
        <w:rPr>
          <w:rFonts w:hint="eastAsia" w:eastAsia="仿宋_GB2312"/>
          <w:color w:val="auto"/>
          <w:sz w:val="30"/>
          <w:szCs w:val="32"/>
          <w:highlight w:val="none"/>
        </w:rPr>
        <w:t>发包人有权单方解除合同，不承担违约责任。承包人应于发包人解除合同之日起5日内向发包人支付违约金</w:t>
      </w:r>
      <w:r>
        <w:rPr>
          <w:rFonts w:hint="eastAsia" w:eastAsia="仿宋_GB2312"/>
          <w:color w:val="auto"/>
          <w:sz w:val="30"/>
          <w:szCs w:val="32"/>
          <w:highlight w:val="none"/>
          <w:lang w:val="en-US" w:eastAsia="zh-CN"/>
        </w:rPr>
        <w:t>一</w:t>
      </w:r>
      <w:r>
        <w:rPr>
          <w:rFonts w:hint="eastAsia" w:eastAsia="仿宋_GB2312"/>
          <w:color w:val="auto"/>
          <w:sz w:val="30"/>
          <w:szCs w:val="32"/>
          <w:highlight w:val="none"/>
        </w:rPr>
        <w:t>万元。逾期支付，承包人应额外向发包人支付未付金额0.5‰/天的逾期违约金直至完全支付时</w:t>
      </w:r>
      <w:r>
        <w:rPr>
          <w:rFonts w:hint="eastAsia" w:eastAsia="仿宋_GB2312"/>
          <w:color w:val="auto"/>
          <w:kern w:val="0"/>
          <w:sz w:val="30"/>
          <w:szCs w:val="32"/>
          <w:highlight w:val="none"/>
        </w:rPr>
        <w:t>。</w:t>
      </w:r>
    </w:p>
    <w:p w14:paraId="4997F087">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4、承包人进场人员必须严格按照合同及相关文件中所报项目经理、技术负责人及其他管理人员配备，不得更换。如承包人未经监理和发包人审查同意，更换填报的任一项目经理、技术负责人及其他管理人员，处以每人次五</w:t>
      </w:r>
      <w:r>
        <w:rPr>
          <w:rFonts w:hint="eastAsia" w:eastAsia="仿宋_GB2312"/>
          <w:color w:val="auto"/>
          <w:kern w:val="0"/>
          <w:sz w:val="30"/>
          <w:szCs w:val="32"/>
          <w:highlight w:val="none"/>
          <w:lang w:val="en-US" w:eastAsia="zh-CN"/>
        </w:rPr>
        <w:t>千</w:t>
      </w:r>
      <w:r>
        <w:rPr>
          <w:rFonts w:hint="eastAsia" w:eastAsia="仿宋_GB2312"/>
          <w:color w:val="auto"/>
          <w:kern w:val="0"/>
          <w:sz w:val="30"/>
          <w:szCs w:val="32"/>
          <w:highlight w:val="none"/>
        </w:rPr>
        <w:t>元的违约金，并限期予以纠正；</w:t>
      </w:r>
      <w:r>
        <w:rPr>
          <w:rFonts w:hint="eastAsia" w:eastAsia="仿宋_GB2312"/>
          <w:color w:val="auto"/>
          <w:sz w:val="30"/>
          <w:szCs w:val="32"/>
          <w:highlight w:val="none"/>
        </w:rPr>
        <w:t>逾期未纠正，发包人有权单方解除合同，不承担违约责任。承包人应于发包人解除合同之日起5日内向发包人支付违约金</w:t>
      </w:r>
      <w:r>
        <w:rPr>
          <w:rFonts w:hint="eastAsia" w:eastAsia="仿宋_GB2312"/>
          <w:color w:val="auto"/>
          <w:sz w:val="30"/>
          <w:szCs w:val="32"/>
          <w:highlight w:val="none"/>
          <w:lang w:val="en-US" w:eastAsia="zh-CN"/>
        </w:rPr>
        <w:t>一</w:t>
      </w:r>
      <w:r>
        <w:rPr>
          <w:rFonts w:hint="eastAsia" w:eastAsia="仿宋_GB2312"/>
          <w:color w:val="auto"/>
          <w:sz w:val="30"/>
          <w:szCs w:val="32"/>
          <w:highlight w:val="none"/>
        </w:rPr>
        <w:t>万元。逾期支付，承包人应额外向发包人支付未付金额0.5‰/天的逾期违约金直至完全支付时。</w:t>
      </w:r>
    </w:p>
    <w:p w14:paraId="63BE1CD8">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5、承包人有以下情况发生，属违约行为，应承担的违约责任：按</w:t>
      </w:r>
      <w:r>
        <w:rPr>
          <w:rFonts w:hint="eastAsia" w:eastAsia="仿宋_GB2312"/>
          <w:color w:val="auto"/>
          <w:kern w:val="0"/>
          <w:sz w:val="30"/>
          <w:szCs w:val="32"/>
          <w:highlight w:val="none"/>
          <w:lang w:val="en-US" w:eastAsia="zh-CN"/>
        </w:rPr>
        <w:t>一万</w:t>
      </w:r>
      <w:r>
        <w:rPr>
          <w:rFonts w:hint="eastAsia" w:eastAsia="仿宋_GB2312"/>
          <w:color w:val="auto"/>
          <w:kern w:val="0"/>
          <w:sz w:val="30"/>
          <w:szCs w:val="32"/>
          <w:highlight w:val="none"/>
        </w:rPr>
        <w:t>元/次支付违约金并继续履行合同；在指定期限内拒不整改的，发包人有权解除合同，并要求承包人承担严重违约责任。</w:t>
      </w:r>
    </w:p>
    <w:p w14:paraId="0DD555C2">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（1）承包人违反合同约定进行转包或违法分包的；</w:t>
      </w:r>
    </w:p>
    <w:p w14:paraId="5E9B5E6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（2）承包人违反合同约定采购和使用不合格的材料和工程设备的；</w:t>
      </w:r>
    </w:p>
    <w:p w14:paraId="0E649752">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6、承包人有以下情况发生，属违约行为，应承担的违约责任：支付违约金三千元/次 。</w:t>
      </w:r>
    </w:p>
    <w:p w14:paraId="005A4C9F">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（1）因承包人原因导致工程质量不符合合同要求的</w:t>
      </w:r>
      <w:r>
        <w:rPr>
          <w:rFonts w:hint="eastAsia" w:eastAsia="仿宋_GB2312"/>
          <w:color w:val="auto"/>
          <w:kern w:val="0"/>
          <w:sz w:val="30"/>
          <w:szCs w:val="32"/>
          <w:highlight w:val="none"/>
        </w:rPr>
        <w:t>，由承包人负责返工，直到达到约定标准，其耽误的工期由承包人自负</w:t>
      </w:r>
      <w:r>
        <w:rPr>
          <w:rFonts w:eastAsia="仿宋_GB2312"/>
          <w:color w:val="auto"/>
          <w:kern w:val="0"/>
          <w:sz w:val="30"/>
          <w:szCs w:val="32"/>
          <w:highlight w:val="none"/>
        </w:rPr>
        <w:t>；</w:t>
      </w:r>
    </w:p>
    <w:p w14:paraId="60C244D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w:t>
      </w:r>
      <w:r>
        <w:rPr>
          <w:rFonts w:hint="eastAsia" w:eastAsia="仿宋_GB2312"/>
          <w:color w:val="auto"/>
          <w:kern w:val="0"/>
          <w:sz w:val="30"/>
          <w:szCs w:val="32"/>
          <w:highlight w:val="none"/>
        </w:rPr>
        <w:t>关键工作或发包人特别要求完成的主要工程未按计划完成</w:t>
      </w:r>
      <w:r>
        <w:rPr>
          <w:rFonts w:eastAsia="仿宋_GB2312"/>
          <w:color w:val="auto"/>
          <w:kern w:val="0"/>
          <w:sz w:val="30"/>
          <w:szCs w:val="32"/>
          <w:highlight w:val="none"/>
        </w:rPr>
        <w:t xml:space="preserve">； </w:t>
      </w:r>
    </w:p>
    <w:p w14:paraId="089AA40D">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3</w:t>
      </w:r>
      <w:r>
        <w:rPr>
          <w:rFonts w:eastAsia="仿宋_GB2312"/>
          <w:color w:val="auto"/>
          <w:kern w:val="0"/>
          <w:sz w:val="30"/>
          <w:szCs w:val="32"/>
          <w:highlight w:val="none"/>
        </w:rPr>
        <w:t>）</w:t>
      </w:r>
      <w:r>
        <w:rPr>
          <w:rFonts w:hint="eastAsia" w:eastAsia="仿宋_GB2312"/>
          <w:color w:val="auto"/>
          <w:kern w:val="0"/>
          <w:sz w:val="30"/>
          <w:szCs w:val="32"/>
          <w:highlight w:val="none"/>
        </w:rPr>
        <w:t>施工过程中不按国家相关施工规范组织施工；</w:t>
      </w:r>
    </w:p>
    <w:p w14:paraId="6080EBA2">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4</w:t>
      </w:r>
      <w:r>
        <w:rPr>
          <w:rFonts w:eastAsia="仿宋_GB2312"/>
          <w:color w:val="auto"/>
          <w:kern w:val="0"/>
          <w:sz w:val="30"/>
          <w:szCs w:val="32"/>
          <w:highlight w:val="none"/>
        </w:rPr>
        <w:t>）</w:t>
      </w:r>
      <w:r>
        <w:rPr>
          <w:rFonts w:hint="eastAsia" w:eastAsia="仿宋_GB2312"/>
          <w:color w:val="auto"/>
          <w:kern w:val="0"/>
          <w:sz w:val="30"/>
          <w:szCs w:val="32"/>
          <w:highlight w:val="none"/>
        </w:rPr>
        <w:t>重要部位不按施工程序自检、报验和发包人签字审核，擅自施工；</w:t>
      </w:r>
    </w:p>
    <w:p w14:paraId="2BAF02B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5</w:t>
      </w:r>
      <w:r>
        <w:rPr>
          <w:rFonts w:eastAsia="仿宋_GB2312"/>
          <w:color w:val="auto"/>
          <w:kern w:val="0"/>
          <w:sz w:val="30"/>
          <w:szCs w:val="32"/>
          <w:highlight w:val="none"/>
        </w:rPr>
        <w:t xml:space="preserve">）未经批准，私自将已按照合同约定进入施工现场的材料或设备撤离施工现场的 </w:t>
      </w:r>
      <w:r>
        <w:rPr>
          <w:rFonts w:hint="eastAsia" w:eastAsia="仿宋_GB2312"/>
          <w:color w:val="auto"/>
          <w:kern w:val="0"/>
          <w:sz w:val="30"/>
          <w:szCs w:val="32"/>
          <w:highlight w:val="none"/>
        </w:rPr>
        <w:t>；</w:t>
      </w:r>
    </w:p>
    <w:p w14:paraId="38B3B865">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6</w:t>
      </w:r>
      <w:r>
        <w:rPr>
          <w:rFonts w:eastAsia="仿宋_GB2312"/>
          <w:color w:val="auto"/>
          <w:kern w:val="0"/>
          <w:sz w:val="30"/>
          <w:szCs w:val="32"/>
          <w:highlight w:val="none"/>
        </w:rPr>
        <w:t>）承包人在缺陷责任期及保修期内，未能在合理期限对工程缺陷进行修复，或拒绝按发包人要求进行修复的</w:t>
      </w:r>
      <w:r>
        <w:rPr>
          <w:rFonts w:hint="eastAsia" w:eastAsia="仿宋_GB2312"/>
          <w:color w:val="auto"/>
          <w:kern w:val="0"/>
          <w:sz w:val="30"/>
          <w:szCs w:val="32"/>
          <w:highlight w:val="none"/>
        </w:rPr>
        <w:t xml:space="preserve"> 。</w:t>
      </w:r>
      <w:r>
        <w:rPr>
          <w:rFonts w:eastAsia="仿宋_GB2312"/>
          <w:color w:val="auto"/>
          <w:kern w:val="0"/>
          <w:sz w:val="30"/>
          <w:szCs w:val="32"/>
          <w:highlight w:val="none"/>
        </w:rPr>
        <w:t xml:space="preserve">  </w:t>
      </w:r>
    </w:p>
    <w:p w14:paraId="1B002BFE">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 xml:space="preserve"> </w:t>
      </w:r>
      <w:r>
        <w:rPr>
          <w:rFonts w:hint="eastAsia" w:eastAsia="仿宋_GB2312"/>
          <w:color w:val="auto"/>
          <w:kern w:val="0"/>
          <w:sz w:val="30"/>
          <w:szCs w:val="32"/>
          <w:highlight w:val="none"/>
        </w:rPr>
        <w:t xml:space="preserve">7、承包人提交的工程竣工资料必须字迹清楚、资料完全、图物相符、数据准确、竣工图纸完整，如不符合要求则应承担违约金三千元/处；隐蔽工程验收单缺失则应承担违约金五千元/项。 </w:t>
      </w:r>
    </w:p>
    <w:p w14:paraId="14202736">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 xml:space="preserve"> </w:t>
      </w:r>
      <w:r>
        <w:rPr>
          <w:rFonts w:eastAsia="仿宋_GB2312"/>
          <w:color w:val="auto"/>
          <w:kern w:val="0"/>
          <w:sz w:val="30"/>
          <w:szCs w:val="32"/>
          <w:highlight w:val="none"/>
        </w:rPr>
        <w:t>8、</w:t>
      </w:r>
      <w:r>
        <w:rPr>
          <w:rFonts w:hint="eastAsia" w:eastAsia="仿宋_GB2312"/>
          <w:color w:val="auto"/>
          <w:kern w:val="0"/>
          <w:sz w:val="30"/>
          <w:szCs w:val="32"/>
          <w:highlight w:val="none"/>
        </w:rPr>
        <w:t>发包人有权根据工程进度情况要求承包人增加施工人员和更换施工班组，若承包人未按发包人要求执行，一次性扣违约金</w:t>
      </w:r>
      <w:r>
        <w:rPr>
          <w:rFonts w:hint="eastAsia" w:eastAsia="仿宋_GB2312"/>
          <w:color w:val="auto"/>
          <w:kern w:val="0"/>
          <w:sz w:val="30"/>
          <w:szCs w:val="32"/>
          <w:highlight w:val="none"/>
          <w:lang w:val="en-US" w:eastAsia="zh-CN"/>
        </w:rPr>
        <w:t>一</w:t>
      </w:r>
      <w:r>
        <w:rPr>
          <w:rFonts w:hint="eastAsia" w:eastAsia="仿宋_GB2312"/>
          <w:color w:val="auto"/>
          <w:kern w:val="0"/>
          <w:sz w:val="30"/>
          <w:szCs w:val="32"/>
          <w:highlight w:val="none"/>
        </w:rPr>
        <w:t>万元。</w:t>
      </w:r>
    </w:p>
    <w:p w14:paraId="61C8DB6B">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 xml:space="preserve"> 9、承包人逾期支付上述违约金额时，承包人应额外向发包人支付未付金额0.5‰/天的逾期违约金直至完全支付为止。发包人有权单方解除合同，不承担违约责任。  </w:t>
      </w:r>
    </w:p>
    <w:p w14:paraId="5696B084">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10、实际施工中，如有增减工程内容的情形（包括合同范围以外的新增工作内容），发包人有权对工程内容进行增减调整，承包人必须按发包人发出的指令执行，承包人拒不履行的，发包人有权一次性扣违约金</w:t>
      </w:r>
      <w:r>
        <w:rPr>
          <w:rFonts w:hint="eastAsia" w:eastAsia="仿宋_GB2312"/>
          <w:color w:val="auto"/>
          <w:kern w:val="0"/>
          <w:sz w:val="30"/>
          <w:szCs w:val="32"/>
          <w:highlight w:val="none"/>
          <w:lang w:val="en-US" w:eastAsia="zh-CN"/>
        </w:rPr>
        <w:t>一</w:t>
      </w:r>
      <w:r>
        <w:rPr>
          <w:rFonts w:hint="eastAsia" w:eastAsia="仿宋_GB2312"/>
          <w:color w:val="auto"/>
          <w:kern w:val="0"/>
          <w:sz w:val="30"/>
          <w:szCs w:val="32"/>
          <w:highlight w:val="none"/>
        </w:rPr>
        <w:t>万元，经催告后仍不执行的，发包人有权单方解除合同，不承担违约责任。</w:t>
      </w:r>
    </w:p>
    <w:p w14:paraId="0A9290D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11、</w:t>
      </w:r>
      <w:r>
        <w:rPr>
          <w:rFonts w:hint="eastAsia" w:eastAsia="仿宋_GB2312"/>
          <w:color w:val="auto"/>
          <w:kern w:val="0"/>
          <w:sz w:val="30"/>
          <w:szCs w:val="32"/>
          <w:highlight w:val="none"/>
        </w:rPr>
        <w:t>由发包人组织的工程会议或监理组织的每周工地例会，承包人项目经理和技术负责人必须出席（经发包人批准除外），每缺席一次按500元/人.次扣除违约金。若发包人通知承包人纠正，承包人拒绝或超过48小时未纠正的，发包人有权单方解除合同，因此造成的一切损失由承包人承担。</w:t>
      </w:r>
    </w:p>
    <w:p w14:paraId="0928C2AF">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12、</w:t>
      </w:r>
      <w:r>
        <w:rPr>
          <w:rFonts w:hint="eastAsia" w:eastAsia="仿宋_GB2312"/>
          <w:color w:val="auto"/>
          <w:kern w:val="0"/>
          <w:sz w:val="30"/>
          <w:szCs w:val="32"/>
          <w:highlight w:val="none"/>
        </w:rPr>
        <w:t>工程保修期内发现质量不合格，承包人必须在规定的期限返工并达到合同约定的质量等级，并按该不合格项目所处分项工程造价5%计算向发包人承担支付违约金的责任。</w:t>
      </w:r>
    </w:p>
    <w:p w14:paraId="691B83C3">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13、</w:t>
      </w:r>
      <w:r>
        <w:rPr>
          <w:rFonts w:hint="eastAsia" w:eastAsia="仿宋_GB2312"/>
          <w:color w:val="auto"/>
          <w:kern w:val="0"/>
          <w:sz w:val="30"/>
          <w:szCs w:val="32"/>
          <w:highlight w:val="none"/>
        </w:rPr>
        <w:t>竣工结算办理时如承包人送交的正式结算资料（包含但不限于竣工图、签证单等资料）经发包人查实与工程实际不符，竣工资料应予修改，并且承包人须向发包人支付双倍差额的违约金。</w:t>
      </w:r>
    </w:p>
    <w:p w14:paraId="3A26EB9E">
      <w:pPr>
        <w:spacing w:line="360" w:lineRule="auto"/>
        <w:ind w:firstLine="600" w:firstLineChars="200"/>
        <w:jc w:val="left"/>
        <w:rPr>
          <w:color w:val="auto"/>
          <w:highlight w:val="none"/>
        </w:rPr>
      </w:pPr>
      <w:r>
        <w:rPr>
          <w:rFonts w:eastAsia="仿宋_GB2312"/>
          <w:color w:val="auto"/>
          <w:kern w:val="0"/>
          <w:sz w:val="30"/>
          <w:szCs w:val="32"/>
          <w:highlight w:val="none"/>
        </w:rPr>
        <w:t>14、</w:t>
      </w:r>
      <w:r>
        <w:rPr>
          <w:rFonts w:hint="eastAsia" w:eastAsia="仿宋_GB2312"/>
          <w:color w:val="auto"/>
          <w:kern w:val="0"/>
          <w:sz w:val="30"/>
          <w:szCs w:val="32"/>
          <w:highlight w:val="none"/>
        </w:rPr>
        <w:t>在施工过程中如出现各类资料、测量工器具（含设备）等弄虚作假的情况，处以违约金</w:t>
      </w:r>
      <w:r>
        <w:rPr>
          <w:rFonts w:hint="eastAsia" w:eastAsia="仿宋_GB2312"/>
          <w:color w:val="auto"/>
          <w:kern w:val="0"/>
          <w:sz w:val="30"/>
          <w:szCs w:val="32"/>
          <w:highlight w:val="none"/>
          <w:lang w:val="en-US" w:eastAsia="zh-CN"/>
        </w:rPr>
        <w:t>一</w:t>
      </w:r>
      <w:r>
        <w:rPr>
          <w:rFonts w:hint="eastAsia" w:eastAsia="仿宋_GB2312"/>
          <w:color w:val="auto"/>
          <w:kern w:val="0"/>
          <w:sz w:val="30"/>
          <w:szCs w:val="32"/>
          <w:highlight w:val="none"/>
        </w:rPr>
        <w:t>万元/次，发包人有权单方解除合同，因此造成的相应损失由承包人承担。</w:t>
      </w:r>
    </w:p>
    <w:p w14:paraId="05F5062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16.2.3 因承包人违约解除合同</w:t>
      </w:r>
    </w:p>
    <w:p w14:paraId="1B7A29B0">
      <w:pPr>
        <w:spacing w:line="360" w:lineRule="auto"/>
        <w:ind w:firstLine="600" w:firstLineChars="200"/>
        <w:jc w:val="left"/>
        <w:rPr>
          <w:rFonts w:eastAsia="仿宋_GB2312"/>
          <w:color w:val="auto"/>
          <w:kern w:val="0"/>
          <w:sz w:val="30"/>
          <w:szCs w:val="32"/>
          <w:highlight w:val="none"/>
          <w:u w:val="single"/>
        </w:rPr>
      </w:pPr>
      <w:r>
        <w:rPr>
          <w:rFonts w:eastAsia="仿宋_GB2312"/>
          <w:color w:val="auto"/>
          <w:kern w:val="0"/>
          <w:sz w:val="30"/>
          <w:szCs w:val="32"/>
          <w:highlight w:val="none"/>
        </w:rPr>
        <w:t>关于承包人违约解除合同的特别约定：</w:t>
      </w:r>
    </w:p>
    <w:p w14:paraId="7E2D2613">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1、承包人接到通知后，必须在2天内停止工程施工，并在10天内将机械、材料、物件、人员从施工现场撤离。停工3天内，发包人将会同承包人对已完成工程量进行清点：只承认已完工且符合质量验收标准的部分工程，对于已订货而未到现场或在现场未使用的材料、设备等不予承认，由承包人自行处理；对于承包人已开工但经检验不合格的工程，承包人必须在限期内拆除，并清运出工地，由此带来的相应损失由承包人承担；</w:t>
      </w:r>
    </w:p>
    <w:p w14:paraId="7A55CC64">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2、承包人未在规定期限内离场的，发包人有权将其留在现场的材料、设备和其他物件临时转运到其它堆放处，由此产生的搬运、保管费用应由承包人负责，在此过程中出现的任何非发包人主观故意引起的损坏、遗失由承包人自行负责，处理费用由承包人承担。由于合同解除引致发包人工期延误及其它方面的损失，由承包人负责赔偿；</w:t>
      </w:r>
    </w:p>
    <w:p w14:paraId="6B575E78">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3、承包人在部分解除合同或解除合同后，还必须在规定期限内作好已施工技术资料和实物的交底、移交工作，并配合发包人重新确定施工单位。承包人因未履行上述义务而给发包人带来工期延误和其它损失的，应赔偿发包人的实际损失；</w:t>
      </w:r>
    </w:p>
    <w:p w14:paraId="5949ECC0">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4、合同解除后，不影响双方在合同中约定的结算和清理尾款的效力，亦不能免除承包人对已完工项目的保修责任</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0D035F26">
      <w:pPr>
        <w:spacing w:before="120" w:after="120"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发包人</w:t>
      </w:r>
      <w:r>
        <w:rPr>
          <w:rFonts w:hint="eastAsia" w:eastAsia="仿宋_GB2312"/>
          <w:color w:val="auto"/>
          <w:kern w:val="0"/>
          <w:sz w:val="30"/>
          <w:szCs w:val="32"/>
          <w:highlight w:val="none"/>
        </w:rPr>
        <w:t>继续</w:t>
      </w:r>
      <w:r>
        <w:rPr>
          <w:rFonts w:eastAsia="仿宋_GB2312"/>
          <w:color w:val="auto"/>
          <w:kern w:val="0"/>
          <w:sz w:val="30"/>
          <w:szCs w:val="32"/>
          <w:highlight w:val="none"/>
        </w:rPr>
        <w:t>使用承包人在施工现场的材料、设备、临时工程、承包人文件和由承包人或以其名义编制的其他文件</w:t>
      </w:r>
      <w:r>
        <w:rPr>
          <w:rFonts w:hint="eastAsia" w:eastAsia="仿宋_GB2312"/>
          <w:color w:val="auto"/>
          <w:kern w:val="0"/>
          <w:sz w:val="30"/>
          <w:szCs w:val="32"/>
          <w:highlight w:val="none"/>
        </w:rPr>
        <w:t>的费用承担方式</w:t>
      </w:r>
      <w:r>
        <w:rPr>
          <w:rFonts w:eastAsia="仿宋_GB2312"/>
          <w:color w:val="auto"/>
          <w:kern w:val="0"/>
          <w:sz w:val="30"/>
          <w:szCs w:val="32"/>
          <w:highlight w:val="none"/>
        </w:rPr>
        <w:t>：</w:t>
      </w:r>
      <w:r>
        <w:rPr>
          <w:rFonts w:hint="eastAsia" w:eastAsia="仿宋_GB2312"/>
          <w:color w:val="auto"/>
          <w:kern w:val="0"/>
          <w:sz w:val="30"/>
          <w:szCs w:val="32"/>
          <w:highlight w:val="none"/>
          <w:u w:val="single"/>
        </w:rPr>
        <w:t>发包人继续使用施工现场的材料、设备、临时工程</w:t>
      </w:r>
      <w:r>
        <w:rPr>
          <w:rFonts w:eastAsia="仿宋_GB2312"/>
          <w:color w:val="auto"/>
          <w:kern w:val="0"/>
          <w:sz w:val="30"/>
          <w:szCs w:val="32"/>
          <w:highlight w:val="none"/>
          <w:u w:val="single"/>
        </w:rPr>
        <w:t>按</w:t>
      </w:r>
      <w:r>
        <w:rPr>
          <w:rFonts w:hint="eastAsia" w:eastAsia="仿宋_GB2312"/>
          <w:color w:val="auto"/>
          <w:kern w:val="0"/>
          <w:sz w:val="30"/>
          <w:szCs w:val="32"/>
          <w:highlight w:val="none"/>
          <w:u w:val="single"/>
        </w:rPr>
        <w:t>通用合同条款</w:t>
      </w:r>
      <w:r>
        <w:rPr>
          <w:rFonts w:eastAsia="仿宋_GB2312"/>
          <w:color w:val="auto"/>
          <w:kern w:val="0"/>
          <w:sz w:val="30"/>
          <w:szCs w:val="32"/>
          <w:highlight w:val="none"/>
          <w:u w:val="single"/>
        </w:rPr>
        <w:t>第4.4款</w:t>
      </w:r>
      <w:r>
        <w:rPr>
          <w:rFonts w:hint="eastAsia" w:eastAsia="仿宋_GB2312"/>
          <w:color w:val="auto"/>
          <w:kern w:val="0"/>
          <w:sz w:val="30"/>
          <w:szCs w:val="32"/>
          <w:highlight w:val="none"/>
          <w:u w:val="single"/>
        </w:rPr>
        <w:t>〔</w:t>
      </w:r>
      <w:r>
        <w:rPr>
          <w:rFonts w:eastAsia="仿宋_GB2312"/>
          <w:color w:val="auto"/>
          <w:kern w:val="0"/>
          <w:sz w:val="30"/>
          <w:szCs w:val="32"/>
          <w:highlight w:val="none"/>
          <w:u w:val="single"/>
        </w:rPr>
        <w:t>商定或确定</w:t>
      </w:r>
      <w:r>
        <w:rPr>
          <w:rFonts w:hint="eastAsia" w:eastAsia="仿宋_GB2312"/>
          <w:color w:val="auto"/>
          <w:kern w:val="0"/>
          <w:sz w:val="30"/>
          <w:szCs w:val="32"/>
          <w:highlight w:val="none"/>
          <w:u w:val="single"/>
        </w:rPr>
        <w:t>〕</w:t>
      </w:r>
      <w:r>
        <w:rPr>
          <w:rFonts w:eastAsia="仿宋_GB2312"/>
          <w:color w:val="auto"/>
          <w:kern w:val="0"/>
          <w:sz w:val="30"/>
          <w:szCs w:val="32"/>
          <w:highlight w:val="none"/>
          <w:u w:val="single"/>
        </w:rPr>
        <w:t>商定或确定</w:t>
      </w:r>
      <w:r>
        <w:rPr>
          <w:rFonts w:hint="eastAsia" w:eastAsia="仿宋_GB2312"/>
          <w:color w:val="auto"/>
          <w:kern w:val="0"/>
          <w:sz w:val="30"/>
          <w:szCs w:val="32"/>
          <w:highlight w:val="none"/>
          <w:u w:val="single"/>
        </w:rPr>
        <w:t>；承包人文件和由承包人或以其名义编制的其他文件无偿提供给发包人使用</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rPr>
        <w:t>。</w:t>
      </w:r>
    </w:p>
    <w:p w14:paraId="2FEBD467">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16.4</w:t>
      </w:r>
      <w:r>
        <w:rPr>
          <w:rFonts w:hint="eastAsia" w:eastAsia="仿宋_GB2312"/>
          <w:color w:val="auto"/>
          <w:kern w:val="0"/>
          <w:sz w:val="30"/>
          <w:szCs w:val="32"/>
          <w:highlight w:val="none"/>
        </w:rPr>
        <w:t>承包人应在发包人发出支付违约金通知之日起7日内支付违约金，超出7日则视为逾期支付违约金。</w:t>
      </w:r>
    </w:p>
    <w:p w14:paraId="04A5FA53">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16.5本合同约定的违约金条款均可同时适用，当约定的违约金低于发包人实际损失（包括直接损失、间接损失及维权成本），发包人有权要求承包人按实际损失赔偿。实际损失包括但不限于可得利益损失、替代交易价差、停产损失、维权律师费及差旅费。发包人有权直接从应付款项或保证金中扣除违约金、赔偿金，无需承包人同意。</w:t>
      </w:r>
    </w:p>
    <w:p w14:paraId="0099EFBA">
      <w:pPr>
        <w:pStyle w:val="5"/>
        <w:spacing w:before="120" w:after="120" w:line="360" w:lineRule="auto"/>
        <w:rPr>
          <w:rFonts w:ascii="Times New Roman" w:hAnsi="Times New Roman" w:eastAsia="黑体"/>
          <w:b w:val="0"/>
          <w:color w:val="auto"/>
          <w:sz w:val="32"/>
          <w:szCs w:val="32"/>
          <w:highlight w:val="none"/>
        </w:rPr>
      </w:pPr>
      <w:bookmarkStart w:id="527" w:name="_Toc351203649"/>
      <w:r>
        <w:rPr>
          <w:rFonts w:ascii="Times New Roman" w:hAnsi="Times New Roman" w:eastAsia="黑体"/>
          <w:b w:val="0"/>
          <w:color w:val="auto"/>
          <w:sz w:val="32"/>
          <w:szCs w:val="32"/>
          <w:highlight w:val="none"/>
        </w:rPr>
        <w:t>17. 不可抗力</w:t>
      </w:r>
      <w:bookmarkEnd w:id="527"/>
      <w:r>
        <w:rPr>
          <w:rFonts w:ascii="Times New Roman" w:hAnsi="Times New Roman" w:eastAsia="黑体"/>
          <w:b w:val="0"/>
          <w:color w:val="auto"/>
          <w:sz w:val="32"/>
          <w:szCs w:val="32"/>
          <w:highlight w:val="none"/>
        </w:rPr>
        <w:t xml:space="preserve"> </w:t>
      </w:r>
      <w:bookmarkEnd w:id="525"/>
    </w:p>
    <w:p w14:paraId="12EB009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17.1 不可抗力的确认</w:t>
      </w:r>
    </w:p>
    <w:p w14:paraId="6F5257CB">
      <w:pPr>
        <w:spacing w:line="360" w:lineRule="auto"/>
        <w:ind w:firstLine="600" w:firstLineChars="200"/>
        <w:jc w:val="left"/>
        <w:rPr>
          <w:rFonts w:eastAsia="仿宋_GB2312"/>
          <w:color w:val="auto"/>
          <w:kern w:val="0"/>
          <w:sz w:val="30"/>
          <w:szCs w:val="32"/>
          <w:highlight w:val="none"/>
        </w:rPr>
      </w:pPr>
      <w:r>
        <w:rPr>
          <w:rFonts w:eastAsia="仿宋_GB2312"/>
          <w:color w:val="auto"/>
          <w:sz w:val="30"/>
          <w:szCs w:val="32"/>
          <w:highlight w:val="none"/>
        </w:rPr>
        <w:t xml:space="preserve">除通用合同条款约定的不可抗力事件之外，视为不可抗力的其他情形： </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空中飞行物坠落或非发包人、承包人责任造成的爆炸、火灾以及百年一遇以上等级的风、雨、雪、洪水、高温自然灾害 </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3B2EF875">
      <w:pPr>
        <w:spacing w:line="360" w:lineRule="auto"/>
        <w:ind w:firstLine="600" w:firstLineChars="200"/>
        <w:jc w:val="left"/>
        <w:rPr>
          <w:rFonts w:eastAsia="黑体"/>
          <w:color w:val="auto"/>
          <w:sz w:val="30"/>
          <w:szCs w:val="32"/>
          <w:highlight w:val="none"/>
        </w:rPr>
      </w:pPr>
      <w:r>
        <w:rPr>
          <w:rFonts w:eastAsia="仿宋_GB2312"/>
          <w:color w:val="auto"/>
          <w:kern w:val="0"/>
          <w:sz w:val="30"/>
          <w:szCs w:val="32"/>
          <w:highlight w:val="none"/>
        </w:rPr>
        <w:t>17.3</w:t>
      </w:r>
      <w:r>
        <w:rPr>
          <w:rFonts w:eastAsia="黑体"/>
          <w:color w:val="auto"/>
          <w:sz w:val="30"/>
          <w:szCs w:val="32"/>
          <w:highlight w:val="none"/>
        </w:rPr>
        <w:t>不可抗力后果的承担</w:t>
      </w:r>
    </w:p>
    <w:p w14:paraId="6DD0CB57">
      <w:pPr>
        <w:spacing w:line="360" w:lineRule="auto"/>
        <w:ind w:firstLine="600" w:firstLineChars="200"/>
        <w:jc w:val="left"/>
        <w:rPr>
          <w:rFonts w:eastAsia="仿宋_GB2312"/>
          <w:color w:val="auto"/>
          <w:sz w:val="30"/>
          <w:szCs w:val="32"/>
          <w:highlight w:val="none"/>
        </w:rPr>
      </w:pPr>
      <w:r>
        <w:rPr>
          <w:rFonts w:hint="eastAsia" w:eastAsia="仿宋_GB2312"/>
          <w:color w:val="auto"/>
          <w:kern w:val="0"/>
          <w:sz w:val="30"/>
          <w:szCs w:val="32"/>
          <w:highlight w:val="none"/>
        </w:rPr>
        <w:t>17.3.2</w:t>
      </w:r>
      <w:r>
        <w:rPr>
          <w:rFonts w:eastAsia="仿宋_GB2312"/>
          <w:color w:val="auto"/>
          <w:sz w:val="30"/>
          <w:szCs w:val="32"/>
          <w:highlight w:val="none"/>
        </w:rPr>
        <w:t>不可抗力导致的人员伤亡、财产损失、费用增加和（或）工期延误等后果，由合同当事人按以下原则承担：</w:t>
      </w:r>
    </w:p>
    <w:p w14:paraId="3BC74DCA">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（4</w:t>
      </w:r>
      <w:r>
        <w:rPr>
          <w:rFonts w:eastAsia="仿宋_GB2312"/>
          <w:color w:val="auto"/>
          <w:sz w:val="30"/>
          <w:szCs w:val="32"/>
          <w:highlight w:val="none"/>
        </w:rPr>
        <w:t>）因不可抗力影响承包人履行合同约定的义务，由此导致承包人停工的费用损失由承包人</w:t>
      </w:r>
      <w:r>
        <w:rPr>
          <w:rFonts w:hint="eastAsia" w:eastAsia="仿宋_GB2312"/>
          <w:color w:val="auto"/>
          <w:sz w:val="30"/>
          <w:szCs w:val="32"/>
          <w:highlight w:val="none"/>
        </w:rPr>
        <w:t>承担</w:t>
      </w:r>
      <w:r>
        <w:rPr>
          <w:rFonts w:eastAsia="仿宋_GB2312"/>
          <w:color w:val="auto"/>
          <w:sz w:val="30"/>
          <w:szCs w:val="32"/>
          <w:highlight w:val="none"/>
        </w:rPr>
        <w:t>，停工期间必须支付的工人工资由</w:t>
      </w:r>
      <w:r>
        <w:rPr>
          <w:rFonts w:hint="eastAsia" w:eastAsia="仿宋_GB2312"/>
          <w:color w:val="auto"/>
          <w:sz w:val="30"/>
          <w:szCs w:val="32"/>
          <w:highlight w:val="none"/>
        </w:rPr>
        <w:t>承包</w:t>
      </w:r>
      <w:r>
        <w:rPr>
          <w:rFonts w:eastAsia="仿宋_GB2312"/>
          <w:color w:val="auto"/>
          <w:sz w:val="30"/>
          <w:szCs w:val="32"/>
          <w:highlight w:val="none"/>
        </w:rPr>
        <w:t>人承担。</w:t>
      </w:r>
    </w:p>
    <w:p w14:paraId="753A52C4">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17.4 因不可抗力解除合同</w:t>
      </w:r>
    </w:p>
    <w:p w14:paraId="49097EF9">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合同解除后，发包人应在商定或确定发包人应支付款项后</w:t>
      </w:r>
      <w:r>
        <w:rPr>
          <w:rFonts w:eastAsia="仿宋_GB2312"/>
          <w:color w:val="auto"/>
          <w:sz w:val="30"/>
          <w:szCs w:val="32"/>
          <w:highlight w:val="none"/>
          <w:u w:val="single"/>
        </w:rPr>
        <w:t xml:space="preserve"> 28 </w:t>
      </w:r>
      <w:r>
        <w:rPr>
          <w:rFonts w:eastAsia="仿宋_GB2312"/>
          <w:color w:val="auto"/>
          <w:sz w:val="30"/>
          <w:szCs w:val="32"/>
          <w:highlight w:val="none"/>
        </w:rPr>
        <w:t>天内完成款项的支付。</w:t>
      </w:r>
    </w:p>
    <w:p w14:paraId="7BCC167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承包人撤离施工现场以及遣散承包人人员的费用</w:t>
      </w:r>
      <w:r>
        <w:rPr>
          <w:rFonts w:hint="eastAsia" w:eastAsia="仿宋_GB2312"/>
          <w:color w:val="auto"/>
          <w:sz w:val="30"/>
          <w:szCs w:val="32"/>
          <w:highlight w:val="none"/>
        </w:rPr>
        <w:t>由承包人自行承担。</w:t>
      </w:r>
    </w:p>
    <w:p w14:paraId="1AD71EB1">
      <w:pPr>
        <w:pStyle w:val="5"/>
        <w:spacing w:before="120" w:after="120" w:line="360" w:lineRule="auto"/>
        <w:rPr>
          <w:rFonts w:ascii="Times New Roman" w:hAnsi="Times New Roman" w:eastAsia="黑体"/>
          <w:b w:val="0"/>
          <w:color w:val="auto"/>
          <w:sz w:val="32"/>
          <w:szCs w:val="32"/>
          <w:highlight w:val="none"/>
        </w:rPr>
      </w:pPr>
      <w:bookmarkStart w:id="528" w:name="_Toc351203650"/>
      <w:r>
        <w:rPr>
          <w:rFonts w:ascii="Times New Roman" w:hAnsi="Times New Roman" w:eastAsia="黑体"/>
          <w:b w:val="0"/>
          <w:color w:val="auto"/>
          <w:sz w:val="32"/>
          <w:szCs w:val="32"/>
          <w:highlight w:val="none"/>
        </w:rPr>
        <w:t>18. 保险</w:t>
      </w:r>
      <w:bookmarkEnd w:id="528"/>
    </w:p>
    <w:bookmarkEnd w:id="526"/>
    <w:p w14:paraId="572B6D31">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18.1 工程保险</w:t>
      </w:r>
    </w:p>
    <w:p w14:paraId="34F63F1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关于工程保险的特别约定：</w:t>
      </w:r>
      <w:r>
        <w:rPr>
          <w:rFonts w:hint="eastAsia" w:eastAsia="仿宋_GB2312"/>
          <w:color w:val="auto"/>
          <w:kern w:val="0"/>
          <w:sz w:val="30"/>
          <w:szCs w:val="32"/>
          <w:highlight w:val="none"/>
          <w:u w:val="single"/>
        </w:rPr>
        <w:t>承包人须以发包人和承包人的名义向双方同意的保险人投保建筑安装工程一切险及第三方责任险，此项费用由承包人承担，如承包人未按约定购买，导致发包人未能得到足额赔偿，由承包人负责补足。承包人应当按照劳动法有关规定为所有入场人员办理工伤保险，并在合同签订后7天内向发包人提交保险证明材料。承包人必须要为其所有作业人员购买人身伤害保险,发生身故情况的保险赔偿金额不低于 200 万元，并为施工场地内自有人员生命财产和施工机械设备办理保险，支付保险费用。</w:t>
      </w:r>
    </w:p>
    <w:bookmarkEnd w:id="502"/>
    <w:bookmarkEnd w:id="503"/>
    <w:bookmarkEnd w:id="504"/>
    <w:bookmarkEnd w:id="505"/>
    <w:bookmarkEnd w:id="506"/>
    <w:bookmarkEnd w:id="507"/>
    <w:bookmarkEnd w:id="508"/>
    <w:bookmarkEnd w:id="509"/>
    <w:bookmarkEnd w:id="510"/>
    <w:bookmarkEnd w:id="511"/>
    <w:bookmarkEnd w:id="512"/>
    <w:bookmarkEnd w:id="513"/>
    <w:p w14:paraId="2B47A0EB">
      <w:pPr>
        <w:pStyle w:val="5"/>
        <w:spacing w:before="120" w:after="120" w:line="360" w:lineRule="auto"/>
        <w:rPr>
          <w:rFonts w:ascii="Times New Roman" w:hAnsi="Times New Roman" w:eastAsia="黑体"/>
          <w:b w:val="0"/>
          <w:color w:val="auto"/>
          <w:sz w:val="32"/>
          <w:szCs w:val="32"/>
          <w:highlight w:val="none"/>
        </w:rPr>
      </w:pPr>
      <w:bookmarkStart w:id="529" w:name="_Toc351203651"/>
      <w:r>
        <w:rPr>
          <w:rFonts w:ascii="Times New Roman" w:hAnsi="Times New Roman" w:eastAsia="黑体"/>
          <w:b w:val="0"/>
          <w:color w:val="auto"/>
          <w:sz w:val="32"/>
          <w:szCs w:val="32"/>
          <w:highlight w:val="none"/>
        </w:rPr>
        <w:t>20. 争议解决</w:t>
      </w:r>
      <w:bookmarkEnd w:id="529"/>
    </w:p>
    <w:bookmarkEnd w:id="514"/>
    <w:bookmarkEnd w:id="515"/>
    <w:bookmarkEnd w:id="516"/>
    <w:p w14:paraId="54AC6604">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20.4仲裁或诉讼</w:t>
      </w:r>
      <w:bookmarkEnd w:id="517"/>
    </w:p>
    <w:p w14:paraId="7AB6B86F">
      <w:pPr>
        <w:spacing w:after="120" w:line="360" w:lineRule="auto"/>
        <w:ind w:firstLine="600" w:firstLineChars="200"/>
        <w:rPr>
          <w:rFonts w:eastAsia="黑体"/>
          <w:color w:val="auto"/>
          <w:sz w:val="30"/>
          <w:szCs w:val="32"/>
          <w:highlight w:val="none"/>
        </w:rPr>
      </w:pPr>
      <w:r>
        <w:rPr>
          <w:rFonts w:eastAsia="仿宋_GB2312"/>
          <w:color w:val="auto"/>
          <w:sz w:val="30"/>
          <w:szCs w:val="32"/>
          <w:highlight w:val="none"/>
        </w:rPr>
        <w:t>因合同及合同有关事项发生的争议，按下列第</w:t>
      </w:r>
      <w:r>
        <w:rPr>
          <w:rFonts w:eastAsia="仿宋_GB2312"/>
          <w:color w:val="auto"/>
          <w:sz w:val="30"/>
          <w:szCs w:val="32"/>
          <w:highlight w:val="none"/>
          <w:u w:val="single"/>
        </w:rPr>
        <w:t xml:space="preserve">  2  </w:t>
      </w:r>
      <w:r>
        <w:rPr>
          <w:rFonts w:eastAsia="仿宋_GB2312"/>
          <w:color w:val="auto"/>
          <w:sz w:val="30"/>
          <w:szCs w:val="32"/>
          <w:highlight w:val="none"/>
        </w:rPr>
        <w:t>种方式</w:t>
      </w:r>
      <w:r>
        <w:rPr>
          <w:rFonts w:hint="eastAsia" w:eastAsia="仿宋_GB2312"/>
          <w:color w:val="auto"/>
          <w:sz w:val="30"/>
          <w:szCs w:val="32"/>
          <w:highlight w:val="none"/>
        </w:rPr>
        <w:t>解</w:t>
      </w:r>
      <w:r>
        <w:rPr>
          <w:rFonts w:eastAsia="仿宋_GB2312"/>
          <w:color w:val="auto"/>
          <w:sz w:val="30"/>
          <w:szCs w:val="32"/>
          <w:highlight w:val="none"/>
        </w:rPr>
        <w:t>决：</w:t>
      </w:r>
    </w:p>
    <w:p w14:paraId="3883764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（1）向</w:t>
      </w:r>
      <w:r>
        <w:rPr>
          <w:rFonts w:eastAsia="仿宋_GB2312"/>
          <w:color w:val="auto"/>
          <w:sz w:val="30"/>
          <w:szCs w:val="32"/>
          <w:highlight w:val="none"/>
          <w:u w:val="single"/>
        </w:rPr>
        <w:t xml:space="preserve">                     </w:t>
      </w:r>
      <w:r>
        <w:rPr>
          <w:rFonts w:eastAsia="仿宋_GB2312"/>
          <w:color w:val="auto"/>
          <w:sz w:val="30"/>
          <w:szCs w:val="32"/>
          <w:highlight w:val="none"/>
        </w:rPr>
        <w:t>仲裁委员会申请仲裁；</w:t>
      </w:r>
    </w:p>
    <w:p w14:paraId="6688671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（2）向</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发包人所在地   </w:t>
      </w:r>
      <w:r>
        <w:rPr>
          <w:rFonts w:eastAsia="仿宋_GB2312"/>
          <w:color w:val="auto"/>
          <w:sz w:val="30"/>
          <w:szCs w:val="32"/>
          <w:highlight w:val="none"/>
          <w:u w:val="single"/>
        </w:rPr>
        <w:t xml:space="preserve">  </w:t>
      </w:r>
      <w:r>
        <w:rPr>
          <w:rFonts w:eastAsia="仿宋_GB2312"/>
          <w:color w:val="auto"/>
          <w:sz w:val="30"/>
          <w:szCs w:val="32"/>
          <w:highlight w:val="none"/>
        </w:rPr>
        <w:t>人民法院起诉。</w:t>
      </w:r>
      <w:bookmarkEnd w:id="518"/>
      <w:bookmarkEnd w:id="519"/>
      <w:bookmarkEnd w:id="520"/>
      <w:bookmarkEnd w:id="521"/>
      <w:bookmarkEnd w:id="522"/>
      <w:bookmarkEnd w:id="523"/>
    </w:p>
    <w:p w14:paraId="4B04E43D">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 xml:space="preserve">21. </w:t>
      </w:r>
      <w:r>
        <w:rPr>
          <w:rFonts w:hint="eastAsia" w:ascii="Times New Roman" w:hAnsi="Times New Roman" w:eastAsia="黑体"/>
          <w:b w:val="0"/>
          <w:color w:val="auto"/>
          <w:sz w:val="32"/>
          <w:szCs w:val="32"/>
          <w:highlight w:val="none"/>
        </w:rPr>
        <w:t>其他未尽事宜补充约定</w:t>
      </w:r>
    </w:p>
    <w:p w14:paraId="60F174EF">
      <w:pPr>
        <w:spacing w:after="120" w:line="360" w:lineRule="auto"/>
        <w:ind w:firstLine="600" w:firstLineChars="200"/>
        <w:outlineLvl w:val="0"/>
        <w:rPr>
          <w:rFonts w:eastAsia="仿宋_GB2312"/>
          <w:color w:val="auto"/>
          <w:sz w:val="30"/>
          <w:szCs w:val="32"/>
          <w:highlight w:val="none"/>
        </w:rPr>
      </w:pPr>
      <w:r>
        <w:rPr>
          <w:rFonts w:eastAsia="黑体"/>
          <w:color w:val="auto"/>
          <w:sz w:val="30"/>
          <w:szCs w:val="32"/>
          <w:highlight w:val="none"/>
        </w:rPr>
        <w:t>21.1</w:t>
      </w:r>
      <w:r>
        <w:rPr>
          <w:rFonts w:hint="eastAsia" w:eastAsia="仿宋_GB2312"/>
          <w:color w:val="auto"/>
          <w:sz w:val="30"/>
          <w:szCs w:val="32"/>
          <w:highlight w:val="none"/>
        </w:rPr>
        <w:t>本合同为乙供主材，本合同采用一般计税方法计取增值税，发包人在支付承包人工程款以前须收到承包人开具的付款金额足额的增值税专用发票，否则发包人不予支付工程款；</w:t>
      </w:r>
    </w:p>
    <w:p w14:paraId="3304C3B1">
      <w:pPr>
        <w:spacing w:after="120" w:line="360" w:lineRule="auto"/>
        <w:ind w:firstLine="600" w:firstLineChars="200"/>
        <w:outlineLvl w:val="0"/>
        <w:rPr>
          <w:rFonts w:eastAsia="仿宋_GB2312"/>
          <w:color w:val="auto"/>
          <w:sz w:val="30"/>
          <w:szCs w:val="32"/>
          <w:highlight w:val="none"/>
        </w:rPr>
      </w:pPr>
      <w:r>
        <w:rPr>
          <w:rFonts w:eastAsia="仿宋_GB2312"/>
          <w:color w:val="auto"/>
          <w:sz w:val="30"/>
          <w:szCs w:val="32"/>
          <w:highlight w:val="none"/>
        </w:rPr>
        <w:t>21.2</w:t>
      </w:r>
      <w:r>
        <w:rPr>
          <w:rFonts w:hint="eastAsia" w:eastAsia="仿宋_GB2312"/>
          <w:color w:val="auto"/>
          <w:sz w:val="30"/>
          <w:szCs w:val="32"/>
          <w:highlight w:val="none"/>
        </w:rPr>
        <w:t>如果承包人送审的工程结算金额超过双方审定的结算总额的10%以上，超出部分的金额发包人委托造价咨询公司提供咨询服务所产生的咨询费用由承包人承担，且按超出部分金额的5%作为违约金由承包人承担。</w:t>
      </w:r>
    </w:p>
    <w:p w14:paraId="4C0A1B21">
      <w:pPr>
        <w:spacing w:after="120" w:line="360" w:lineRule="auto"/>
        <w:ind w:firstLine="600" w:firstLineChars="200"/>
        <w:outlineLvl w:val="0"/>
        <w:rPr>
          <w:rFonts w:eastAsia="仿宋_GB2312"/>
          <w:color w:val="auto"/>
          <w:sz w:val="30"/>
          <w:szCs w:val="32"/>
          <w:highlight w:val="none"/>
        </w:rPr>
      </w:pPr>
      <w:r>
        <w:rPr>
          <w:rFonts w:eastAsia="仿宋_GB2312"/>
          <w:color w:val="auto"/>
          <w:sz w:val="30"/>
          <w:szCs w:val="32"/>
          <w:highlight w:val="none"/>
        </w:rPr>
        <w:t>21.3施工现场</w:t>
      </w:r>
      <w:r>
        <w:rPr>
          <w:rFonts w:hint="eastAsia" w:eastAsia="仿宋_GB2312"/>
          <w:color w:val="auto"/>
          <w:sz w:val="30"/>
          <w:szCs w:val="32"/>
          <w:highlight w:val="none"/>
        </w:rPr>
        <w:t>临时</w:t>
      </w:r>
      <w:r>
        <w:rPr>
          <w:rFonts w:eastAsia="仿宋_GB2312"/>
          <w:color w:val="auto"/>
          <w:sz w:val="30"/>
          <w:szCs w:val="32"/>
          <w:highlight w:val="none"/>
        </w:rPr>
        <w:t>用水、电由</w:t>
      </w:r>
      <w:r>
        <w:rPr>
          <w:rFonts w:hint="eastAsia" w:eastAsia="仿宋_GB2312"/>
          <w:color w:val="auto"/>
          <w:sz w:val="30"/>
          <w:szCs w:val="32"/>
          <w:highlight w:val="none"/>
          <w:lang w:val="en-US" w:eastAsia="zh-CN"/>
        </w:rPr>
        <w:t>发</w:t>
      </w:r>
      <w:r>
        <w:rPr>
          <w:rFonts w:eastAsia="仿宋_GB2312"/>
          <w:color w:val="auto"/>
          <w:sz w:val="30"/>
          <w:szCs w:val="32"/>
          <w:highlight w:val="none"/>
        </w:rPr>
        <w:t>包人</w:t>
      </w:r>
      <w:r>
        <w:rPr>
          <w:rFonts w:hint="eastAsia" w:eastAsia="仿宋_GB2312"/>
          <w:color w:val="auto"/>
          <w:sz w:val="30"/>
          <w:szCs w:val="32"/>
          <w:highlight w:val="none"/>
          <w:lang w:val="en-US" w:eastAsia="zh-CN"/>
        </w:rPr>
        <w:t>承担</w:t>
      </w:r>
      <w:r>
        <w:rPr>
          <w:rFonts w:hint="eastAsia" w:eastAsia="仿宋_GB2312"/>
          <w:color w:val="auto"/>
          <w:sz w:val="30"/>
          <w:szCs w:val="32"/>
          <w:highlight w:val="none"/>
        </w:rPr>
        <w:t>。</w:t>
      </w:r>
    </w:p>
    <w:p w14:paraId="5F924A6B">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21.4承包人拆除的钢筋混凝土构件中的钢筋、预埋铁件等，由承包人自行处理并清理外运。</w:t>
      </w:r>
    </w:p>
    <w:p w14:paraId="486B790A">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21.5承包人应向发包人开具增值税专用发票，收到承包人开具的9%税率的增值税专用发票后发包人再进行支付工程款，开票信息如下：</w:t>
      </w:r>
    </w:p>
    <w:p w14:paraId="7A881BE9">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单位名称： 重庆国际复合材料股份有限公司长寿分公司</w:t>
      </w:r>
    </w:p>
    <w:p w14:paraId="1840F284">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纳税人识别号：91500115781577477H</w:t>
      </w:r>
    </w:p>
    <w:p w14:paraId="37BC31BA">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单位地址： 重庆市长寿区晏家工业园</w:t>
      </w:r>
    </w:p>
    <w:p w14:paraId="5CA243C7">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联系电话：023-68157845</w:t>
      </w:r>
    </w:p>
    <w:p w14:paraId="443EFC84">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开户行：中国银行重庆晏家支行</w:t>
      </w:r>
    </w:p>
    <w:p w14:paraId="08962B19">
      <w:pPr>
        <w:pStyle w:val="8"/>
        <w:ind w:left="63" w:right="63" w:firstLine="600" w:firstLineChars="200"/>
        <w:jc w:val="both"/>
        <w:rPr>
          <w:rFonts w:eastAsia="仿宋_GB2312"/>
          <w:color w:val="auto"/>
          <w:sz w:val="30"/>
          <w:szCs w:val="32"/>
          <w:highlight w:val="none"/>
        </w:rPr>
      </w:pPr>
      <w:r>
        <w:rPr>
          <w:rFonts w:hint="eastAsia" w:eastAsia="仿宋_GB2312"/>
          <w:color w:val="auto"/>
          <w:sz w:val="30"/>
          <w:szCs w:val="32"/>
          <w:highlight w:val="none"/>
        </w:rPr>
        <w:t>账号：108808685536</w:t>
      </w:r>
    </w:p>
    <w:p w14:paraId="2BE58C5E">
      <w:pPr>
        <w:rPr>
          <w:rFonts w:eastAsia="仿宋_GB2312"/>
          <w:color w:val="auto"/>
          <w:sz w:val="30"/>
          <w:szCs w:val="32"/>
          <w:highlight w:val="none"/>
        </w:rPr>
      </w:pPr>
      <w:r>
        <w:rPr>
          <w:rFonts w:hint="eastAsia" w:eastAsia="仿宋_GB2312"/>
          <w:color w:val="auto"/>
          <w:sz w:val="30"/>
          <w:szCs w:val="32"/>
          <w:highlight w:val="none"/>
        </w:rPr>
        <w:br w:type="page"/>
      </w:r>
    </w:p>
    <w:p w14:paraId="1BC1AE7B">
      <w:pPr>
        <w:pStyle w:val="8"/>
        <w:ind w:left="63" w:right="63" w:firstLine="600" w:firstLineChars="200"/>
        <w:jc w:val="both"/>
        <w:rPr>
          <w:rFonts w:eastAsia="仿宋_GB2312"/>
          <w:color w:val="auto"/>
          <w:sz w:val="30"/>
          <w:szCs w:val="32"/>
          <w:highlight w:val="none"/>
        </w:rPr>
      </w:pPr>
    </w:p>
    <w:p w14:paraId="4A4165F4">
      <w:pPr>
        <w:spacing w:line="360" w:lineRule="auto"/>
        <w:jc w:val="left"/>
        <w:rPr>
          <w:rFonts w:eastAsia="仿宋_GB2312"/>
          <w:color w:val="auto"/>
          <w:sz w:val="30"/>
          <w:szCs w:val="32"/>
          <w:highlight w:val="none"/>
        </w:rPr>
      </w:pPr>
      <w:r>
        <w:rPr>
          <w:rFonts w:hint="eastAsia" w:eastAsia="仿宋_GB2312"/>
          <w:color w:val="auto"/>
          <w:sz w:val="30"/>
          <w:szCs w:val="32"/>
          <w:highlight w:val="none"/>
        </w:rPr>
        <w:t>专用合同条款附件：</w:t>
      </w:r>
    </w:p>
    <w:p w14:paraId="45791BD9">
      <w:pPr>
        <w:spacing w:line="360" w:lineRule="auto"/>
        <w:jc w:val="left"/>
        <w:rPr>
          <w:rFonts w:eastAsia="仿宋_GB2312"/>
          <w:color w:val="auto"/>
          <w:sz w:val="30"/>
          <w:szCs w:val="32"/>
          <w:highlight w:val="none"/>
        </w:rPr>
      </w:pPr>
      <w:r>
        <w:rPr>
          <w:rFonts w:eastAsia="仿宋_GB2312"/>
          <w:color w:val="auto"/>
          <w:sz w:val="30"/>
          <w:szCs w:val="32"/>
          <w:highlight w:val="none"/>
        </w:rPr>
        <w:t>附件1：工程质量保修书</w:t>
      </w:r>
    </w:p>
    <w:p w14:paraId="477E6D30">
      <w:pPr>
        <w:spacing w:line="360" w:lineRule="auto"/>
        <w:jc w:val="left"/>
        <w:rPr>
          <w:rFonts w:eastAsia="仿宋_GB2312"/>
          <w:color w:val="auto"/>
          <w:sz w:val="30"/>
          <w:szCs w:val="32"/>
          <w:highlight w:val="none"/>
        </w:rPr>
      </w:pPr>
      <w:r>
        <w:rPr>
          <w:rFonts w:eastAsia="仿宋_GB2312"/>
          <w:color w:val="auto"/>
          <w:sz w:val="30"/>
          <w:szCs w:val="32"/>
          <w:highlight w:val="none"/>
        </w:rPr>
        <w:t>附件2：</w:t>
      </w:r>
      <w:r>
        <w:rPr>
          <w:rFonts w:hint="eastAsia" w:eastAsia="仿宋_GB2312"/>
          <w:color w:val="auto"/>
          <w:sz w:val="30"/>
          <w:szCs w:val="32"/>
          <w:highlight w:val="none"/>
        </w:rPr>
        <w:t>廉政协议</w:t>
      </w:r>
    </w:p>
    <w:p w14:paraId="7C115DAB">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附件3：安全环保协议</w:t>
      </w:r>
    </w:p>
    <w:p w14:paraId="22CB422D">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附件4：工程经济资料管理办法</w:t>
      </w:r>
    </w:p>
    <w:p w14:paraId="57C296CF">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附件5：工程项目质量管理考核细则</w:t>
      </w:r>
    </w:p>
    <w:p w14:paraId="743E9743">
      <w:pPr>
        <w:pStyle w:val="8"/>
        <w:ind w:left="0" w:leftChars="0" w:right="63"/>
        <w:jc w:val="both"/>
        <w:rPr>
          <w:rFonts w:eastAsia="仿宋_GB2312"/>
          <w:color w:val="auto"/>
          <w:sz w:val="30"/>
          <w:szCs w:val="32"/>
          <w:highlight w:val="none"/>
        </w:rPr>
      </w:pPr>
      <w:r>
        <w:rPr>
          <w:rFonts w:hint="eastAsia" w:eastAsia="仿宋_GB2312"/>
          <w:color w:val="auto"/>
          <w:sz w:val="30"/>
          <w:szCs w:val="32"/>
          <w:highlight w:val="none"/>
        </w:rPr>
        <w:t>附件</w:t>
      </w:r>
      <w:r>
        <w:rPr>
          <w:rFonts w:eastAsia="仿宋_GB2312"/>
          <w:color w:val="auto"/>
          <w:sz w:val="30"/>
          <w:szCs w:val="32"/>
          <w:highlight w:val="none"/>
        </w:rPr>
        <w:t>6</w:t>
      </w:r>
      <w:r>
        <w:rPr>
          <w:rFonts w:hint="eastAsia" w:eastAsia="仿宋_GB2312"/>
          <w:color w:val="auto"/>
          <w:sz w:val="30"/>
          <w:szCs w:val="32"/>
          <w:highlight w:val="none"/>
        </w:rPr>
        <w:t>：工程项目设计变更管理办法</w:t>
      </w:r>
    </w:p>
    <w:p w14:paraId="08105812">
      <w:pPr>
        <w:rPr>
          <w:color w:val="auto"/>
          <w:highlight w:val="none"/>
        </w:rPr>
      </w:pPr>
      <w:r>
        <w:rPr>
          <w:rFonts w:hint="eastAsia" w:eastAsia="仿宋_GB2312"/>
          <w:color w:val="auto"/>
          <w:sz w:val="30"/>
          <w:szCs w:val="32"/>
          <w:highlight w:val="none"/>
        </w:rPr>
        <w:t>附件</w:t>
      </w:r>
      <w:r>
        <w:rPr>
          <w:rFonts w:eastAsia="仿宋_GB2312"/>
          <w:color w:val="auto"/>
          <w:sz w:val="30"/>
          <w:szCs w:val="32"/>
          <w:highlight w:val="none"/>
        </w:rPr>
        <w:t>7</w:t>
      </w:r>
      <w:r>
        <w:rPr>
          <w:rFonts w:hint="eastAsia" w:eastAsia="仿宋_GB2312"/>
          <w:color w:val="auto"/>
          <w:sz w:val="30"/>
          <w:szCs w:val="32"/>
          <w:highlight w:val="none"/>
        </w:rPr>
        <w:t>：履约保函示范文本</w:t>
      </w:r>
    </w:p>
    <w:p w14:paraId="69494A72">
      <w:pPr>
        <w:spacing w:line="360" w:lineRule="auto"/>
        <w:jc w:val="left"/>
        <w:rPr>
          <w:rFonts w:ascii="仿宋_GB2312" w:eastAsia="仿宋_GB2312"/>
          <w:color w:val="auto"/>
          <w:sz w:val="30"/>
          <w:szCs w:val="30"/>
          <w:highlight w:val="none"/>
        </w:rPr>
      </w:pPr>
      <w:r>
        <w:rPr>
          <w:rFonts w:eastAsia="仿宋_GB2312"/>
          <w:color w:val="auto"/>
          <w:sz w:val="30"/>
          <w:szCs w:val="32"/>
          <w:highlight w:val="none"/>
        </w:rPr>
        <w:br w:type="page"/>
      </w:r>
      <w:r>
        <w:rPr>
          <w:rFonts w:hint="eastAsia" w:ascii="仿宋_GB2312" w:eastAsia="仿宋_GB2312"/>
          <w:color w:val="auto"/>
          <w:sz w:val="30"/>
          <w:szCs w:val="30"/>
          <w:highlight w:val="none"/>
        </w:rPr>
        <w:t>附件1：</w:t>
      </w:r>
    </w:p>
    <w:p w14:paraId="3CE37B6B">
      <w:pPr>
        <w:spacing w:before="156" w:beforeLines="50" w:after="156" w:afterLines="50" w:line="440" w:lineRule="exact"/>
        <w:jc w:val="center"/>
        <w:rPr>
          <w:rFonts w:eastAsia="黑体"/>
          <w:color w:val="auto"/>
          <w:sz w:val="30"/>
          <w:szCs w:val="30"/>
          <w:highlight w:val="none"/>
        </w:rPr>
      </w:pPr>
      <w:r>
        <w:rPr>
          <w:rFonts w:eastAsia="黑体"/>
          <w:color w:val="auto"/>
          <w:sz w:val="30"/>
          <w:szCs w:val="30"/>
          <w:highlight w:val="none"/>
        </w:rPr>
        <w:t>工程质量保修书</w:t>
      </w:r>
    </w:p>
    <w:p w14:paraId="091792B1">
      <w:pPr>
        <w:spacing w:line="440" w:lineRule="exact"/>
        <w:ind w:firstLine="600" w:firstLineChars="200"/>
        <w:rPr>
          <w:rFonts w:eastAsia="仿宋_GB2312"/>
          <w:color w:val="auto"/>
          <w:sz w:val="30"/>
          <w:szCs w:val="30"/>
          <w:highlight w:val="none"/>
        </w:rPr>
      </w:pPr>
      <w:r>
        <w:rPr>
          <w:rFonts w:eastAsia="仿宋_GB2312"/>
          <w:color w:val="auto"/>
          <w:sz w:val="30"/>
          <w:szCs w:val="30"/>
          <w:highlight w:val="none"/>
        </w:rPr>
        <w:t>发包人（全称）：</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7E0563F2">
      <w:pPr>
        <w:spacing w:line="440" w:lineRule="exact"/>
        <w:rPr>
          <w:rFonts w:eastAsia="仿宋_GB2312"/>
          <w:color w:val="auto"/>
          <w:sz w:val="30"/>
          <w:szCs w:val="30"/>
          <w:highlight w:val="none"/>
        </w:rPr>
      </w:pPr>
      <w:r>
        <w:rPr>
          <w:rFonts w:eastAsia="仿宋_GB2312"/>
          <w:color w:val="auto"/>
          <w:sz w:val="30"/>
          <w:szCs w:val="30"/>
          <w:highlight w:val="none"/>
        </w:rPr>
        <w:t>　　承包人（全称）：</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04AD8385">
      <w:pPr>
        <w:spacing w:line="440" w:lineRule="exact"/>
        <w:rPr>
          <w:rFonts w:eastAsia="仿宋_GB2312"/>
          <w:color w:val="auto"/>
          <w:sz w:val="30"/>
          <w:szCs w:val="30"/>
          <w:highlight w:val="none"/>
        </w:rPr>
      </w:pPr>
    </w:p>
    <w:p w14:paraId="0B6FEFE2">
      <w:pPr>
        <w:spacing w:line="360" w:lineRule="auto"/>
        <w:rPr>
          <w:rFonts w:eastAsia="仿宋_GB2312"/>
          <w:color w:val="auto"/>
          <w:sz w:val="30"/>
          <w:szCs w:val="30"/>
          <w:highlight w:val="none"/>
        </w:rPr>
      </w:pPr>
      <w:r>
        <w:rPr>
          <w:rFonts w:eastAsia="仿宋_GB2312"/>
          <w:color w:val="auto"/>
          <w:sz w:val="30"/>
          <w:szCs w:val="30"/>
          <w:highlight w:val="none"/>
        </w:rPr>
        <w:t>　　发包人和承包人根据《中华人民共和国建筑法》和《建设工程质量管理条例》，经协商一致就</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（工程全称）签订工程质量保修书。</w:t>
      </w:r>
    </w:p>
    <w:p w14:paraId="6B013843">
      <w:pPr>
        <w:spacing w:line="360" w:lineRule="auto"/>
        <w:outlineLvl w:val="0"/>
        <w:rPr>
          <w:rFonts w:eastAsia="黑体"/>
          <w:color w:val="auto"/>
          <w:sz w:val="30"/>
          <w:szCs w:val="30"/>
          <w:highlight w:val="none"/>
        </w:rPr>
      </w:pPr>
      <w:r>
        <w:rPr>
          <w:rFonts w:eastAsia="黑体"/>
          <w:color w:val="auto"/>
          <w:sz w:val="30"/>
          <w:szCs w:val="30"/>
          <w:highlight w:val="none"/>
        </w:rPr>
        <w:t>　　一、工程质量保修范围和内容</w:t>
      </w:r>
    </w:p>
    <w:p w14:paraId="44A6F699">
      <w:pPr>
        <w:spacing w:line="360" w:lineRule="auto"/>
        <w:rPr>
          <w:rFonts w:eastAsia="仿宋_GB2312"/>
          <w:color w:val="auto"/>
          <w:sz w:val="30"/>
          <w:szCs w:val="30"/>
          <w:highlight w:val="none"/>
        </w:rPr>
      </w:pPr>
      <w:r>
        <w:rPr>
          <w:rFonts w:eastAsia="仿宋_GB2312"/>
          <w:color w:val="auto"/>
          <w:sz w:val="30"/>
          <w:szCs w:val="30"/>
          <w:highlight w:val="none"/>
        </w:rPr>
        <w:t>　　承包人在质量保修期内，按照有关法律规定和合同约定，承担工程质量保修责任。</w:t>
      </w:r>
    </w:p>
    <w:p w14:paraId="3E702AC1">
      <w:pPr>
        <w:spacing w:line="360" w:lineRule="auto"/>
        <w:rPr>
          <w:rFonts w:eastAsia="仿宋_GB2312"/>
          <w:color w:val="auto"/>
          <w:sz w:val="30"/>
          <w:szCs w:val="30"/>
          <w:highlight w:val="none"/>
        </w:rPr>
      </w:pPr>
      <w:r>
        <w:rPr>
          <w:rFonts w:eastAsia="仿宋_GB2312"/>
          <w:color w:val="auto"/>
          <w:sz w:val="30"/>
          <w:szCs w:val="30"/>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eastAsia="仿宋_GB2312"/>
          <w:color w:val="auto"/>
          <w:sz w:val="30"/>
          <w:szCs w:val="30"/>
          <w:highlight w:val="none"/>
          <w:u w:val="single"/>
        </w:rPr>
        <w:t>工程承包合同约定的承包工程内容及按约定增加的内容</w:t>
      </w:r>
      <w:r>
        <w:rPr>
          <w:rFonts w:eastAsia="仿宋_GB2312"/>
          <w:color w:val="auto"/>
          <w:sz w:val="30"/>
          <w:szCs w:val="30"/>
          <w:highlight w:val="none"/>
          <w:u w:val="single"/>
        </w:rPr>
        <w:t xml:space="preserve">    </w:t>
      </w:r>
      <w:r>
        <w:rPr>
          <w:rFonts w:eastAsia="仿宋_GB2312"/>
          <w:color w:val="auto"/>
          <w:sz w:val="30"/>
          <w:szCs w:val="30"/>
          <w:highlight w:val="none"/>
        </w:rPr>
        <w:t>。</w:t>
      </w:r>
    </w:p>
    <w:p w14:paraId="58F061D5">
      <w:pPr>
        <w:spacing w:line="360" w:lineRule="auto"/>
        <w:outlineLvl w:val="0"/>
        <w:rPr>
          <w:rFonts w:eastAsia="黑体"/>
          <w:color w:val="auto"/>
          <w:sz w:val="30"/>
          <w:szCs w:val="30"/>
          <w:highlight w:val="none"/>
        </w:rPr>
      </w:pPr>
      <w:r>
        <w:rPr>
          <w:rFonts w:eastAsia="仿宋_GB2312"/>
          <w:b/>
          <w:color w:val="auto"/>
          <w:sz w:val="30"/>
          <w:szCs w:val="30"/>
          <w:highlight w:val="none"/>
        </w:rPr>
        <w:t>　　</w:t>
      </w:r>
      <w:r>
        <w:rPr>
          <w:rFonts w:eastAsia="黑体"/>
          <w:color w:val="auto"/>
          <w:sz w:val="30"/>
          <w:szCs w:val="30"/>
          <w:highlight w:val="none"/>
        </w:rPr>
        <w:t>二、质量保修期</w:t>
      </w:r>
    </w:p>
    <w:p w14:paraId="4334D96E">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根据《建设工程质量管理条例》及有关规定，工程的质量保修期如下：</w:t>
      </w:r>
    </w:p>
    <w:p w14:paraId="17E56F81">
      <w:pPr>
        <w:ind w:firstLine="600" w:firstLineChars="200"/>
        <w:rPr>
          <w:rFonts w:ascii="仿宋_GB2312" w:eastAsia="仿宋_GB2312"/>
          <w:color w:val="auto"/>
          <w:sz w:val="30"/>
          <w:szCs w:val="30"/>
          <w:highlight w:val="none"/>
        </w:rPr>
      </w:pPr>
      <w:r>
        <w:rPr>
          <w:rFonts w:hint="eastAsia" w:ascii="仿宋_GB2312" w:eastAsia="仿宋_GB2312"/>
          <w:color w:val="auto"/>
          <w:sz w:val="30"/>
          <w:szCs w:val="30"/>
          <w:highlight w:val="none"/>
        </w:rPr>
        <w:t>1</w:t>
      </w:r>
      <w:r>
        <w:rPr>
          <w:rFonts w:hint="eastAsia" w:eastAsia="仿宋_GB2312"/>
          <w:color w:val="auto"/>
          <w:sz w:val="30"/>
          <w:szCs w:val="30"/>
          <w:highlight w:val="none"/>
        </w:rPr>
        <w:t>．</w:t>
      </w:r>
      <w:r>
        <w:rPr>
          <w:rFonts w:hint="eastAsia" w:ascii="仿宋_GB2312" w:eastAsia="仿宋_GB2312"/>
          <w:color w:val="auto"/>
          <w:sz w:val="30"/>
          <w:szCs w:val="30"/>
          <w:highlight w:val="none"/>
        </w:rPr>
        <w:t>地基基础工程和主体结构工程为设计文件规定的工程合理使用年限；</w:t>
      </w:r>
    </w:p>
    <w:p w14:paraId="79E99C57">
      <w:pPr>
        <w:spacing w:line="360" w:lineRule="auto"/>
        <w:ind w:firstLine="600" w:firstLineChars="200"/>
        <w:rPr>
          <w:rFonts w:eastAsia="仿宋_GB2312"/>
          <w:color w:val="auto"/>
          <w:sz w:val="30"/>
          <w:szCs w:val="30"/>
          <w:highlight w:val="none"/>
        </w:rPr>
      </w:pPr>
      <w:r>
        <w:rPr>
          <w:rFonts w:hint="eastAsia" w:eastAsia="仿宋_GB2312"/>
          <w:color w:val="auto"/>
          <w:sz w:val="30"/>
          <w:szCs w:val="30"/>
          <w:highlight w:val="none"/>
        </w:rPr>
        <w:t>2</w:t>
      </w:r>
      <w:r>
        <w:rPr>
          <w:rFonts w:hint="eastAsia" w:ascii="仿宋_GB2312" w:eastAsia="仿宋_GB2312"/>
          <w:color w:val="auto"/>
          <w:sz w:val="30"/>
          <w:szCs w:val="30"/>
          <w:highlight w:val="none"/>
        </w:rPr>
        <w:t>．</w:t>
      </w:r>
      <w:r>
        <w:rPr>
          <w:rFonts w:eastAsia="仿宋_GB2312"/>
          <w:color w:val="auto"/>
          <w:sz w:val="30"/>
          <w:szCs w:val="30"/>
          <w:highlight w:val="none"/>
        </w:rPr>
        <w:t>屋面防水工程、有防水要求的卫生间、房间和外墙面的防渗</w:t>
      </w:r>
      <w:r>
        <w:rPr>
          <w:rFonts w:hint="eastAsia" w:eastAsia="仿宋_GB2312"/>
          <w:color w:val="auto"/>
          <w:sz w:val="30"/>
          <w:szCs w:val="30"/>
          <w:highlight w:val="none"/>
        </w:rPr>
        <w:t>为</w:t>
      </w:r>
      <w:r>
        <w:rPr>
          <w:rFonts w:hint="eastAsia" w:eastAsia="仿宋_GB2312"/>
          <w:color w:val="auto"/>
          <w:sz w:val="30"/>
          <w:szCs w:val="30"/>
          <w:highlight w:val="none"/>
          <w:u w:val="single"/>
        </w:rPr>
        <w:t xml:space="preserve">   5  </w:t>
      </w:r>
      <w:r>
        <w:rPr>
          <w:rFonts w:eastAsia="仿宋_GB2312"/>
          <w:color w:val="auto"/>
          <w:sz w:val="30"/>
          <w:szCs w:val="30"/>
          <w:highlight w:val="none"/>
        </w:rPr>
        <w:t>年；</w:t>
      </w:r>
    </w:p>
    <w:p w14:paraId="58EB3B2C">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3</w:t>
      </w:r>
      <w:r>
        <w:rPr>
          <w:rFonts w:hint="eastAsia" w:ascii="仿宋_GB2312" w:eastAsia="仿宋_GB2312"/>
          <w:color w:val="auto"/>
          <w:sz w:val="30"/>
          <w:szCs w:val="30"/>
          <w:highlight w:val="none"/>
        </w:rPr>
        <w:t>．</w:t>
      </w:r>
      <w:r>
        <w:rPr>
          <w:rFonts w:eastAsia="仿宋_GB2312"/>
          <w:color w:val="auto"/>
          <w:sz w:val="30"/>
          <w:szCs w:val="30"/>
          <w:highlight w:val="none"/>
        </w:rPr>
        <w:t>装修工程为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1A78D747">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4</w:t>
      </w:r>
      <w:r>
        <w:rPr>
          <w:rFonts w:hint="eastAsia" w:ascii="仿宋_GB2312" w:eastAsia="仿宋_GB2312"/>
          <w:color w:val="auto"/>
          <w:sz w:val="30"/>
          <w:szCs w:val="30"/>
          <w:highlight w:val="none"/>
        </w:rPr>
        <w:t>．</w:t>
      </w:r>
      <w:r>
        <w:rPr>
          <w:rFonts w:eastAsia="仿宋_GB2312"/>
          <w:color w:val="auto"/>
          <w:sz w:val="30"/>
          <w:szCs w:val="30"/>
          <w:highlight w:val="none"/>
        </w:rPr>
        <w:t>电气管线、给排水管道、设备安装工程为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4240B3E9">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5</w:t>
      </w:r>
      <w:r>
        <w:rPr>
          <w:rFonts w:hint="eastAsia" w:ascii="仿宋_GB2312" w:eastAsia="仿宋_GB2312"/>
          <w:color w:val="auto"/>
          <w:sz w:val="30"/>
          <w:szCs w:val="30"/>
          <w:highlight w:val="none"/>
        </w:rPr>
        <w:t>．</w:t>
      </w:r>
      <w:r>
        <w:rPr>
          <w:rFonts w:eastAsia="仿宋_GB2312"/>
          <w:color w:val="auto"/>
          <w:sz w:val="30"/>
          <w:szCs w:val="30"/>
          <w:highlight w:val="none"/>
        </w:rPr>
        <w:t>供热与供冷系统为</w:t>
      </w:r>
      <w:r>
        <w:rPr>
          <w:rFonts w:eastAsia="仿宋_GB2312"/>
          <w:color w:val="auto"/>
          <w:sz w:val="30"/>
          <w:szCs w:val="30"/>
          <w:highlight w:val="none"/>
          <w:u w:val="single"/>
        </w:rPr>
        <w:t xml:space="preserve">  2  </w:t>
      </w:r>
      <w:r>
        <w:rPr>
          <w:rFonts w:eastAsia="仿宋_GB2312"/>
          <w:color w:val="auto"/>
          <w:sz w:val="30"/>
          <w:szCs w:val="30"/>
          <w:highlight w:val="none"/>
        </w:rPr>
        <w:t>个采暖期、供冷期；</w:t>
      </w:r>
    </w:p>
    <w:p w14:paraId="5F7593FD">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6</w:t>
      </w:r>
      <w:r>
        <w:rPr>
          <w:rFonts w:hint="eastAsia" w:ascii="仿宋_GB2312" w:eastAsia="仿宋_GB2312"/>
          <w:color w:val="auto"/>
          <w:sz w:val="30"/>
          <w:szCs w:val="30"/>
          <w:highlight w:val="none"/>
        </w:rPr>
        <w:t>．</w:t>
      </w:r>
      <w:r>
        <w:rPr>
          <w:rFonts w:hint="eastAsia" w:eastAsia="仿宋_GB2312"/>
          <w:color w:val="auto"/>
          <w:sz w:val="30"/>
          <w:szCs w:val="30"/>
          <w:highlight w:val="none"/>
        </w:rPr>
        <w:t>厂区</w:t>
      </w:r>
      <w:r>
        <w:rPr>
          <w:rFonts w:eastAsia="仿宋_GB2312"/>
          <w:color w:val="auto"/>
          <w:sz w:val="30"/>
          <w:szCs w:val="30"/>
          <w:highlight w:val="none"/>
        </w:rPr>
        <w:t>内的给排水设施、道路等配套工程为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627FE5E3">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7</w:t>
      </w:r>
      <w:r>
        <w:rPr>
          <w:rFonts w:hint="eastAsia" w:ascii="仿宋_GB2312" w:eastAsia="仿宋_GB2312"/>
          <w:color w:val="auto"/>
          <w:sz w:val="30"/>
          <w:szCs w:val="30"/>
          <w:highlight w:val="none"/>
        </w:rPr>
        <w:t>．</w:t>
      </w:r>
      <w:r>
        <w:rPr>
          <w:rFonts w:eastAsia="仿宋_GB2312"/>
          <w:color w:val="auto"/>
          <w:sz w:val="30"/>
          <w:szCs w:val="30"/>
          <w:highlight w:val="none"/>
        </w:rPr>
        <w:t>其他项目保修期限约定如下：</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344CE323">
      <w:pPr>
        <w:spacing w:line="360" w:lineRule="auto"/>
        <w:rPr>
          <w:rFonts w:eastAsia="仿宋_GB2312"/>
          <w:color w:val="auto"/>
          <w:sz w:val="30"/>
          <w:szCs w:val="30"/>
          <w:highlight w:val="none"/>
        </w:rPr>
      </w:pPr>
      <w:r>
        <w:rPr>
          <w:rFonts w:eastAsia="仿宋_GB2312"/>
          <w:color w:val="auto"/>
          <w:sz w:val="30"/>
          <w:szCs w:val="30"/>
          <w:highlight w:val="none"/>
        </w:rPr>
        <w:t>　　质量保修期自工程竣工验收合格之日起计算。</w:t>
      </w:r>
    </w:p>
    <w:p w14:paraId="466AA9E8">
      <w:pPr>
        <w:spacing w:line="360" w:lineRule="auto"/>
        <w:ind w:firstLine="600" w:firstLineChars="200"/>
        <w:outlineLvl w:val="0"/>
        <w:rPr>
          <w:rFonts w:eastAsia="黑体"/>
          <w:color w:val="auto"/>
          <w:sz w:val="30"/>
          <w:szCs w:val="30"/>
          <w:highlight w:val="none"/>
        </w:rPr>
      </w:pPr>
      <w:r>
        <w:rPr>
          <w:rFonts w:eastAsia="黑体"/>
          <w:color w:val="auto"/>
          <w:sz w:val="30"/>
          <w:szCs w:val="30"/>
          <w:highlight w:val="none"/>
        </w:rPr>
        <w:t>三、缺陷责任期</w:t>
      </w:r>
    </w:p>
    <w:p w14:paraId="01B2A0C2">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工程缺陷责任期为</w:t>
      </w:r>
      <w:r>
        <w:rPr>
          <w:rFonts w:eastAsia="仿宋_GB2312"/>
          <w:color w:val="auto"/>
          <w:sz w:val="30"/>
          <w:szCs w:val="30"/>
          <w:highlight w:val="none"/>
          <w:u w:val="single"/>
        </w:rPr>
        <w:t xml:space="preserve">   24  </w:t>
      </w:r>
      <w:r>
        <w:rPr>
          <w:rFonts w:eastAsia="仿宋_GB2312"/>
          <w:color w:val="auto"/>
          <w:sz w:val="30"/>
          <w:szCs w:val="30"/>
          <w:highlight w:val="none"/>
        </w:rPr>
        <w:t>个月，缺陷责任期自工程</w:t>
      </w:r>
      <w:r>
        <w:rPr>
          <w:rFonts w:hint="eastAsia" w:eastAsia="仿宋_GB2312"/>
          <w:color w:val="auto"/>
          <w:sz w:val="30"/>
          <w:szCs w:val="30"/>
          <w:highlight w:val="none"/>
        </w:rPr>
        <w:t>通过竣工验收</w:t>
      </w:r>
      <w:r>
        <w:rPr>
          <w:rFonts w:eastAsia="仿宋_GB2312"/>
          <w:color w:val="auto"/>
          <w:sz w:val="30"/>
          <w:szCs w:val="30"/>
          <w:highlight w:val="none"/>
        </w:rPr>
        <w:t>之日起计算。单位工程先于全部工程进行验收，单位工程缺陷责任期自单位工程验收合格之日起算。</w:t>
      </w:r>
    </w:p>
    <w:p w14:paraId="6A13F9FD">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缺陷责任期终止后，发包人应退还剩余的质量保证金。</w:t>
      </w:r>
    </w:p>
    <w:p w14:paraId="6D3B6F3C">
      <w:pPr>
        <w:spacing w:line="360" w:lineRule="auto"/>
        <w:outlineLvl w:val="0"/>
        <w:rPr>
          <w:rFonts w:eastAsia="黑体"/>
          <w:color w:val="auto"/>
          <w:sz w:val="30"/>
          <w:szCs w:val="30"/>
          <w:highlight w:val="none"/>
        </w:rPr>
      </w:pPr>
      <w:r>
        <w:rPr>
          <w:rFonts w:eastAsia="黑体"/>
          <w:color w:val="auto"/>
          <w:sz w:val="30"/>
          <w:szCs w:val="30"/>
          <w:highlight w:val="none"/>
        </w:rPr>
        <w:t xml:space="preserve">    四、质量保修责任</w:t>
      </w:r>
    </w:p>
    <w:p w14:paraId="3CD830A6">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1</w:t>
      </w:r>
      <w:r>
        <w:rPr>
          <w:rFonts w:hint="eastAsia" w:ascii="仿宋_GB2312" w:eastAsia="仿宋_GB2312"/>
          <w:color w:val="auto"/>
          <w:sz w:val="30"/>
          <w:szCs w:val="30"/>
          <w:highlight w:val="none"/>
        </w:rPr>
        <w:t>．</w:t>
      </w:r>
      <w:r>
        <w:rPr>
          <w:rFonts w:eastAsia="仿宋_GB2312"/>
          <w:color w:val="auto"/>
          <w:sz w:val="30"/>
          <w:szCs w:val="30"/>
          <w:highlight w:val="none"/>
        </w:rPr>
        <w:t>属于保修范围、内容的项目，承包人应当在接到保修通知之日起24</w:t>
      </w:r>
      <w:r>
        <w:rPr>
          <w:rFonts w:hint="eastAsia" w:eastAsia="仿宋_GB2312"/>
          <w:color w:val="auto"/>
          <w:sz w:val="30"/>
          <w:szCs w:val="30"/>
          <w:highlight w:val="none"/>
        </w:rPr>
        <w:t>小时</w:t>
      </w:r>
      <w:r>
        <w:rPr>
          <w:rFonts w:eastAsia="仿宋_GB2312"/>
          <w:color w:val="auto"/>
          <w:sz w:val="30"/>
          <w:szCs w:val="30"/>
          <w:highlight w:val="none"/>
        </w:rPr>
        <w:t>内派人保修。承包人不在约定期限内派人保修的，发包人可以委托他人修理。</w:t>
      </w:r>
    </w:p>
    <w:p w14:paraId="1054FBFC">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2</w:t>
      </w:r>
      <w:r>
        <w:rPr>
          <w:rFonts w:hint="eastAsia" w:ascii="仿宋_GB2312" w:eastAsia="仿宋_GB2312"/>
          <w:color w:val="auto"/>
          <w:sz w:val="30"/>
          <w:szCs w:val="30"/>
          <w:highlight w:val="none"/>
        </w:rPr>
        <w:t>．</w:t>
      </w:r>
      <w:r>
        <w:rPr>
          <w:rFonts w:eastAsia="仿宋_GB2312"/>
          <w:color w:val="auto"/>
          <w:sz w:val="30"/>
          <w:szCs w:val="30"/>
          <w:highlight w:val="none"/>
        </w:rPr>
        <w:t>发生紧急事故需抢修的，承包人在接到事故通知后，应当立即到达事故现场抢修。</w:t>
      </w:r>
    </w:p>
    <w:p w14:paraId="2349961D">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3</w:t>
      </w:r>
      <w:r>
        <w:rPr>
          <w:rFonts w:hint="eastAsia" w:ascii="仿宋_GB2312" w:eastAsia="仿宋_GB2312"/>
          <w:color w:val="auto"/>
          <w:sz w:val="30"/>
          <w:szCs w:val="30"/>
          <w:highlight w:val="none"/>
        </w:rPr>
        <w:t>．</w:t>
      </w:r>
      <w:r>
        <w:rPr>
          <w:rFonts w:eastAsia="仿宋_GB2312"/>
          <w:color w:val="auto"/>
          <w:sz w:val="30"/>
          <w:szCs w:val="30"/>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A7F0569">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4</w:t>
      </w:r>
      <w:r>
        <w:rPr>
          <w:rFonts w:hint="eastAsia" w:ascii="仿宋_GB2312" w:eastAsia="仿宋_GB2312"/>
          <w:color w:val="auto"/>
          <w:sz w:val="30"/>
          <w:szCs w:val="30"/>
          <w:highlight w:val="none"/>
        </w:rPr>
        <w:t>．</w:t>
      </w:r>
      <w:r>
        <w:rPr>
          <w:rFonts w:eastAsia="仿宋_GB2312"/>
          <w:color w:val="auto"/>
          <w:sz w:val="30"/>
          <w:szCs w:val="30"/>
          <w:highlight w:val="none"/>
        </w:rPr>
        <w:t>质量保修完成后，由发包人组织验收。</w:t>
      </w:r>
    </w:p>
    <w:p w14:paraId="0538C655">
      <w:pPr>
        <w:spacing w:line="360" w:lineRule="auto"/>
        <w:outlineLvl w:val="0"/>
        <w:rPr>
          <w:rFonts w:eastAsia="黑体"/>
          <w:color w:val="auto"/>
          <w:sz w:val="30"/>
          <w:szCs w:val="30"/>
          <w:highlight w:val="none"/>
        </w:rPr>
      </w:pPr>
      <w:r>
        <w:rPr>
          <w:rFonts w:eastAsia="黑体"/>
          <w:color w:val="auto"/>
          <w:sz w:val="30"/>
          <w:szCs w:val="30"/>
          <w:highlight w:val="none"/>
        </w:rPr>
        <w:t>　　五、保修费用</w:t>
      </w:r>
    </w:p>
    <w:p w14:paraId="34C60564">
      <w:pPr>
        <w:spacing w:line="360" w:lineRule="auto"/>
        <w:rPr>
          <w:rFonts w:eastAsia="仿宋_GB2312"/>
          <w:color w:val="auto"/>
          <w:sz w:val="30"/>
          <w:szCs w:val="30"/>
          <w:highlight w:val="none"/>
        </w:rPr>
      </w:pPr>
      <w:r>
        <w:rPr>
          <w:rFonts w:eastAsia="仿宋_GB2312"/>
          <w:color w:val="auto"/>
          <w:sz w:val="30"/>
          <w:szCs w:val="30"/>
          <w:highlight w:val="none"/>
        </w:rPr>
        <w:t>　　保修费用由造成质量缺陷的责任方承担。</w:t>
      </w:r>
    </w:p>
    <w:p w14:paraId="3D3CF7E2">
      <w:pPr>
        <w:spacing w:line="360" w:lineRule="auto"/>
        <w:ind w:firstLine="600"/>
        <w:jc w:val="left"/>
        <w:outlineLvl w:val="0"/>
        <w:rPr>
          <w:rFonts w:eastAsia="仿宋_GB2312"/>
          <w:color w:val="auto"/>
          <w:sz w:val="30"/>
          <w:szCs w:val="30"/>
          <w:highlight w:val="none"/>
        </w:rPr>
      </w:pPr>
      <w:r>
        <w:rPr>
          <w:rFonts w:eastAsia="黑体"/>
          <w:b/>
          <w:color w:val="auto"/>
          <w:sz w:val="30"/>
          <w:szCs w:val="30"/>
          <w:highlight w:val="none"/>
        </w:rPr>
        <w:t>六</w:t>
      </w:r>
      <w:r>
        <w:rPr>
          <w:rFonts w:eastAsia="黑体"/>
          <w:color w:val="auto"/>
          <w:sz w:val="30"/>
          <w:szCs w:val="30"/>
          <w:highlight w:val="none"/>
        </w:rPr>
        <w:t>、双方约定的其他工程质量保修事项</w:t>
      </w:r>
      <w:r>
        <w:rPr>
          <w:rFonts w:eastAsia="仿宋_GB2312"/>
          <w:color w:val="auto"/>
          <w:sz w:val="30"/>
          <w:szCs w:val="30"/>
          <w:highlight w:val="none"/>
        </w:rPr>
        <w:t>：</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20030812">
      <w:pPr>
        <w:spacing w:line="360" w:lineRule="auto"/>
        <w:ind w:firstLine="570" w:firstLineChars="190"/>
        <w:rPr>
          <w:rFonts w:eastAsia="仿宋_GB2312"/>
          <w:color w:val="auto"/>
          <w:sz w:val="30"/>
          <w:szCs w:val="30"/>
          <w:highlight w:val="none"/>
        </w:rPr>
      </w:pPr>
      <w:r>
        <w:rPr>
          <w:rFonts w:eastAsia="仿宋_GB2312"/>
          <w:color w:val="auto"/>
          <w:sz w:val="30"/>
          <w:szCs w:val="30"/>
          <w:highlight w:val="none"/>
        </w:rPr>
        <w:t>工程质量保修书由发包人、承包人在工程竣工验收前共同签署，作为施工合同附件，其有效期限至保修期满。</w:t>
      </w:r>
    </w:p>
    <w:p w14:paraId="53DC7D71">
      <w:pPr>
        <w:spacing w:line="360" w:lineRule="auto"/>
        <w:ind w:firstLine="420"/>
        <w:rPr>
          <w:rFonts w:eastAsia="仿宋_GB2312"/>
          <w:color w:val="auto"/>
          <w:sz w:val="30"/>
          <w:szCs w:val="30"/>
          <w:highlight w:val="none"/>
        </w:rPr>
      </w:pPr>
    </w:p>
    <w:p w14:paraId="7F8B101B">
      <w:pPr>
        <w:spacing w:line="360" w:lineRule="auto"/>
        <w:rPr>
          <w:rFonts w:eastAsia="仿宋_GB2312"/>
          <w:color w:val="auto"/>
          <w:sz w:val="30"/>
          <w:szCs w:val="30"/>
          <w:highlight w:val="none"/>
          <w:u w:val="single"/>
        </w:rPr>
      </w:pPr>
      <w:r>
        <w:rPr>
          <w:rFonts w:eastAsia="仿宋_GB2312"/>
          <w:color w:val="auto"/>
          <w:sz w:val="30"/>
          <w:szCs w:val="30"/>
          <w:highlight w:val="none"/>
        </w:rPr>
        <w:t>发包人(公章)：</w:t>
      </w:r>
      <w:r>
        <w:rPr>
          <w:rFonts w:eastAsia="仿宋_GB2312"/>
          <w:color w:val="auto"/>
          <w:sz w:val="30"/>
          <w:szCs w:val="30"/>
          <w:highlight w:val="none"/>
          <w:u w:val="single"/>
        </w:rPr>
        <w:t xml:space="preserve">        </w:t>
      </w:r>
      <w:r>
        <w:rPr>
          <w:rFonts w:eastAsia="仿宋_GB2312"/>
          <w:color w:val="auto"/>
          <w:sz w:val="30"/>
          <w:szCs w:val="30"/>
          <w:highlight w:val="none"/>
        </w:rPr>
        <w:t xml:space="preserve"> 承包人(公章)：</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2C472454">
      <w:pPr>
        <w:pStyle w:val="8"/>
        <w:ind w:left="63" w:right="63"/>
        <w:rPr>
          <w:color w:val="auto"/>
          <w:highlight w:val="none"/>
        </w:rPr>
      </w:pPr>
    </w:p>
    <w:p w14:paraId="50921F37">
      <w:pPr>
        <w:spacing w:line="360" w:lineRule="auto"/>
        <w:rPr>
          <w:rFonts w:eastAsia="仿宋_GB2312"/>
          <w:color w:val="auto"/>
          <w:sz w:val="30"/>
          <w:szCs w:val="30"/>
          <w:highlight w:val="none"/>
          <w:u w:val="single"/>
        </w:rPr>
      </w:pPr>
      <w:r>
        <w:rPr>
          <w:rFonts w:eastAsia="仿宋_GB2312"/>
          <w:color w:val="auto"/>
          <w:sz w:val="30"/>
          <w:szCs w:val="30"/>
          <w:highlight w:val="none"/>
        </w:rPr>
        <w:t>法定代表人(签字)：</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 xml:space="preserve"> 法定代表人(签字)：</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1E59F0E4">
      <w:pPr>
        <w:pStyle w:val="8"/>
        <w:ind w:left="63" w:right="63"/>
        <w:rPr>
          <w:color w:val="auto"/>
          <w:highlight w:val="none"/>
        </w:rPr>
      </w:pPr>
    </w:p>
    <w:p w14:paraId="06E10F5A">
      <w:pPr>
        <w:spacing w:line="360" w:lineRule="auto"/>
        <w:rPr>
          <w:rFonts w:eastAsia="仿宋_GB2312"/>
          <w:color w:val="auto"/>
          <w:sz w:val="30"/>
          <w:szCs w:val="30"/>
          <w:highlight w:val="none"/>
        </w:rPr>
      </w:pPr>
      <w:r>
        <w:rPr>
          <w:rFonts w:eastAsia="仿宋_GB2312"/>
          <w:color w:val="auto"/>
          <w:sz w:val="30"/>
          <w:szCs w:val="30"/>
          <w:highlight w:val="none"/>
        </w:rPr>
        <w:t>委托代理人(签字)：</w:t>
      </w:r>
      <w:r>
        <w:rPr>
          <w:rFonts w:eastAsia="仿宋_GB2312"/>
          <w:color w:val="auto"/>
          <w:sz w:val="30"/>
          <w:szCs w:val="30"/>
          <w:highlight w:val="none"/>
          <w:u w:val="single"/>
        </w:rPr>
        <w:t xml:space="preserve">      </w:t>
      </w:r>
      <w:r>
        <w:rPr>
          <w:rFonts w:eastAsia="仿宋_GB2312"/>
          <w:color w:val="auto"/>
          <w:sz w:val="30"/>
          <w:szCs w:val="30"/>
          <w:highlight w:val="none"/>
        </w:rPr>
        <w:t xml:space="preserve"> 委托代理人(签字)：</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2501D5C5">
      <w:pPr>
        <w:spacing w:line="440" w:lineRule="exact"/>
        <w:rPr>
          <w:rFonts w:eastAsia="仿宋_GB2312"/>
          <w:color w:val="auto"/>
          <w:sz w:val="30"/>
          <w:szCs w:val="30"/>
          <w:highlight w:val="none"/>
        </w:rPr>
      </w:pPr>
      <w:r>
        <w:rPr>
          <w:rFonts w:eastAsia="仿宋_GB2312"/>
          <w:b/>
          <w:color w:val="auto"/>
          <w:sz w:val="30"/>
          <w:szCs w:val="30"/>
          <w:highlight w:val="none"/>
        </w:rPr>
        <w:br w:type="page"/>
      </w:r>
      <w:r>
        <w:rPr>
          <w:rFonts w:eastAsia="仿宋_GB2312"/>
          <w:color w:val="auto"/>
          <w:sz w:val="30"/>
          <w:szCs w:val="30"/>
          <w:highlight w:val="none"/>
        </w:rPr>
        <w:t>附件2：</w:t>
      </w:r>
    </w:p>
    <w:p w14:paraId="21DC5722">
      <w:pPr>
        <w:widowControl/>
        <w:spacing w:before="156" w:beforeLines="50" w:line="580" w:lineRule="exact"/>
        <w:jc w:val="center"/>
        <w:rPr>
          <w:rFonts w:ascii="宋体" w:hAnsi="宋体" w:cs="宋体"/>
          <w:b/>
          <w:bCs/>
          <w:color w:val="auto"/>
          <w:kern w:val="0"/>
          <w:sz w:val="40"/>
          <w:szCs w:val="40"/>
          <w:highlight w:val="none"/>
        </w:rPr>
      </w:pPr>
      <w:r>
        <w:rPr>
          <w:rFonts w:hint="eastAsia" w:ascii="宋体" w:hAnsi="宋体" w:cs="宋体"/>
          <w:b/>
          <w:bCs/>
          <w:color w:val="auto"/>
          <w:kern w:val="0"/>
          <w:sz w:val="40"/>
          <w:szCs w:val="40"/>
          <w:highlight w:val="none"/>
        </w:rPr>
        <w:t>廉洁协议</w:t>
      </w:r>
    </w:p>
    <w:p w14:paraId="1FAAD74D">
      <w:pPr>
        <w:widowControl/>
        <w:spacing w:line="260" w:lineRule="exact"/>
        <w:jc w:val="center"/>
        <w:rPr>
          <w:rFonts w:ascii="宋体" w:hAnsi="宋体" w:cs="宋体"/>
          <w:bCs/>
          <w:color w:val="auto"/>
          <w:kern w:val="0"/>
          <w:sz w:val="18"/>
          <w:szCs w:val="18"/>
          <w:highlight w:val="none"/>
        </w:rPr>
      </w:pPr>
    </w:p>
    <w:p w14:paraId="3F62B0A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发包人：重庆国际复合材料股份有限公司 </w:t>
      </w:r>
    </w:p>
    <w:p w14:paraId="2D797534">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承包人：</w:t>
      </w:r>
      <w:r>
        <w:rPr>
          <w:rFonts w:ascii="宋体" w:hAnsi="宋体" w:cs="宋体"/>
          <w:color w:val="auto"/>
          <w:kern w:val="0"/>
          <w:sz w:val="18"/>
          <w:szCs w:val="18"/>
          <w:highlight w:val="none"/>
        </w:rPr>
        <w:t xml:space="preserve">                            </w:t>
      </w:r>
    </w:p>
    <w:p w14:paraId="0A35F496">
      <w:pPr>
        <w:widowControl/>
        <w:spacing w:line="320" w:lineRule="exact"/>
        <w:ind w:firstLine="360" w:firstLineChars="200"/>
        <w:rPr>
          <w:rFonts w:ascii="宋体" w:hAnsi="宋体" w:cs="宋体"/>
          <w:color w:val="auto"/>
          <w:kern w:val="0"/>
          <w:sz w:val="18"/>
          <w:szCs w:val="18"/>
          <w:highlight w:val="none"/>
        </w:rPr>
      </w:pPr>
      <w:r>
        <w:rPr>
          <w:rFonts w:hint="eastAsia" w:ascii="宋体" w:hAnsi="宋体" w:cs="宋体"/>
          <w:color w:val="auto"/>
          <w:kern w:val="0"/>
          <w:sz w:val="18"/>
          <w:szCs w:val="18"/>
          <w:highlight w:val="none"/>
        </w:rPr>
        <w:t>为促进发包人及承包人双方廉洁高效合作，促使发包人及承包人双方工作人员廉洁从业，按照《民法典》和国家其他有关法律法规、廉洁规定，经发包人及承包人双方协商一致，自愿签订以下廉洁协议。</w:t>
      </w:r>
    </w:p>
    <w:p w14:paraId="629B592E">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第一条：</w:t>
      </w:r>
      <w:r>
        <w:rPr>
          <w:rFonts w:hint="eastAsia" w:ascii="宋体" w:hAnsi="宋体" w:cs="宋体"/>
          <w:color w:val="auto"/>
          <w:kern w:val="0"/>
          <w:sz w:val="18"/>
          <w:szCs w:val="18"/>
          <w:highlight w:val="none"/>
        </w:rPr>
        <w:t>发包人在廉洁方面的义务</w:t>
      </w:r>
    </w:p>
    <w:p w14:paraId="247352FD">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（一）发包人及其工作人员不得干扰协作企业正常的生产经营活动，不得以任何理由要挟承包人从事不属于承包人义务的工作。 </w:t>
      </w:r>
    </w:p>
    <w:p w14:paraId="7DB0C1F4">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（二）发包人及其工作人员不得违规索要或接受承包人的礼金、佣金、回扣、有价证券、支付凭证、贵重物品等财物。</w:t>
      </w:r>
    </w:p>
    <w:p w14:paraId="417F1D28">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（三）发包人及其工作人员不得在承包人报销应由发包人或个人支付的任何费用。</w:t>
      </w:r>
    </w:p>
    <w:p w14:paraId="4D4205EC">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（四）发包人工作人员不得参加承包人提供的宴请、娱乐活动、高档消费；不得要求承包人提供交通工具、通讯工具、高档办公用品等。</w:t>
      </w:r>
    </w:p>
    <w:p w14:paraId="46BD2EAE">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（五）发包人及其工作人员不得要求或者接受承包人为其住房装修、婚丧嫁娶、配偶、子女、亲友出国（境）旅游等违反规定的相关活动提供方便。</w:t>
      </w:r>
    </w:p>
    <w:p w14:paraId="0BC6B8A2">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（六）发包人及其工作人员不得要求承包人为其配偶、子女及有利害关系的人员安排工作或劳务；不得违反规定从事与承包人施工项目有关的材料设备供应、工程分包等经济活动。</w:t>
      </w:r>
    </w:p>
    <w:p w14:paraId="275AE569">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第二条：</w:t>
      </w:r>
      <w:r>
        <w:rPr>
          <w:rFonts w:hint="eastAsia" w:ascii="宋体" w:hAnsi="宋体" w:cs="宋体"/>
          <w:color w:val="auto"/>
          <w:kern w:val="0"/>
          <w:sz w:val="18"/>
          <w:szCs w:val="18"/>
          <w:highlight w:val="none"/>
        </w:rPr>
        <w:t>承包人在廉洁方面义务</w:t>
      </w:r>
    </w:p>
    <w:p w14:paraId="6F92A792">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（一）承包人不准以任何形式向发包人及其工作人员馈赠礼金、佣金、回扣、有价证券、支付凭证、贵重物品等财物。</w:t>
      </w:r>
    </w:p>
    <w:p w14:paraId="2502653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（二）承包人不准以任何名义为发包人及其工作人员报销应由发包人或个人支付的任何费用。</w:t>
      </w:r>
    </w:p>
    <w:p w14:paraId="03E68BB0">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（三）承包人不准以任何理由邀请发包人工作人员参加有影响合作业务的宴请及娱乐活动；不准为其提供通讯工具、交通工具、高档办公用品等。</w:t>
      </w:r>
    </w:p>
    <w:p w14:paraId="16B62FEC">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（四）承包人不准为发包人工作人员在住房装修、婚丧嫁娶、配偶、子女、亲友出国（境）旅游提供方便；不准为发包人工作人员的配偶、子女及有利害关系的人员安排工作或劳务。</w:t>
      </w:r>
    </w:p>
    <w:p w14:paraId="5E6933E7">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（五）承包人及其工作人员不准与监管单位串通，违反有关规定和程序，损害发包人利益。</w:t>
      </w:r>
    </w:p>
    <w:p w14:paraId="53645FB3">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（六）不得有其他违反法律法规行为。</w:t>
      </w:r>
    </w:p>
    <w:p w14:paraId="2D17CAC4">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第三条：</w:t>
      </w:r>
      <w:r>
        <w:rPr>
          <w:rFonts w:hint="eastAsia" w:ascii="宋体" w:hAnsi="宋体" w:cs="宋体"/>
          <w:color w:val="auto"/>
          <w:kern w:val="0"/>
          <w:sz w:val="18"/>
          <w:szCs w:val="18"/>
          <w:highlight w:val="none"/>
        </w:rPr>
        <w:t>违约责任</w:t>
      </w:r>
    </w:p>
    <w:p w14:paraId="66C078E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（一）承包人违反本《廉洁协议》规定义务的，须向发包人承担经济合同总额3%的经济违约金。</w:t>
      </w:r>
    </w:p>
    <w:p w14:paraId="1E9913B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（二）承包人发生多次违反廉洁协议约定内容，发包人有权将承包人列入黑名单，禁止5年内进入发包人作业市场；给发包人造成经济损失、社会影响较大的，发包人有权终止履行经济合同。</w:t>
      </w:r>
    </w:p>
    <w:p w14:paraId="6411C2A8">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（三）发包人若违反本《廉洁协议》有关规定的，对违法违纪人员，由发包人主管部门依据有关规定查处。</w:t>
      </w:r>
    </w:p>
    <w:p w14:paraId="559DD1BE">
      <w:pPr>
        <w:spacing w:line="320" w:lineRule="exact"/>
        <w:ind w:firstLine="360" w:firstLineChars="200"/>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第四条：</w:t>
      </w:r>
      <w:r>
        <w:rPr>
          <w:rFonts w:hint="eastAsia" w:ascii="宋体" w:hAnsi="宋体" w:cs="宋体"/>
          <w:color w:val="auto"/>
          <w:kern w:val="0"/>
          <w:sz w:val="18"/>
          <w:szCs w:val="18"/>
          <w:highlight w:val="none"/>
        </w:rPr>
        <w:t>本协议有效期同经济合同期限。</w:t>
      </w:r>
    </w:p>
    <w:p w14:paraId="422DD3C9">
      <w:pPr>
        <w:widowControl/>
        <w:spacing w:line="320" w:lineRule="exact"/>
        <w:ind w:firstLine="360" w:firstLineChars="200"/>
        <w:jc w:val="left"/>
        <w:rPr>
          <w:rFonts w:ascii="宋体" w:hAnsi="宋体"/>
          <w:color w:val="auto"/>
          <w:sz w:val="18"/>
          <w:szCs w:val="18"/>
          <w:highlight w:val="none"/>
        </w:rPr>
      </w:pPr>
      <w:r>
        <w:rPr>
          <w:rFonts w:hint="eastAsia" w:ascii="宋体" w:hAnsi="宋体" w:cs="宋体"/>
          <w:b/>
          <w:bCs/>
          <w:color w:val="auto"/>
          <w:kern w:val="0"/>
          <w:sz w:val="18"/>
          <w:szCs w:val="18"/>
          <w:highlight w:val="none"/>
        </w:rPr>
        <w:t>第五条：</w:t>
      </w:r>
      <w:r>
        <w:rPr>
          <w:rFonts w:hint="eastAsia" w:ascii="宋体" w:hAnsi="宋体"/>
          <w:color w:val="auto"/>
          <w:sz w:val="18"/>
          <w:szCs w:val="18"/>
          <w:highlight w:val="none"/>
        </w:rPr>
        <w:t>本协议为经济合同附件，与主合同具有同等法律效力，发包人及承包人双方签署后生效。</w:t>
      </w:r>
    </w:p>
    <w:p w14:paraId="4A753F32">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第六条：</w:t>
      </w:r>
      <w:r>
        <w:rPr>
          <w:rFonts w:ascii="宋体" w:hAnsi="宋体"/>
          <w:color w:val="auto"/>
          <w:sz w:val="18"/>
          <w:szCs w:val="18"/>
          <w:highlight w:val="none"/>
        </w:rPr>
        <w:t>承包人向发包人</w:t>
      </w:r>
      <w:r>
        <w:rPr>
          <w:rFonts w:hint="eastAsia" w:ascii="宋体" w:hAnsi="宋体"/>
          <w:color w:val="auto"/>
          <w:sz w:val="18"/>
          <w:szCs w:val="18"/>
          <w:highlight w:val="none"/>
        </w:rPr>
        <w:t>反映廉洁问题的</w:t>
      </w:r>
      <w:r>
        <w:rPr>
          <w:rFonts w:ascii="宋体" w:hAnsi="宋体"/>
          <w:color w:val="auto"/>
          <w:sz w:val="18"/>
          <w:szCs w:val="18"/>
          <w:highlight w:val="none"/>
        </w:rPr>
        <w:t>联系方式</w:t>
      </w:r>
      <w:r>
        <w:rPr>
          <w:rFonts w:hint="eastAsia" w:ascii="宋体" w:hAnsi="宋体"/>
          <w:color w:val="auto"/>
          <w:sz w:val="18"/>
          <w:szCs w:val="18"/>
          <w:highlight w:val="none"/>
        </w:rPr>
        <w:t>。</w:t>
      </w:r>
      <w:r>
        <w:rPr>
          <w:rFonts w:hint="eastAsia" w:ascii="宋体" w:hAnsi="宋体" w:cs="宋体"/>
          <w:color w:val="auto"/>
          <w:kern w:val="0"/>
          <w:sz w:val="18"/>
          <w:szCs w:val="18"/>
          <w:highlight w:val="none"/>
        </w:rPr>
        <w:t>邮寄地址：</w:t>
      </w:r>
      <w:r>
        <w:rPr>
          <w:rFonts w:ascii="宋体" w:hAnsi="宋体" w:cs="宋体"/>
          <w:color w:val="auto"/>
          <w:kern w:val="0"/>
          <w:sz w:val="18"/>
          <w:szCs w:val="18"/>
          <w:highlight w:val="none"/>
        </w:rPr>
        <w:t>重庆国际复合材料</w:t>
      </w:r>
      <w:r>
        <w:rPr>
          <w:rFonts w:hint="eastAsia" w:ascii="宋体" w:hAnsi="宋体" w:cs="宋体"/>
          <w:color w:val="auto"/>
          <w:kern w:val="0"/>
          <w:sz w:val="18"/>
          <w:szCs w:val="18"/>
          <w:highlight w:val="none"/>
        </w:rPr>
        <w:t>股份</w:t>
      </w:r>
      <w:r>
        <w:rPr>
          <w:rFonts w:ascii="宋体" w:hAnsi="宋体" w:cs="宋体"/>
          <w:color w:val="auto"/>
          <w:kern w:val="0"/>
          <w:sz w:val="18"/>
          <w:szCs w:val="18"/>
          <w:highlight w:val="none"/>
        </w:rPr>
        <w:t>有限公司纪委办</w:t>
      </w:r>
      <w:r>
        <w:rPr>
          <w:rFonts w:hint="eastAsia" w:ascii="宋体" w:hAnsi="宋体" w:cs="宋体"/>
          <w:color w:val="auto"/>
          <w:kern w:val="0"/>
          <w:sz w:val="18"/>
          <w:szCs w:val="18"/>
          <w:highlight w:val="none"/>
        </w:rPr>
        <w:t>，</w:t>
      </w:r>
      <w:r>
        <w:rPr>
          <w:rFonts w:ascii="宋体" w:hAnsi="宋体" w:cs="宋体"/>
          <w:color w:val="auto"/>
          <w:kern w:val="0"/>
          <w:sz w:val="18"/>
          <w:szCs w:val="18"/>
          <w:highlight w:val="none"/>
        </w:rPr>
        <w:t>邮编</w:t>
      </w:r>
      <w:r>
        <w:rPr>
          <w:rFonts w:hint="eastAsia" w:ascii="宋体" w:hAnsi="宋体" w:cs="宋体"/>
          <w:color w:val="auto"/>
          <w:kern w:val="0"/>
          <w:sz w:val="18"/>
          <w:szCs w:val="18"/>
          <w:highlight w:val="none"/>
        </w:rPr>
        <w:t>：4</w:t>
      </w:r>
      <w:r>
        <w:rPr>
          <w:rFonts w:ascii="宋体" w:hAnsi="宋体" w:cs="宋体"/>
          <w:color w:val="auto"/>
          <w:kern w:val="0"/>
          <w:sz w:val="18"/>
          <w:szCs w:val="18"/>
          <w:highlight w:val="none"/>
        </w:rPr>
        <w:t>00082</w:t>
      </w:r>
    </w:p>
    <w:p w14:paraId="24167A0A">
      <w:pPr>
        <w:spacing w:line="320" w:lineRule="exact"/>
        <w:ind w:firstLine="360" w:firstLineChars="200"/>
        <w:rPr>
          <w:rFonts w:ascii="宋体" w:hAnsi="宋体" w:cs="宋体"/>
          <w:color w:val="auto"/>
          <w:kern w:val="0"/>
          <w:sz w:val="18"/>
          <w:szCs w:val="18"/>
          <w:highlight w:val="none"/>
        </w:rPr>
      </w:pPr>
      <w:r>
        <w:rPr>
          <w:rFonts w:hint="eastAsia" w:ascii="宋体" w:hAnsi="宋体" w:cs="宋体"/>
          <w:color w:val="auto"/>
          <w:kern w:val="0"/>
          <w:sz w:val="18"/>
          <w:szCs w:val="18"/>
          <w:highlight w:val="none"/>
        </w:rPr>
        <w:t>工作联系</w:t>
      </w:r>
      <w:r>
        <w:rPr>
          <w:rFonts w:ascii="宋体" w:hAnsi="宋体" w:cs="宋体"/>
          <w:color w:val="auto"/>
          <w:kern w:val="0"/>
          <w:sz w:val="18"/>
          <w:szCs w:val="18"/>
          <w:highlight w:val="none"/>
        </w:rPr>
        <w:t>电话</w:t>
      </w:r>
      <w:r>
        <w:rPr>
          <w:rFonts w:hint="eastAsia" w:ascii="宋体" w:hAnsi="宋体" w:cs="宋体"/>
          <w:color w:val="auto"/>
          <w:kern w:val="0"/>
          <w:sz w:val="18"/>
          <w:szCs w:val="18"/>
          <w:highlight w:val="none"/>
        </w:rPr>
        <w:t>：023-68157555。</w:t>
      </w:r>
    </w:p>
    <w:p w14:paraId="5EE390AD">
      <w:pPr>
        <w:widowControl/>
        <w:spacing w:line="320" w:lineRule="exact"/>
        <w:ind w:firstLine="360" w:firstLineChars="200"/>
        <w:outlineLvl w:val="1"/>
        <w:rPr>
          <w:rFonts w:ascii="宋体" w:hAnsi="宋体" w:cs="宋体"/>
          <w:color w:val="auto"/>
          <w:sz w:val="18"/>
          <w:szCs w:val="18"/>
          <w:highlight w:val="none"/>
        </w:rPr>
      </w:pPr>
      <w:r>
        <w:rPr>
          <w:rFonts w:hint="eastAsia" w:ascii="宋体" w:hAnsi="宋体" w:cs="宋体"/>
          <w:b/>
          <w:bCs/>
          <w:color w:val="auto"/>
          <w:kern w:val="0"/>
          <w:sz w:val="18"/>
          <w:szCs w:val="18"/>
          <w:highlight w:val="none"/>
        </w:rPr>
        <w:t>第七条：</w:t>
      </w:r>
      <w:r>
        <w:rPr>
          <w:rFonts w:hint="eastAsia" w:ascii="宋体" w:hAnsi="宋体" w:cs="宋体"/>
          <w:color w:val="auto"/>
          <w:sz w:val="18"/>
          <w:szCs w:val="18"/>
          <w:highlight w:val="none"/>
        </w:rPr>
        <w:t>未经公司制度特别规定或正式授权，员工在本合同/协议/或其他书面材料签章的行为，不对外产生效力。</w:t>
      </w:r>
    </w:p>
    <w:p w14:paraId="2706309E">
      <w:pPr>
        <w:pStyle w:val="69"/>
        <w:spacing w:line="320" w:lineRule="exact"/>
        <w:rPr>
          <w:color w:val="auto"/>
          <w:highlight w:val="none"/>
        </w:rPr>
      </w:pPr>
    </w:p>
    <w:p w14:paraId="38E2287B">
      <w:pPr>
        <w:pStyle w:val="69"/>
        <w:spacing w:line="320" w:lineRule="exact"/>
        <w:rPr>
          <w:color w:val="auto"/>
          <w:highlight w:val="none"/>
        </w:rPr>
      </w:pPr>
    </w:p>
    <w:p w14:paraId="29B155B9">
      <w:pPr>
        <w:spacing w:line="320" w:lineRule="exact"/>
        <w:ind w:left="210" w:leftChars="100" w:firstLine="180" w:firstLineChars="100"/>
        <w:rPr>
          <w:color w:val="auto"/>
          <w:sz w:val="18"/>
          <w:highlight w:val="none"/>
        </w:rPr>
      </w:pPr>
      <w:r>
        <w:rPr>
          <w:rFonts w:hint="eastAsia"/>
          <w:b/>
          <w:color w:val="auto"/>
          <w:sz w:val="18"/>
          <w:highlight w:val="none"/>
        </w:rPr>
        <w:t>发包人（买方）</w:t>
      </w:r>
      <w:r>
        <w:rPr>
          <w:b/>
          <w:color w:val="auto"/>
          <w:sz w:val="18"/>
          <w:highlight w:val="none"/>
        </w:rPr>
        <w:t>名称：重庆国际复合材料股份有限公司</w:t>
      </w:r>
      <w:r>
        <w:rPr>
          <w:rFonts w:hint="eastAsia"/>
          <w:b/>
          <w:color w:val="auto"/>
          <w:sz w:val="18"/>
          <w:highlight w:val="none"/>
        </w:rPr>
        <w:t xml:space="preserve"> </w:t>
      </w:r>
      <w:r>
        <w:rPr>
          <w:b/>
          <w:color w:val="auto"/>
          <w:sz w:val="18"/>
          <w:highlight w:val="none"/>
        </w:rPr>
        <w:t xml:space="preserve">              </w:t>
      </w:r>
      <w:r>
        <w:rPr>
          <w:rFonts w:hint="eastAsia"/>
          <w:b/>
          <w:color w:val="auto"/>
          <w:sz w:val="18"/>
          <w:highlight w:val="none"/>
        </w:rPr>
        <w:t>承包人（卖方）</w:t>
      </w:r>
      <w:r>
        <w:rPr>
          <w:b/>
          <w:color w:val="auto"/>
          <w:sz w:val="18"/>
          <w:highlight w:val="none"/>
        </w:rPr>
        <w:t>名称：</w:t>
      </w:r>
      <w:r>
        <w:rPr>
          <w:rFonts w:hint="eastAsia"/>
          <w:b/>
          <w:color w:val="auto"/>
          <w:sz w:val="18"/>
          <w:highlight w:val="none"/>
        </w:rPr>
        <w:t xml:space="preserve">  </w:t>
      </w:r>
      <w:r>
        <w:rPr>
          <w:b/>
          <w:color w:val="auto"/>
          <w:sz w:val="18"/>
          <w:highlight w:val="none"/>
        </w:rPr>
        <w:t xml:space="preserve">           </w:t>
      </w:r>
      <w:r>
        <w:rPr>
          <w:rFonts w:hint="eastAsia"/>
          <w:b/>
          <w:color w:val="auto"/>
          <w:sz w:val="18"/>
          <w:highlight w:val="none"/>
        </w:rPr>
        <w:t xml:space="preserve">                  </w:t>
      </w:r>
    </w:p>
    <w:p w14:paraId="6AE69705">
      <w:pPr>
        <w:spacing w:line="320" w:lineRule="exact"/>
        <w:rPr>
          <w:color w:val="auto"/>
          <w:sz w:val="18"/>
          <w:highlight w:val="none"/>
        </w:rPr>
      </w:pPr>
    </w:p>
    <w:p w14:paraId="02592F45">
      <w:pPr>
        <w:spacing w:line="320" w:lineRule="exact"/>
        <w:ind w:firstLine="360" w:firstLineChars="200"/>
        <w:rPr>
          <w:b/>
          <w:color w:val="auto"/>
          <w:sz w:val="18"/>
          <w:highlight w:val="none"/>
        </w:rPr>
      </w:pPr>
      <w:r>
        <w:rPr>
          <w:b/>
          <w:color w:val="auto"/>
          <w:sz w:val="18"/>
          <w:highlight w:val="none"/>
        </w:rPr>
        <w:t xml:space="preserve">代表签字（盖章）：    </w:t>
      </w:r>
      <w:r>
        <w:rPr>
          <w:rFonts w:hint="eastAsia"/>
          <w:b/>
          <w:color w:val="auto"/>
          <w:sz w:val="18"/>
          <w:highlight w:val="none"/>
        </w:rPr>
        <w:t xml:space="preserve">                                        </w:t>
      </w:r>
      <w:r>
        <w:rPr>
          <w:b/>
          <w:color w:val="auto"/>
          <w:sz w:val="18"/>
          <w:highlight w:val="none"/>
        </w:rPr>
        <w:t>代表签字（盖章）：</w:t>
      </w:r>
    </w:p>
    <w:p w14:paraId="0B21C42D">
      <w:pPr>
        <w:spacing w:line="320" w:lineRule="exact"/>
        <w:rPr>
          <w:b/>
          <w:color w:val="auto"/>
          <w:sz w:val="18"/>
          <w:highlight w:val="none"/>
        </w:rPr>
      </w:pPr>
    </w:p>
    <w:p w14:paraId="44D39053">
      <w:pPr>
        <w:spacing w:line="320" w:lineRule="exact"/>
        <w:ind w:firstLine="360" w:firstLineChars="200"/>
        <w:rPr>
          <w:color w:val="auto"/>
          <w:highlight w:val="none"/>
        </w:rPr>
      </w:pPr>
      <w:r>
        <w:rPr>
          <w:b/>
          <w:color w:val="auto"/>
          <w:sz w:val="18"/>
          <w:highlight w:val="none"/>
        </w:rPr>
        <w:t xml:space="preserve">日期：                        </w:t>
      </w:r>
      <w:r>
        <w:rPr>
          <w:rFonts w:hint="eastAsia"/>
          <w:b/>
          <w:color w:val="auto"/>
          <w:sz w:val="18"/>
          <w:highlight w:val="none"/>
        </w:rPr>
        <w:t xml:space="preserve">                               </w:t>
      </w:r>
      <w:r>
        <w:rPr>
          <w:b/>
          <w:color w:val="auto"/>
          <w:sz w:val="18"/>
          <w:highlight w:val="none"/>
        </w:rPr>
        <w:t xml:space="preserve">日期： </w:t>
      </w:r>
    </w:p>
    <w:p w14:paraId="3208FD94">
      <w:pPr>
        <w:wordWrap w:val="0"/>
        <w:topLinePunct/>
        <w:autoSpaceDE w:val="0"/>
        <w:autoSpaceDN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w:t>
      </w:r>
    </w:p>
    <w:p w14:paraId="3484B947">
      <w:pPr>
        <w:rPr>
          <w:rFonts w:eastAsia="仿宋_GB2312"/>
          <w:color w:val="auto"/>
          <w:sz w:val="30"/>
          <w:szCs w:val="30"/>
          <w:highlight w:val="none"/>
        </w:rPr>
      </w:pPr>
      <w:r>
        <w:rPr>
          <w:rFonts w:eastAsia="仿宋_GB2312"/>
          <w:color w:val="auto"/>
          <w:sz w:val="30"/>
          <w:szCs w:val="30"/>
          <w:highlight w:val="none"/>
        </w:rPr>
        <w:br w:type="page"/>
      </w:r>
    </w:p>
    <w:p w14:paraId="3A336E2D">
      <w:pPr>
        <w:spacing w:line="440" w:lineRule="exact"/>
        <w:rPr>
          <w:rFonts w:eastAsia="仿宋_GB2312"/>
          <w:color w:val="auto"/>
          <w:sz w:val="30"/>
          <w:szCs w:val="30"/>
          <w:highlight w:val="none"/>
        </w:rPr>
      </w:pPr>
      <w:r>
        <w:rPr>
          <w:rFonts w:eastAsia="仿宋_GB2312"/>
          <w:color w:val="auto"/>
          <w:sz w:val="30"/>
          <w:szCs w:val="30"/>
          <w:highlight w:val="none"/>
        </w:rPr>
        <w:t>附件3：</w:t>
      </w:r>
    </w:p>
    <w:p w14:paraId="6BCBC94D">
      <w:pPr>
        <w:pStyle w:val="2"/>
        <w:keepNext w:val="0"/>
        <w:keepLines w:val="0"/>
        <w:widowControl/>
        <w:autoSpaceDE w:val="0"/>
        <w:spacing w:before="140"/>
        <w:jc w:val="center"/>
        <w:rPr>
          <w:rFonts w:ascii="宋体" w:hAnsi="宋体" w:cs="宋体"/>
          <w:color w:val="auto"/>
          <w:sz w:val="32"/>
          <w:szCs w:val="32"/>
          <w:highlight w:val="none"/>
        </w:rPr>
      </w:pPr>
      <w:r>
        <w:rPr>
          <w:rFonts w:hint="eastAsia" w:ascii="宋体" w:hAnsi="宋体" w:cs="宋体"/>
          <w:color w:val="auto"/>
          <w:sz w:val="32"/>
          <w:szCs w:val="32"/>
          <w:highlight w:val="none"/>
        </w:rPr>
        <w:t>安全环保管理协议</w:t>
      </w:r>
    </w:p>
    <w:p w14:paraId="45BEE438">
      <w:pPr>
        <w:rPr>
          <w:rFonts w:ascii="Calibri" w:hAnsi="Calibri"/>
          <w:color w:val="auto"/>
          <w:szCs w:val="21"/>
          <w:highlight w:val="none"/>
        </w:rPr>
      </w:pPr>
      <w:r>
        <w:rPr>
          <w:rFonts w:hint="eastAsia" w:ascii="Calibri" w:hAnsi="Calibri"/>
          <w:color w:val="auto"/>
          <w:kern w:val="0"/>
          <w:szCs w:val="21"/>
          <w:highlight w:val="none"/>
          <w:lang w:bidi="ar"/>
        </w:rPr>
        <w:t xml:space="preserve"> </w:t>
      </w:r>
    </w:p>
    <w:p w14:paraId="550D4B8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发包人（全称）：重庆国际复合材料股份有限公司</w:t>
      </w:r>
    </w:p>
    <w:p w14:paraId="173A2BE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承包人（全称）：</w:t>
      </w:r>
    </w:p>
    <w:p w14:paraId="2EE13339">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78AAD40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根据《安全生产法》《重庆市安全生产条例》等有关规定，基于已签订的合同文件，为进一步明确双方在承揽的（☑工程项目、£设备设施安装、□检维修施工）时的安全、环保、消防职责和义务，落实 “谁发包、谁负责”“谁用工、谁管理”“属地管理” 和 “全过程、一体化” 管理原则，全面推行 “五个一”（一套标准、一套考核、一体运作、一个团队、一种文化）一体化管理模式，经双方协商同意后签订本协议，以期共同遵守。</w:t>
      </w:r>
    </w:p>
    <w:p w14:paraId="5AFABF66">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一、核心协议内容</w:t>
      </w:r>
    </w:p>
    <w:p w14:paraId="2DD207AD">
      <w:pPr>
        <w:pStyle w:val="4"/>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（一）发包企业安全规章制度告知</w:t>
      </w:r>
    </w:p>
    <w:p w14:paraId="0D8CE3B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1、发包人应向承包人全面告知公司安全环保规章制度、应急处理程序、“吹哨人” 及隐患内部报告制度（含奖励标准）、安全生产十大禁令、《云天化集团承包商安全管理指南》等核心要求，提供制度文本供承包人存档查阅，并通过专题培训或书面签收等方式确保承包人及全体从业人员知晓、理解并承诺遵守。</w:t>
      </w:r>
    </w:p>
    <w:p w14:paraId="61CA721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2、承包人应组织内部全员传达学习发包人安全规章制度，留存学习记录备查，并将相关要求融入自身安全管理体系，确保落地执行。</w:t>
      </w:r>
    </w:p>
    <w:p w14:paraId="36B2045C">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（二）双方工作范围</w:t>
      </w:r>
    </w:p>
    <w:p w14:paraId="46AE535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1、发包人工作范围：</w:t>
      </w:r>
    </w:p>
    <w:p w14:paraId="6D396F2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提供符合安全要求的施工、维保场地，明确业务发包部门、使用部门及属地部门的具体职责分工，杜绝管理责任悬空。</w:t>
      </w:r>
    </w:p>
    <w:p w14:paraId="1028DDA3">
      <w:pPr>
        <w:autoSpaceDE w:val="0"/>
        <w:spacing w:line="360" w:lineRule="auto"/>
        <w:ind w:firstLine="480" w:firstLineChars="200"/>
        <w:rPr>
          <w:rFonts w:ascii="宋体" w:hAnsi="宋体" w:cs="宋体"/>
          <w:color w:val="auto"/>
          <w:sz w:val="24"/>
          <w:szCs w:val="24"/>
          <w:highlight w:val="none"/>
        </w:rPr>
      </w:pPr>
      <w:r>
        <w:rPr>
          <w:rFonts w:hint="eastAsia" w:ascii="宋体" w:hAnsi="宋体" w:cs="宋体"/>
          <w:color w:val="auto"/>
          <w:kern w:val="0"/>
          <w:sz w:val="24"/>
          <w:szCs w:val="24"/>
          <w:highlight w:val="none"/>
          <w:lang w:bidi="ar"/>
        </w:rPr>
        <w:t>发包人对应部门：</w:t>
      </w:r>
    </w:p>
    <w:p w14:paraId="78BCF3FF">
      <w:pPr>
        <w:autoSpaceDE w:val="0"/>
        <w:spacing w:line="360" w:lineRule="auto"/>
        <w:ind w:firstLine="480" w:firstLineChars="200"/>
        <w:rPr>
          <w:rFonts w:ascii="宋体" w:hAnsi="宋体" w:cs="宋体"/>
          <w:color w:val="auto"/>
          <w:sz w:val="24"/>
          <w:szCs w:val="24"/>
          <w:highlight w:val="none"/>
          <w:u w:val="single"/>
        </w:rPr>
      </w:pPr>
      <w:r>
        <w:rPr>
          <w:rFonts w:hint="eastAsia" w:ascii="宋体" w:hAnsi="宋体" w:cs="宋体"/>
          <w:color w:val="auto"/>
          <w:kern w:val="0"/>
          <w:sz w:val="24"/>
          <w:szCs w:val="24"/>
          <w:highlight w:val="none"/>
          <w:lang w:bidi="ar"/>
        </w:rPr>
        <w:t>发包部门：</w:t>
      </w:r>
      <w:r>
        <w:rPr>
          <w:rFonts w:hint="eastAsia" w:ascii="宋体" w:hAnsi="宋体" w:cs="宋体"/>
          <w:color w:val="auto"/>
          <w:kern w:val="0"/>
          <w:sz w:val="24"/>
          <w:szCs w:val="24"/>
          <w:highlight w:val="none"/>
          <w:u w:val="single"/>
          <w:lang w:bidi="ar"/>
        </w:rPr>
        <w:t xml:space="preserve">XXXXXX  </w:t>
      </w:r>
    </w:p>
    <w:p w14:paraId="605E799B">
      <w:pPr>
        <w:autoSpaceDE w:val="0"/>
        <w:spacing w:line="360" w:lineRule="auto"/>
        <w:ind w:firstLine="480" w:firstLineChars="200"/>
        <w:rPr>
          <w:rFonts w:ascii="宋体" w:hAnsi="宋体" w:cs="宋体"/>
          <w:color w:val="auto"/>
          <w:sz w:val="24"/>
          <w:szCs w:val="24"/>
          <w:highlight w:val="none"/>
          <w:u w:val="single"/>
        </w:rPr>
      </w:pPr>
      <w:r>
        <w:rPr>
          <w:rFonts w:hint="eastAsia" w:ascii="宋体" w:hAnsi="宋体" w:cs="宋体"/>
          <w:color w:val="auto"/>
          <w:kern w:val="0"/>
          <w:sz w:val="24"/>
          <w:szCs w:val="24"/>
          <w:highlight w:val="none"/>
          <w:lang w:bidi="ar"/>
        </w:rPr>
        <w:t>使用部门：</w:t>
      </w:r>
      <w:r>
        <w:rPr>
          <w:rFonts w:hint="eastAsia" w:ascii="宋体" w:hAnsi="宋体" w:cs="宋体"/>
          <w:color w:val="auto"/>
          <w:kern w:val="0"/>
          <w:sz w:val="24"/>
          <w:szCs w:val="24"/>
          <w:highlight w:val="none"/>
          <w:u w:val="single"/>
          <w:lang w:bidi="ar"/>
        </w:rPr>
        <w:t xml:space="preserve">项目办  </w:t>
      </w:r>
      <w:r>
        <w:rPr>
          <w:rFonts w:hint="eastAsia" w:ascii="宋体" w:hAnsi="宋体" w:cs="宋体"/>
          <w:color w:val="auto"/>
          <w:kern w:val="0"/>
          <w:sz w:val="24"/>
          <w:szCs w:val="24"/>
          <w:highlight w:val="none"/>
          <w:u w:val="thick"/>
          <w:lang w:bidi="ar"/>
        </w:rPr>
        <w:t xml:space="preserve">   </w:t>
      </w:r>
      <w:r>
        <w:rPr>
          <w:rFonts w:hint="eastAsia" w:ascii="宋体" w:hAnsi="宋体" w:cs="宋体"/>
          <w:color w:val="auto"/>
          <w:kern w:val="0"/>
          <w:sz w:val="24"/>
          <w:szCs w:val="24"/>
          <w:highlight w:val="none"/>
          <w:lang w:bidi="ar"/>
        </w:rPr>
        <w:t xml:space="preserve"> </w:t>
      </w:r>
      <w:r>
        <w:rPr>
          <w:rFonts w:hint="eastAsia" w:ascii="宋体" w:hAnsi="宋体" w:cs="宋体"/>
          <w:color w:val="auto"/>
          <w:kern w:val="0"/>
          <w:sz w:val="24"/>
          <w:szCs w:val="24"/>
          <w:highlight w:val="none"/>
          <w:u w:val="single"/>
          <w:lang w:bidi="ar"/>
        </w:rPr>
        <w:t xml:space="preserve">         </w:t>
      </w:r>
    </w:p>
    <w:p w14:paraId="20A6AD0D">
      <w:pPr>
        <w:autoSpaceDE w:val="0"/>
        <w:spacing w:line="360" w:lineRule="auto"/>
        <w:ind w:firstLine="480" w:firstLineChars="200"/>
        <w:rPr>
          <w:rFonts w:ascii="宋体" w:hAnsi="宋体" w:cs="宋体"/>
          <w:color w:val="auto"/>
          <w:sz w:val="24"/>
          <w:szCs w:val="24"/>
          <w:highlight w:val="none"/>
        </w:rPr>
      </w:pPr>
      <w:r>
        <w:rPr>
          <w:rFonts w:hint="eastAsia" w:ascii="宋体" w:hAnsi="宋体" w:cs="宋体"/>
          <w:color w:val="auto"/>
          <w:kern w:val="0"/>
          <w:sz w:val="24"/>
          <w:szCs w:val="24"/>
          <w:highlight w:val="none"/>
          <w:lang w:bidi="ar"/>
        </w:rPr>
        <w:t>属地部门：</w:t>
      </w:r>
      <w:r>
        <w:rPr>
          <w:rFonts w:hint="eastAsia" w:ascii="宋体" w:hAnsi="宋体" w:cs="宋体"/>
          <w:color w:val="auto"/>
          <w:kern w:val="0"/>
          <w:sz w:val="24"/>
          <w:szCs w:val="24"/>
          <w:highlight w:val="none"/>
          <w:u w:val="single"/>
          <w:lang w:bidi="ar"/>
        </w:rPr>
        <w:t xml:space="preserve">XXXXXX                        </w:t>
      </w:r>
    </w:p>
    <w:p w14:paraId="783FFCE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对承包人开展准入审查、安全培训考核、作业过程监督检查，统筹协调同一作业区域多承包商的安全管理；建立承包人管理档案，实施安全绩效评价、合格承包商名录及黑名单动态管理。</w:t>
      </w:r>
    </w:p>
    <w:p w14:paraId="5173E0D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组织开展安全赋能与文化融合活动，监督承包人 “吹哨人” 及隐患内部报告制度的建立与执行，保障奖励资金落实。</w:t>
      </w:r>
    </w:p>
    <w:p w14:paraId="6F33BCE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2、承包人工作范围：</w:t>
      </w:r>
    </w:p>
    <w:p w14:paraId="6F68C2A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按照合同约定完成承揽业务，履行安全生产主体责任，接受发包人及相关单位的监督管理。</w:t>
      </w:r>
    </w:p>
    <w:p w14:paraId="565C4C7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建立健全安全管理体系，配备相应安全管理人员，保障安全生产资金投入，落实各项安全环保措施；开展从业人员安全培训、职业健康监护、保险投保等工作。</w:t>
      </w:r>
    </w:p>
    <w:p w14:paraId="22B9766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建立并执行 “吹哨人” 及隐患内部报告制度，及时排查治理安全隐患，妥善处置事故事件。</w:t>
      </w:r>
    </w:p>
    <w:p w14:paraId="1A4528EE">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（三）安全责任划分</w:t>
      </w:r>
    </w:p>
    <w:p w14:paraId="74F07C1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1、发包人责任：</w:t>
      </w:r>
    </w:p>
    <w:p w14:paraId="6C227F7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履行安全规章制度告知、安全培训考核、作业现场监督检查等职责，对发现的隐患有权采取停工整改、扣除违约金、责令更换人员设备等措施。</w:t>
      </w:r>
    </w:p>
    <w:p w14:paraId="519817C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统筹协调承包商安全管理工作，每季度组织召开承包商安全管理会议，通报管理情况及问题；将承包商安全管理纳入本单位年度安全环保绩效考核体系。</w:t>
      </w:r>
    </w:p>
    <w:p w14:paraId="6B49609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同一作业区域有两个或两个以上承包商作业时，组织签订安全生产管理协议，明确各自安全职责；指导与监督承包人 “吹哨人” 制度执行，将其纳入安全文化建设和考核范畴。</w:t>
      </w:r>
    </w:p>
    <w:p w14:paraId="67B3F10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2、承包人责任：</w:t>
      </w:r>
    </w:p>
    <w:p w14:paraId="40F3665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承担施工安全主体责任，建立安全生产管理机构，配备专（兼）职安全生产管理人员，健全安全生产责任制和管理制度；保障安全生产资金投入。</w:t>
      </w:r>
    </w:p>
    <w:p w14:paraId="4677358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负责从业人员的培训、管理、健康监护及保险投保，确保特种作业人员、特种设备作业人员 100% 持有效操作资格证上岗。</w:t>
      </w:r>
    </w:p>
    <w:p w14:paraId="2CC91F2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发生事故事件后，现场负责人 30 分钟内报至发包人对口管理人员（特殊情况可越级上报），严禁迟报、漏报、谎报或瞒报；配合发包人在 1 小时内上报属地应急管理部门及主管部门，按 “四不放过” 原则调查处理并承担相应责任。</w:t>
      </w:r>
    </w:p>
    <w:p w14:paraId="3BEDF5A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严格执行 “吹哨人” 及隐患内部报告制度，设立专项奖励，及时兑现奖励并建立台账，接受发包人监督。</w:t>
      </w:r>
    </w:p>
    <w:p w14:paraId="55FB4456">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（四）安全管理规定</w:t>
      </w:r>
    </w:p>
    <w:p w14:paraId="1A2A48F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1、人员管理：</w:t>
      </w:r>
    </w:p>
    <w:p w14:paraId="3D0DD16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承包人主要负责人、项目（现场）负责人、安全管理人员等关键岗位人员，需在入场前经发包人审核备案；任职期间确需调整的，应提前报请发包人批准，未经批准不得擅自变更。</w:t>
      </w:r>
    </w:p>
    <w:p w14:paraId="3CAFF9D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控制人员流动率（月流动率 = 当月非因项目正常结束而离场的人员数量 ÷ 月初作业人员总数量 ×100%；月均作业人数超 50 人时≤15%，50 人及以下时≤20% 且绝对人数≤5 人），确保关键岗位及作业人员相对稳定。</w:t>
      </w:r>
    </w:p>
    <w:p w14:paraId="6D11B38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从业人员应与承包人依法签订劳动合同，无职业禁忌，按规定参加职业健康体检；进入重大危险源区域的人员需提供无犯罪记录证明。</w:t>
      </w:r>
    </w:p>
    <w:p w14:paraId="36C3624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2、作业管理：</w:t>
      </w:r>
    </w:p>
    <w:p w14:paraId="0D52C9D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特殊作业及风险较高作业需配备具备监护能力的现场监护人员；高风险作业（特级、一级动火作业，涉及有毒有害、易燃易爆介质的受限空间作业，Ⅲ、Ⅳ 级高处作业，一级吊装作业等）执行 “双监护” 制度（发包企业和承包人各指派 1 名专人共同监护，必要时安排专职消防队监护），双方承担连带责任。</w:t>
      </w:r>
    </w:p>
    <w:p w14:paraId="6A53D3E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特殊作业严格执行发包人特殊作业安全管理规定，办理作业许可审批及安全技术交底，全程监护；作业现场控制人数，特殊作业风险区域原则上不超过 6 人。</w:t>
      </w:r>
    </w:p>
    <w:p w14:paraId="42FE188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交叉作业需办理书面告知手续，签订安全生产管理协议；作业变更遵循 “风险分级、管控前置” 原则，重大变更需修订协议及方案并经发包人批准。</w:t>
      </w:r>
    </w:p>
    <w:p w14:paraId="45F15E7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3、现场管理：</w:t>
      </w:r>
    </w:p>
    <w:p w14:paraId="6B3EE95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按发包人核定的施工平面布置图设置临时设施，堆放材料、机具设备，不得侵占场内道路及安全防护设施；保持施工现场道路畅通、场容整洁，做到工完、料尽、场地清。</w:t>
      </w:r>
    </w:p>
    <w:p w14:paraId="2D4D0CD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建立施工现场消防安全责任制度，设置消防通道、水源及灭火器材，在现场入口处及危险部位设置明显安全警示标志；严格遵守厂区禁烟、治安保卫规定，按指定路线行走。</w:t>
      </w:r>
    </w:p>
    <w:p w14:paraId="4AB23D1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落实作业现场安全保卫及环保措施，控制粉尘、废气、废水、噪声等污染；按要求分类处置废弃物，危险废弃物需按指定方式存放处置。</w:t>
      </w:r>
    </w:p>
    <w:p w14:paraId="0D0AFE0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4、设备与防护用品管理：</w:t>
      </w:r>
    </w:p>
    <w:p w14:paraId="6BCEE28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承包人拟进场的工机具及劳动防护用品需经发包人使用部门检验标识，提供检维修记录、检定证明等材料，不满足标准要求的不得进场。</w:t>
      </w:r>
    </w:p>
    <w:p w14:paraId="55229FA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承包人为从业人员提供符合国家标准或行业标准的劳动防护用品，确保规范使用；定期对工机具进行维护保养，特种设备需具备合格检验标识且在检验周期内。</w:t>
      </w:r>
    </w:p>
    <w:p w14:paraId="22826EE7">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（五）安全风险及安全措施要求</w:t>
      </w:r>
    </w:p>
    <w:p w14:paraId="2F5E8D9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1、发包人应向承包人明确作业区域的危险有害因素、重大危险源分布及防控要求；承包人需如实告知从业人员作业场所的危险有害因素、防范措施及事故应急措施。</w:t>
      </w:r>
    </w:p>
    <w:p w14:paraId="74EAC2F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2、承包人需编制安全技术方案及专项安全施工方案（危险性较大项目需组织专家论证），报发包人或监理单位审批后实施；作业前组织风险辨识，工艺条件、作业环境变化时重新进行风险分析。</w:t>
      </w:r>
    </w:p>
    <w:p w14:paraId="0817EBE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3、针对高风险作业、特殊作业及重大危险源相关作业，制定专项安全措施，落实能量隔离、通风、检测、防护等要求；特级动火、受限空间作业实现视频监控全过程覆盖。</w:t>
      </w:r>
    </w:p>
    <w:p w14:paraId="0E8BA54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4、发包人应对作业现场及作业环境的安全条件进行检查，确认风险管控措施全部落实到位后，方可允许承包人开工。</w:t>
      </w:r>
    </w:p>
    <w:p w14:paraId="19E0E42C">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（六）安全教育培训</w:t>
      </w:r>
    </w:p>
    <w:p w14:paraId="56440E6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1、发包人培训：</w:t>
      </w:r>
    </w:p>
    <w:p w14:paraId="35835F6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人员进场前进行分级安全教育培训（长期合作人员实施三级培训，短期专项作业人员实施二级培训），由安全环保部门、使用部门及属地管理部门逐级实施（二级培训由安全环保部门及属地管理部门实施），培训内容包括企业安全规章制度、“吹哨人” 制度、作业风险及应急处置等。</w:t>
      </w:r>
    </w:p>
    <w:p w14:paraId="6D07FAC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培训后组织考核，考核合格后方允许入场；建立培训档案，记录培训、考核情况，实行全程追溯管理。</w:t>
      </w:r>
    </w:p>
    <w:p w14:paraId="1666783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2、承包人培训：</w:t>
      </w:r>
    </w:p>
    <w:p w14:paraId="54AC7A1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入场前自主开展安全培训，向发包人提供作业人员培训及考核合格的书面材料；发生人员、工艺、设备、方案或环境变更时，需对作业人员进行专项培训，考核合格后上岗并报发包人备案。</w:t>
      </w:r>
    </w:p>
    <w:p w14:paraId="0B559E2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主要负责人和安全生产管理人员（高危行业）必须 100% 取得安全生产知识和管理能力考核合格证；定期组织从业人员进行安全生产再培训及能力评价。</w:t>
      </w:r>
    </w:p>
    <w:p w14:paraId="51114744">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（七）应急处置</w:t>
      </w:r>
    </w:p>
    <w:p w14:paraId="63464CD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1、承包人应编制应急预案并定期组织应急演练，储备必要的应急物资，确保从业人员清楚应急处置流程和紧急联系方式。</w:t>
      </w:r>
    </w:p>
    <w:p w14:paraId="7F2E063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2、发生事故事件后，立即组织力量抢救伤员，防止事态扩大，保护事故现场并做好记录、拍照取证；人员伤亡事故立即送医救治或拨打 120 急救电话，情况紧急时可就近抢救，伤情平稳后转至工伤定点医院。</w:t>
      </w:r>
    </w:p>
    <w:p w14:paraId="41DC3BD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3、发包人相关部门接到报告后立即赶赴现场协助处理，按规定开展事故调查；调查组包含双方安全管理人员、专业技术人员及工会代表（重伤以上）。</w:t>
      </w:r>
    </w:p>
    <w:p w14:paraId="131AE74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4、事故调查处理权限：微伤事故由事故所在单位或发包人调查处理；轻微伤及以上事故由发包人组织调查处理；重伤 3 人以上及死亡事故按规定由政府部门或其授权单位调查处理。</w:t>
      </w:r>
    </w:p>
    <w:p w14:paraId="09DF8C1A">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（八）终止施工特殊条款</w:t>
      </w:r>
    </w:p>
    <w:p w14:paraId="16FD739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1、承包人存在下列情形之一的，发包人有权将承包人列为</w:t>
      </w:r>
      <w:r>
        <w:rPr>
          <w:rFonts w:hint="eastAsia" w:ascii="宋体" w:hAnsi="宋体" w:cs="宋体"/>
          <w:b/>
          <w:bCs/>
          <w:color w:val="auto"/>
          <w:kern w:val="0"/>
          <w:szCs w:val="24"/>
          <w:highlight w:val="none"/>
          <w:lang w:bidi="ar"/>
        </w:rPr>
        <w:t>黑名单</w:t>
      </w:r>
      <w:r>
        <w:rPr>
          <w:rFonts w:hint="eastAsia" w:ascii="宋体" w:hAnsi="宋体" w:cs="宋体"/>
          <w:color w:val="auto"/>
          <w:kern w:val="0"/>
          <w:szCs w:val="24"/>
          <w:highlight w:val="none"/>
          <w:lang w:bidi="ar"/>
        </w:rPr>
        <w:t>且有权立即终止施工并解除合同：</w:t>
      </w:r>
      <w:r>
        <w:rPr>
          <w:rFonts w:hint="eastAsia" w:ascii="宋体" w:hAnsi="宋体" w:cs="宋体"/>
          <w:b/>
          <w:bCs/>
          <w:color w:val="auto"/>
          <w:kern w:val="0"/>
          <w:szCs w:val="24"/>
          <w:highlight w:val="none"/>
          <w:lang w:bidi="ar"/>
        </w:rPr>
        <w:t>（承包商被列入黑名单的管理期限原则上为三年，自云天化集团HSE 数字化系统终审公示之日起计算。）</w:t>
      </w:r>
    </w:p>
    <w:p w14:paraId="5FB6F0F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存在严重安全违规行为，如拒不执行安全监管指令、伪造资质证书、瞒报事故、或执行“三次提醒”机制（二次提醒：由责任部门与承包人管理层召开警示会议，约谈承包人管理层，限期一个月内完成加整改；三次提醒：列入黑名单，立即终止合同）。</w:t>
      </w:r>
    </w:p>
    <w:p w14:paraId="40E637C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（2）安全绩效评价结果连续两次为C级，或一次C级且整改不力，安全能力不达标。</w:t>
      </w:r>
    </w:p>
    <w:p w14:paraId="218D28B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（3）发生较大及以上生产安全责任事故，或一年内发生两起及以上一般生产安全责任事故。</w:t>
      </w:r>
    </w:p>
    <w:p w14:paraId="247072B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（4）承包商单位或相关人员在考核周期内，安全记分累计达到规定上限值。</w:t>
      </w:r>
    </w:p>
    <w:p w14:paraId="6D32FFF8">
      <w:pPr>
        <w:pStyle w:val="18"/>
        <w:numPr>
          <w:ilvl w:val="0"/>
          <w:numId w:val="6"/>
        </w:numPr>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违反安全生产法律法规、集团规章制度或合同约定，情节严重，对安全生产造成重大隐患或不良影响的其他情形。</w:t>
      </w:r>
    </w:p>
    <w:p w14:paraId="6483D03B">
      <w:pPr>
        <w:pStyle w:val="18"/>
        <w:autoSpaceDE w:val="0"/>
        <w:spacing w:line="360" w:lineRule="auto"/>
        <w:ind w:left="420" w:left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2、因终止施工造成的损失由承包人承担，发包人有权追究承包人的违约责任。</w:t>
      </w:r>
    </w:p>
    <w:p w14:paraId="6D4C2253">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（九）考核及奖励规定</w:t>
      </w:r>
    </w:p>
    <w:p w14:paraId="04DE2A5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1、发包人对承包人实行日常检查、专项检查、月度检查、季度考核、每半年综合评估与年度综合评价相结合的安全绩效评价机制，评价结果分为 A、B、C 三级（A 级：得分≥90 分；B 级：70 分≤得分＜90 分；C 级：得分＜70 分）。（详见附件3：承包商评价表）</w:t>
      </w:r>
    </w:p>
    <w:p w14:paraId="2319A22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2、评价内容包括资质与合规管理、安全培训与能力、作业过程安全控制、安全绩效与改进、综合管理与文化等，其中 “吹哨人” 制度执行效果为核心评价指标之一。</w:t>
      </w:r>
    </w:p>
    <w:p w14:paraId="69FFB8A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3、评价结果应用及分级管理：</w:t>
      </w:r>
    </w:p>
    <w:p w14:paraId="1FE5537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作为续聘、业务范围调整、合同续签的重要依据；</w:t>
      </w:r>
    </w:p>
    <w:p w14:paraId="108F644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连续两次 B 级降为 C 级，连续两次 C 级纳入黑名单；</w:t>
      </w:r>
    </w:p>
    <w:p w14:paraId="60D20AF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C 级承包人需提交整改申请，经发包人使用部门牵头，联合安全环保管理部门、属地部门共同审核批准后方可作业；</w:t>
      </w:r>
    </w:p>
    <w:p w14:paraId="79ACC6D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对安全绩效优秀的承包人，给予业务优先、履约激励、声誉宣传等奖励。</w:t>
      </w:r>
    </w:p>
    <w:p w14:paraId="5B2A8FE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4、承包人从业人员存在下列行为之一，经查实，应立即清除出厂并纳入</w:t>
      </w:r>
      <w:r>
        <w:rPr>
          <w:rFonts w:hint="eastAsia" w:ascii="宋体" w:hAnsi="宋体" w:cs="宋体"/>
          <w:b/>
          <w:bCs/>
          <w:color w:val="auto"/>
          <w:kern w:val="0"/>
          <w:szCs w:val="24"/>
          <w:highlight w:val="none"/>
          <w:lang w:bidi="ar"/>
        </w:rPr>
        <w:t>个人黑名单（个人黑名单管理期限原则上为 1 至 3 年）</w:t>
      </w:r>
      <w:r>
        <w:rPr>
          <w:rFonts w:hint="eastAsia" w:ascii="宋体" w:hAnsi="宋体" w:cs="宋体"/>
          <w:color w:val="auto"/>
          <w:kern w:val="0"/>
          <w:szCs w:val="24"/>
          <w:highlight w:val="none"/>
          <w:lang w:bidi="ar"/>
        </w:rPr>
        <w:t>：</w:t>
      </w:r>
    </w:p>
    <w:p w14:paraId="0CC8BA6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（1）发生生产安全责任事故的直接责任者；</w:t>
      </w:r>
    </w:p>
    <w:p w14:paraId="345BB90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（2）伪造、变造、 冒用、转借相关资质证书、身份证明或入厂证件的；</w:t>
      </w:r>
    </w:p>
    <w:p w14:paraId="03E3787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（3）在厂区内存在饮酒、吸毒、赌博、打架斗殴等严重违反劳动纪律行为；</w:t>
      </w:r>
    </w:p>
    <w:p w14:paraId="6E7501F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（4）无证、 冒名顶替或伪造审批手续从事特种作业、特种设备作业；</w:t>
      </w:r>
    </w:p>
    <w:p w14:paraId="1DEC30B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（5）恶意隐瞒作业风险、破坏安全设施或拒不执行重大安全隐患停工指令；</w:t>
      </w:r>
    </w:p>
    <w:p w14:paraId="7991B3D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（6）一年内因同类 “ 三违”行为被处罚达到 3 次，或连续两个季度安全绩效评价为不合格；</w:t>
      </w:r>
    </w:p>
    <w:p w14:paraId="76700A6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（7）因盗窃、故意破坏等行为被查实并造成企业财产损失；</w:t>
      </w:r>
    </w:p>
    <w:p w14:paraId="34DFE80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（8）其他被认定为严重违反安全生产规章制度或可能对企业安全生产造成极端恶劣影响的行为；（含违反 “安全生产十大禁令”（1、严禁谎报、瞒报事故。2、严禁携带火种进入易燃易爆区域。3、严禁高处作业不系安全带。4、严禁电气、焊接与热切割作业无证操作或未经许可作业。5、严禁在起重吊物上站人、吊物下行走或停留。6、严禁未经许可进入有限空间内作业。7、严禁无证驾驶机动车辆。8、严禁叉车门架下站人、用货叉或托盘带人作业。9、严禁未经批准解除安全联锁。10、严禁违章指挥，强令他人违章作业。））</w:t>
      </w:r>
    </w:p>
    <w:p w14:paraId="187886B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5、承包人违反本协议及发包人安全环保规章制度的，发包人可酌情给予暂停作业整改、更换管理人员或</w:t>
      </w:r>
      <w:r>
        <w:rPr>
          <w:rFonts w:hint="eastAsia" w:ascii="宋体" w:hAnsi="宋体" w:cs="宋体"/>
          <w:b/>
          <w:bCs/>
          <w:color w:val="auto"/>
          <w:kern w:val="0"/>
          <w:szCs w:val="24"/>
          <w:highlight w:val="none"/>
          <w:lang w:bidi="ar"/>
        </w:rPr>
        <w:t>经济扣罚</w:t>
      </w:r>
      <w:r>
        <w:rPr>
          <w:rFonts w:hint="eastAsia" w:ascii="宋体" w:hAnsi="宋体" w:cs="宋体"/>
          <w:color w:val="auto"/>
          <w:kern w:val="0"/>
          <w:szCs w:val="24"/>
          <w:highlight w:val="none"/>
          <w:lang w:bidi="ar"/>
        </w:rPr>
        <w:t>。见附件1安全违约考核标准</w:t>
      </w:r>
    </w:p>
    <w:p w14:paraId="1D94659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6、发包人处罚通报以电子文档形式发送至承包人指定邮箱即生效，因处罚影响工期的后果由承包人承担，工期不予延长。</w:t>
      </w:r>
    </w:p>
    <w:p w14:paraId="2E166180">
      <w:pPr>
        <w:pStyle w:val="4"/>
        <w:keepNext w:val="0"/>
        <w:keepLines w:val="0"/>
        <w:widowControl/>
        <w:autoSpaceDE w:val="0"/>
        <w:spacing w:before="120"/>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7、安全奖励（具体奖励金额见附件 2）</w:t>
      </w:r>
    </w:p>
    <w:p w14:paraId="28862279">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（十）安全管理机构设置及人员配置要求</w:t>
      </w:r>
    </w:p>
    <w:p w14:paraId="7C3C66E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1、承包人应建立安全生产管理机构：高危行业或从业人数超过 100 人的，设置专门安全管理机构并配置专职安全管理人员；检维修、工程项目类承包人不论人员多少，必须配置专职安全管理人员（配置比例不低于从业人员的 2%）；其他承包人宜配置专职或兼职安全管理人员。</w:t>
      </w:r>
    </w:p>
    <w:p w14:paraId="034E9A9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2、承包人项目（现场）负责人应具备与所承揽业务相匹配的专业技术能力与安全管理经验，作业期间必须坚守现场履行职责，确需离开须指定符合资质要求的接替人员，并报发包人批准。</w:t>
      </w:r>
    </w:p>
    <w:p w14:paraId="2684D01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3、关键岗位人员需定期参加培训与履职能力评估，确保持续胜任岗位要求。</w:t>
      </w:r>
    </w:p>
    <w:p w14:paraId="0ADFC767">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（十一）从业人员及工机具管理要求</w:t>
      </w:r>
    </w:p>
    <w:p w14:paraId="2BD01AD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1、从业人员管理：</w:t>
      </w:r>
    </w:p>
    <w:p w14:paraId="46BACC8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承包人确保从业人员满足国家及发包人规定的学历、技能与岗位能力要求，无从事作业所涉及的职业禁忌，行为能力满足安全作业和应急处置要求。</w:t>
      </w:r>
    </w:p>
    <w:p w14:paraId="7540E39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依法与从业人员签订劳动合同，明确隶属与权责；定期组织职业健康体检（岗前、岗中、离岗），建立职业健康监护档案，并如实向发包人业务管理部门报告检查结果。</w:t>
      </w:r>
    </w:p>
    <w:p w14:paraId="146FDF8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特种作业人员、特种设备作业人员必须 100% 持有效操作资格证上岗，严禁无证、冒名顶替或伪造审批手续从事相关作业。</w:t>
      </w:r>
    </w:p>
    <w:p w14:paraId="5D3204F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2、工机具管理：</w:t>
      </w:r>
    </w:p>
    <w:p w14:paraId="31A910D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承包人拟进场的工机具需经发包人使用部门检验、检查并标识，提供检维修记录、检定证明等材料，不满足相关标准要求的不得进场使用。</w:t>
      </w:r>
    </w:p>
    <w:p w14:paraId="21D375F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工机具的使用、维护、保养需符合安全要求，严禁使用不合格或存在安全隐患的工机具；临时用电线路敷设规范，符合安全要求。</w:t>
      </w:r>
    </w:p>
    <w:p w14:paraId="62C08060">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（十二）安全管理的权利与义务</w:t>
      </w:r>
    </w:p>
    <w:p w14:paraId="34DD6B2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1、发包人权利：</w:t>
      </w:r>
    </w:p>
    <w:p w14:paraId="676829F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对承包人作业现场及人员、车辆进行安全环保检查，发现隐患、违章作业或事故时，有权采取停工整改、扣除违约金、责令更换人员设备等措施；</w:t>
      </w:r>
    </w:p>
    <w:p w14:paraId="0B992BE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对承包人安全绩效进行评价，依据评价结果调整业务合作范围，建立合格承包商名录及黑名单。</w:t>
      </w:r>
    </w:p>
    <w:p w14:paraId="10E6DF8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对承包人报告的隐患进行核实，按规定落实奖励；对承包人拒不执行 “吹哨人” 制度等违规行为，依据合同条款及相关管理制度进行处罚。</w:t>
      </w:r>
    </w:p>
    <w:p w14:paraId="70E4229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要求承包人提供人员名单、组织机构文件、管理制度、主要管理人员资质证书、近 3 年安全业绩证明、保险缴纳凭证等材料，进行审核备案。</w:t>
      </w:r>
    </w:p>
    <w:p w14:paraId="54EF41CD">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2、发包人义务：</w:t>
      </w:r>
    </w:p>
    <w:p w14:paraId="51AF44D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向承包人告知安全环保规章制度、应急处理程序及 “吹哨人” 制度等核心要求；提供施工、维保所需场地及必要的安全管理标准和工具。</w:t>
      </w:r>
    </w:p>
    <w:p w14:paraId="45B1FB2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组织分级安全教育培训及考核，统筹协调承包商安全管理工作，及时处理承包人反馈的合理诉求，组织开展安全赋能与经验交流活动。</w:t>
      </w:r>
    </w:p>
    <w:p w14:paraId="0DFACAD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保障 “吹哨人” 奖励资金专项落实。</w:t>
      </w:r>
    </w:p>
    <w:p w14:paraId="3154F20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3、承包人权利：</w:t>
      </w:r>
    </w:p>
    <w:p w14:paraId="46E368A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要求发包人提供必要的作业条件和安全保障信息；对发包人提出的不合理整改要求可提出异议并协商解决。</w:t>
      </w:r>
    </w:p>
    <w:p w14:paraId="21BE5E7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按规定获得发包人提供的安全培训资源和技术支持；申请 “吹哨人” 专项奖励资金，对符合条件的隐患报告人予以奖励。</w:t>
      </w:r>
    </w:p>
    <w:p w14:paraId="0C7AF3A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4、承包人义务：</w:t>
      </w:r>
    </w:p>
    <w:p w14:paraId="48D89E5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严格遵守发包人安全环保规章制度及本协议约定，接受发包人及相关单位监督管理；及时整改安全隐患，如实上报事故事件，承担相应的安全责任。</w:t>
      </w:r>
    </w:p>
    <w:p w14:paraId="146301F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建立并执行 “吹哨人” 及隐患内部报告制度，设立专项奖励，保障从业人员合法权益；积极参与发包人组织的安全文化活动、应急演练及经验交流，推动安全文化融合。</w:t>
      </w:r>
    </w:p>
    <w:p w14:paraId="75C6EDC8">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二、“吹哨人” 及隐患内部报告制度专项约定</w:t>
      </w:r>
    </w:p>
    <w:p w14:paraId="6230DFA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1、承包人必须建立并有效执行安全生产 “吹哨人” 及隐患内部报告制度，明确报告流程、受理部门、反馈时限及奖励标准，形成书面制度文件报发包人备案。</w:t>
      </w:r>
    </w:p>
    <w:p w14:paraId="14A9CDB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2、承包人应设立 “吹哨人” 专项奖励额度，奖励标准不低于发包人规定的相关标准，奖励资金从安全生产费用或专项奖励基金中列支。</w:t>
      </w:r>
    </w:p>
    <w:p w14:paraId="2E5AFCE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3、承包人需依据发包人核实的隐患情况和评估意见，在收到发包人通知后 15 个工作日内对 “吹哨人”（隐患报告人）予以奖励，并将奖励发放情况（含报告人信息、隐患内容、核实结果、奖励金额及发放时间）报发包人安全环保管理部门备案。</w:t>
      </w:r>
    </w:p>
    <w:p w14:paraId="346485F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4、承包人应建立 “吹哨人” 奖励台账，详细记录相关信息，接受发包人定期检查；发包人安全环保管理部门负责收集、审核《承包商安全生产 “吹哨人” 和隐患内部报告奖励统计表》并归档。见附件4</w:t>
      </w:r>
    </w:p>
    <w:p w14:paraId="5E02647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5、如承包人拒不建立 “吹哨人” 及隐患内部报告制度、未按规定设立专项奖励或未及时兑现奖励的，发包人有权依据合同条款及相关管理制度对承包人进行经济处罚，情节严重的纳入黑名单，直至终止合同。</w:t>
      </w:r>
    </w:p>
    <w:p w14:paraId="3E2DECF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6、发包人工会对 “吹哨人” 制度的执行情况实施监督与指导，每年会同安全环保管理部门组织对 “吹哨人” 报告事项进行评选与奖励，营造全员参与、主动排查隐患的安全文化氛围。</w:t>
      </w:r>
    </w:p>
    <w:p w14:paraId="3CA38090">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三、“五个一” 一体化管理专项约定</w:t>
      </w:r>
    </w:p>
    <w:p w14:paraId="5D112DF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1、一套标准：承包人必须严格遵守发包人统一的安全管理标准、技术标准与操作标准，将发包人安全规章制度融入自身管理体系，实现安全管理同质化。</w:t>
      </w:r>
    </w:p>
    <w:p w14:paraId="3AAC2E9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2、一套考核：承包人接受发包人统一的安全绩效评价体系，评价结果与其业务承揽范围、合同续签、评优评先直接挂钩，形成 “安全表现决定市场机会” 的导向。</w:t>
      </w:r>
    </w:p>
    <w:p w14:paraId="28EECBC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3、一体运作：承包人关键岗位人员需参加发包人的安全生产例会、班前会和安全活动，遵循发包人管理流程；双方建立安全信息双向通报机制，实现风险共知、信息互通。</w:t>
      </w:r>
    </w:p>
    <w:p w14:paraId="088ED25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4、一个团队：承包人现场负责人深度参与发包人安全例会、联合检查等活动，被纳入发包人现场管理团队，形成目标一致、行动协同的管理合力。</w:t>
      </w:r>
    </w:p>
    <w:p w14:paraId="1E4A516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5、一种文化：承包人积极参与发包人组织的安全月、应急演练、安全知识竞赛等活动，认同并践行发包人 “生命至上、安全第一” 的核心安全价值观，共同营造 “彼此尊重、相互监督、责任共担、安全共赢” 的安全文化氛围。</w:t>
      </w:r>
    </w:p>
    <w:p w14:paraId="42C96355">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四、其他约定</w:t>
      </w:r>
    </w:p>
    <w:p w14:paraId="40453F9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1、本协议未尽事宜由双方协商补充解决，协商不成的按所签合同争议条款处理。</w:t>
      </w:r>
    </w:p>
    <w:p w14:paraId="3DED1E9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2、本协议内容与国家有关规定相抵触的，按国家规定执行。</w:t>
      </w:r>
    </w:p>
    <w:p w14:paraId="15881A3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3、本协议一式两份，甲乙双方各执一份，签字盖章后生效，有效期与合同有效期一致。</w:t>
      </w:r>
    </w:p>
    <w:p w14:paraId="22135B1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9B00D5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A60A18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发包人：重庆国际复合材料股份有限公司</w:t>
      </w:r>
    </w:p>
    <w:p w14:paraId="4F958C10">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B6EFCE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法定代表人 </w:t>
      </w:r>
    </w:p>
    <w:p w14:paraId="685F63E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或其授权的代理人：</w:t>
      </w:r>
    </w:p>
    <w:p w14:paraId="40CE2AEC">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6F1EE25E">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承包人：</w:t>
      </w:r>
    </w:p>
    <w:p w14:paraId="27575BBC">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565200A">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法定代表人 </w:t>
      </w:r>
    </w:p>
    <w:p w14:paraId="312D8437">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或其授权的代理人：</w:t>
      </w:r>
    </w:p>
    <w:p w14:paraId="4E2042CF">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6F5C6AA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40F386E">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779FAB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7CFACF84">
      <w:pPr>
        <w:pStyle w:val="18"/>
        <w:autoSpaceDE w:val="0"/>
        <w:spacing w:line="360" w:lineRule="auto"/>
        <w:jc w:val="center"/>
        <w:rPr>
          <w:rFonts w:ascii="宋体" w:hAnsi="宋体" w:cs="宋体"/>
          <w:b/>
          <w:bCs/>
          <w:color w:val="auto"/>
          <w:szCs w:val="24"/>
          <w:highlight w:val="none"/>
        </w:rPr>
      </w:pPr>
      <w:r>
        <w:rPr>
          <w:rFonts w:hint="eastAsia" w:ascii="宋体" w:hAnsi="宋体" w:cs="宋体"/>
          <w:b/>
          <w:bCs/>
          <w:color w:val="auto"/>
          <w:kern w:val="0"/>
          <w:szCs w:val="24"/>
          <w:highlight w:val="none"/>
          <w:lang w:bidi="ar"/>
        </w:rPr>
        <w:t>附件 1、安全违约考核标准</w:t>
      </w:r>
    </w:p>
    <w:tbl>
      <w:tblPr>
        <w:tblStyle w:val="20"/>
        <w:tblW w:w="9367" w:type="dxa"/>
        <w:tblInd w:w="135" w:type="dxa"/>
        <w:tblLayout w:type="fixed"/>
        <w:tblCellMar>
          <w:top w:w="0" w:type="dxa"/>
          <w:left w:w="108" w:type="dxa"/>
          <w:bottom w:w="0" w:type="dxa"/>
          <w:right w:w="108" w:type="dxa"/>
        </w:tblCellMar>
      </w:tblPr>
      <w:tblGrid>
        <w:gridCol w:w="846"/>
        <w:gridCol w:w="7211"/>
        <w:gridCol w:w="1310"/>
      </w:tblGrid>
      <w:tr w14:paraId="7BC699E4">
        <w:tblPrEx>
          <w:tblCellMar>
            <w:top w:w="0" w:type="dxa"/>
            <w:left w:w="108" w:type="dxa"/>
            <w:bottom w:w="0" w:type="dxa"/>
            <w:right w:w="108" w:type="dxa"/>
          </w:tblCellMar>
        </w:tblPrEx>
        <w:trPr>
          <w:trHeight w:val="465" w:hRule="atLeast"/>
        </w:trPr>
        <w:tc>
          <w:tcPr>
            <w:tcW w:w="80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FB104F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违规事项</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1584C7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扣罚金额</w:t>
            </w:r>
          </w:p>
        </w:tc>
      </w:tr>
      <w:tr w14:paraId="6AD9B52C">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9DBFD1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说明：扣罚金额为事件每发生1次或1人次的金额，金额单位：元，币种为人民币。同一事务，未及时完成整改，重复发生的，加倍扣罚，连续多次发生，3倍扣罚。</w:t>
            </w:r>
          </w:p>
        </w:tc>
      </w:tr>
      <w:tr w14:paraId="7DD66875">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029F8B9">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一、保证措施</w:t>
            </w:r>
          </w:p>
        </w:tc>
      </w:tr>
      <w:tr w14:paraId="7800B394">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4330CE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AE85C1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施工作业期间，同承发包项目相关的企业、人员资质发生变更应报批的隐瞒不报，未经建设单位同意私自分包，聘用的分包商无有效资质，与分包单位无安全协议。</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9A77C4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557462E6">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0D167D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A5534B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未获开工令私自开工，不执行建设（监理）单位发出的停工指令。</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580156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554279FD">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0F6D8F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040F69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安全制度不健全，缺乏符合本企业需要的《安全环保责任制》《隐患排查整改》《事故应急管理》等安全管理制度。</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4DF302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227726AB">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741CC6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24D232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三级安全教育、日常安全教育不符合国家规定、公司制度要求。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21DA50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04235138">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BD3D051">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F8B0BC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项目经理、技术负责人、安全管理人员、特种作业人员未持证上岗。</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B5977C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49A17F1">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F07150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ECCC0C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安全风险辨识不全，安全措施不齐全。施工组织设计（方案）应编制但未编制、未经审批完成就施工，未履行书面的安全技术交底就施工。</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7A8D42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D17BA46">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F8E5EF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683815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不服从会议决议、业主（监理）方工程指令。</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44C84D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272F92C">
        <w:tblPrEx>
          <w:tblCellMar>
            <w:top w:w="0" w:type="dxa"/>
            <w:left w:w="108" w:type="dxa"/>
            <w:bottom w:w="0" w:type="dxa"/>
            <w:right w:w="108" w:type="dxa"/>
          </w:tblCellMar>
        </w:tblPrEx>
        <w:trPr>
          <w:trHeight w:val="414"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C69B40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002721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未定期进行安全检查，安全隐患纠正措施不力，隐患排查、整改记录缺失。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5151F0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8FA9F1A">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21224D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88CBC8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施工作业无安全操作规程以及违反操作规程作业。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8C94B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B962445">
        <w:tblPrEx>
          <w:tblCellMar>
            <w:top w:w="0" w:type="dxa"/>
            <w:left w:w="108" w:type="dxa"/>
            <w:bottom w:w="0" w:type="dxa"/>
            <w:right w:w="108" w:type="dxa"/>
          </w:tblCellMar>
        </w:tblPrEx>
        <w:trPr>
          <w:trHeight w:val="548"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D16F81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71E71B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工机具、车辆、设备入场前，大型登高、吊装设备、脚手架架设后应进行备案、报批、验收的，未经同意就使用。</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A5EBB4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4B3C2D6">
        <w:tblPrEx>
          <w:tblCellMar>
            <w:top w:w="0" w:type="dxa"/>
            <w:left w:w="108" w:type="dxa"/>
            <w:bottom w:w="0" w:type="dxa"/>
            <w:right w:w="108" w:type="dxa"/>
          </w:tblCellMar>
        </w:tblPrEx>
        <w:trPr>
          <w:trHeight w:val="3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43FCF7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4DB609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违章指挥，强令他人违章作业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BECC24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56588A3A">
        <w:tblPrEx>
          <w:tblCellMar>
            <w:top w:w="0" w:type="dxa"/>
            <w:left w:w="108" w:type="dxa"/>
            <w:bottom w:w="0" w:type="dxa"/>
            <w:right w:w="108" w:type="dxa"/>
          </w:tblCellMar>
        </w:tblPrEx>
        <w:trPr>
          <w:trHeight w:val="3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80549E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325913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 xml:space="preserve"> 拒不执行安全生产 “吹哨人” 及隐患内部报告制度或未按规定给予 “吹哨人” 奖励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9104A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29651C57">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C2457CA">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二、个人违章</w:t>
            </w:r>
          </w:p>
        </w:tc>
      </w:tr>
      <w:tr w14:paraId="51988609">
        <w:tblPrEx>
          <w:tblCellMar>
            <w:top w:w="0" w:type="dxa"/>
            <w:left w:w="108" w:type="dxa"/>
            <w:bottom w:w="0" w:type="dxa"/>
            <w:right w:w="108" w:type="dxa"/>
          </w:tblCellMar>
        </w:tblPrEx>
        <w:trPr>
          <w:trHeight w:val="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A58913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9C89B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未参加施工单位培训及建设单位三级安全教育培训和考试就入场、借用、冒用他人入场许可证的。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8B62DF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62B2682F">
        <w:tblPrEx>
          <w:tblCellMar>
            <w:top w:w="0" w:type="dxa"/>
            <w:left w:w="108" w:type="dxa"/>
            <w:bottom w:w="0" w:type="dxa"/>
            <w:right w:w="108" w:type="dxa"/>
          </w:tblCellMar>
        </w:tblPrEx>
        <w:trPr>
          <w:trHeight w:val="366"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8EEAB5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8F2B9D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安全帽、护目镜、劳保鞋、工作服、反光背心等劳动防护用品未按规定穿佩戴。使用的劳动防护用品受损或质量达不到规范要求。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4976E5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35BA466F">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40E9C1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1AF1DC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班前或班中饮酒后，仍然进入施工现场工作。</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1801AC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p>
        </w:tc>
      </w:tr>
      <w:tr w14:paraId="60BCC2F4">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0A0AE54">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D5BCB1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超过2米有可能跌落的场所施工作业未系或未按规范系双钩安全带。</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0C3C41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p>
        </w:tc>
      </w:tr>
      <w:tr w14:paraId="3FEE5A03">
        <w:tblPrEx>
          <w:tblCellMar>
            <w:top w:w="0" w:type="dxa"/>
            <w:left w:w="108" w:type="dxa"/>
            <w:bottom w:w="0" w:type="dxa"/>
            <w:right w:w="108" w:type="dxa"/>
          </w:tblCellMar>
        </w:tblPrEx>
        <w:trPr>
          <w:trHeight w:val="26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BD885D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8899D29">
            <w:pPr>
              <w:widowControl/>
              <w:jc w:val="left"/>
              <w:textAlignment w:val="center"/>
              <w:rPr>
                <w:rFonts w:ascii="宋体" w:hAnsi="宋体" w:cs="宋体"/>
                <w:color w:val="auto"/>
                <w:szCs w:val="21"/>
                <w:highlight w:val="none"/>
              </w:rPr>
            </w:pPr>
            <w:r>
              <w:rPr>
                <w:rFonts w:hint="eastAsia" w:ascii="等线" w:hAnsi="等线" w:eastAsia="等线" w:cs="等线"/>
                <w:color w:val="auto"/>
                <w:kern w:val="0"/>
                <w:sz w:val="22"/>
                <w:highlight w:val="none"/>
                <w:lang w:bidi="ar"/>
              </w:rPr>
              <w:t>在施工区内禁止吸烟处吸烟（非一级禁烟区），乱丢垃圾，污损破坏环境设施等不文明行为。</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455C18F">
            <w:pPr>
              <w:widowControl/>
              <w:jc w:val="left"/>
              <w:textAlignment w:val="center"/>
              <w:rPr>
                <w:rFonts w:ascii="Calibri" w:hAnsi="Calibri" w:eastAsia="等线"/>
                <w:color w:val="auto"/>
                <w:szCs w:val="21"/>
                <w:highlight w:val="none"/>
              </w:rPr>
            </w:pPr>
            <w:r>
              <w:rPr>
                <w:rFonts w:hint="eastAsia" w:ascii="等线" w:hAnsi="等线" w:eastAsia="等线" w:cs="等线"/>
                <w:color w:val="auto"/>
                <w:kern w:val="0"/>
                <w:sz w:val="22"/>
                <w:highlight w:val="none"/>
                <w:lang w:bidi="ar"/>
              </w:rPr>
              <w:t>100~500</w:t>
            </w:r>
          </w:p>
        </w:tc>
      </w:tr>
      <w:tr w14:paraId="1B71F88B">
        <w:tblPrEx>
          <w:tblCellMar>
            <w:top w:w="0" w:type="dxa"/>
            <w:left w:w="108" w:type="dxa"/>
            <w:bottom w:w="0" w:type="dxa"/>
            <w:right w:w="108" w:type="dxa"/>
          </w:tblCellMar>
        </w:tblPrEx>
        <w:trPr>
          <w:trHeight w:val="26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A850D06">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6C5CF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在施工区内随地大小便</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9097FF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w:t>
            </w:r>
          </w:p>
        </w:tc>
      </w:tr>
      <w:tr w14:paraId="48E528A7">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06FC61A">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三、现场及施工作业违章</w:t>
            </w:r>
          </w:p>
        </w:tc>
      </w:tr>
      <w:tr w14:paraId="6751F822">
        <w:tblPrEx>
          <w:tblCellMar>
            <w:top w:w="0" w:type="dxa"/>
            <w:left w:w="108" w:type="dxa"/>
            <w:bottom w:w="0" w:type="dxa"/>
            <w:right w:w="108" w:type="dxa"/>
          </w:tblCellMar>
        </w:tblPrEx>
        <w:trPr>
          <w:trHeight w:val="12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F54B3F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7B929C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施工平面布置图不符合规定，现场状况与图不相符；施工维保现场搭设临时建筑，未经业主方同意后就实施。 班组工具房的布设未经过业主方统一规划或认可，布置不整齐，施工常用工器具、材料应规划区域、堆放整齐、标识清楚，不影响外观形象，未做到上述措施的。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AC979A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65ED4FE9">
        <w:tblPrEx>
          <w:tblCellMar>
            <w:top w:w="0" w:type="dxa"/>
            <w:left w:w="108" w:type="dxa"/>
            <w:bottom w:w="0" w:type="dxa"/>
            <w:right w:w="108" w:type="dxa"/>
          </w:tblCellMar>
        </w:tblPrEx>
        <w:trPr>
          <w:trHeight w:val="648"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0D1AF7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5349EF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施工维保场所的井、坑、孔、洞、地沟、临边等，未及时设置有效的孔洞、临边防护设施及安全警告标志，安全网搭设不健全。未经许可，私自拆除安全防护设施。</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1FC39F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E166605">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939969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CF5303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不严格执行工作票、证制度，监护人玩忽职守、无票作业。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948FC9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432AA19">
        <w:tblPrEx>
          <w:tblCellMar>
            <w:top w:w="0" w:type="dxa"/>
            <w:left w:w="108" w:type="dxa"/>
            <w:bottom w:w="0" w:type="dxa"/>
            <w:right w:w="108" w:type="dxa"/>
          </w:tblCellMar>
        </w:tblPrEx>
        <w:trPr>
          <w:trHeight w:val="549"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0C00074">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04F988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现场临时用电、吊装、有限空间、动火、盲板抽堵、高空作业不符合规范要求，安全设施带病作业、措施不健全，违章作业。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775611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4FA5B092">
        <w:tblPrEx>
          <w:tblCellMar>
            <w:top w:w="0" w:type="dxa"/>
            <w:left w:w="108" w:type="dxa"/>
            <w:bottom w:w="0" w:type="dxa"/>
            <w:right w:w="108" w:type="dxa"/>
          </w:tblCellMar>
        </w:tblPrEx>
        <w:trPr>
          <w:trHeight w:val="50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705C87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C921E0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登高作业工具、设备、脚手架、跳板、安全网、栏杆等等安全设施、附件不健全，带病作业，未按安全规程、技术要求使用操作。</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44EC60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A35CBCD">
        <w:tblPrEx>
          <w:tblCellMar>
            <w:top w:w="0" w:type="dxa"/>
            <w:left w:w="108" w:type="dxa"/>
            <w:bottom w:w="0" w:type="dxa"/>
            <w:right w:w="108" w:type="dxa"/>
          </w:tblCellMar>
        </w:tblPrEx>
        <w:trPr>
          <w:trHeight w:val="531"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9CF8F1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EB1BE0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入场工、器具安全附件不健全，临时搭设的平台不符合安全标准，使用淘汰落后的设备、设施，设备设施配置不符合国家规范标准要求。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6B8B0A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A3AB05E">
        <w:tblPrEx>
          <w:tblCellMar>
            <w:top w:w="0" w:type="dxa"/>
            <w:left w:w="108" w:type="dxa"/>
            <w:bottom w:w="0" w:type="dxa"/>
            <w:right w:w="108" w:type="dxa"/>
          </w:tblCellMar>
        </w:tblPrEx>
        <w:trPr>
          <w:trHeight w:val="5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9DD29C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6ED289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文明施工措施不健全，责任区清洁、扬尘、污泥控制不到位，工人操作未做到“工完料尽场地清”；剩余物料、废旧物料、危险废弃物未分类处置，未按要求在指定区域按指定方式处理。</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A55358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BBFD937">
        <w:tblPrEx>
          <w:tblCellMar>
            <w:top w:w="0" w:type="dxa"/>
            <w:left w:w="108" w:type="dxa"/>
            <w:bottom w:w="0" w:type="dxa"/>
            <w:right w:w="108" w:type="dxa"/>
          </w:tblCellMar>
        </w:tblPrEx>
        <w:trPr>
          <w:trHeight w:val="5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2ADF15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E0B854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场地内部道路未硬化、进出场车辆冲洗设施、“五牌一图”、大门、围挡、宿舍、厕所、淋浴间、开水间、绿化、办公室等临时设施设置不符规范或缺失。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88167A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3000~5000</w:t>
            </w:r>
          </w:p>
        </w:tc>
      </w:tr>
      <w:tr w14:paraId="2407BA38">
        <w:tblPrEx>
          <w:tblCellMar>
            <w:top w:w="0" w:type="dxa"/>
            <w:left w:w="108" w:type="dxa"/>
            <w:bottom w:w="0" w:type="dxa"/>
            <w:right w:w="108" w:type="dxa"/>
          </w:tblCellMar>
        </w:tblPrEx>
        <w:trPr>
          <w:trHeight w:val="621"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2162C4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EEDB0D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堵塞消防通道、易燃、易爆品、易腐蚀品未按规范存放和使用，消防设施配备不符合要求，未按消防规范作业。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4DA989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9BD52D9">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CD0533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11B448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未履行成品保护制度，对设施、路面保护不力，成品保护措施不健全。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50CD26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4A44E8D">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7860DF6">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四、厂区规范管理</w:t>
            </w:r>
          </w:p>
        </w:tc>
      </w:tr>
      <w:tr w14:paraId="0700A1A7">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E6CAA28">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B42A3D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入场车辆未按规定入场、行驶、停放的，行人在限定区域以外行走的。</w:t>
            </w:r>
          </w:p>
          <w:p w14:paraId="2015E63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发包人组织的安全检查、安全会议迟到、早退、缺席的。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C6D49B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57EA0972">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7FCEAF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417AB9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打架斗殴、威胁发包人管理人员的。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053B84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1D584EE2">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81CD78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3D699B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违反业主方生产场所相关安全、环保、消防、文明管理规定的。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B0AE79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62C4E28F">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203EE6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2ACD1D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违反业主方制定的门岗、治安、保卫管理规章制度的行为。</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4FE60B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0F34D1AE">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8815B2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D810D9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私自操作发包人生产设施、设备，故意损坏设施设备，造成事故的，照价赔偿。</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9640D7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C735AF0">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A6DF0FC">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EA26A7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进入易燃易爆区域抽烟、未经许可私自携带火种、违规动火。</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DB3B3E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367A9DDA">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79AFBD4">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90BC19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未经批准解除安全联锁。</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C6E564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541ECBCC">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590769F">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五、环保管理</w:t>
            </w:r>
          </w:p>
        </w:tc>
      </w:tr>
      <w:tr w14:paraId="25B65351">
        <w:tblPrEx>
          <w:tblCellMar>
            <w:top w:w="0" w:type="dxa"/>
            <w:left w:w="108" w:type="dxa"/>
            <w:bottom w:w="0" w:type="dxa"/>
            <w:right w:w="108" w:type="dxa"/>
          </w:tblCellMar>
        </w:tblPrEx>
        <w:trPr>
          <w:trHeight w:val="37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13FB68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95776E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污水、废气、噪音、粉尘等未按要求排放或排放超过标准的，控制措施不力的。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2BCA9F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25AC1B0">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3AEF52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3F1511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未按规定分类处置废弃物，废弃物处置不当，油漆、清洗剂等危险化学品未按规定进行存储、废弃处理，工地违规燃烧垃圾废物</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333CDE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F2364F5">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FCB69B4">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六、事故管理</w:t>
            </w:r>
          </w:p>
        </w:tc>
      </w:tr>
      <w:tr w14:paraId="6AAC19DB">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27EF1C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9D143D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发生事故后故意瞒报，影响救援的；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A88DC4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235FA484">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2C02D4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6E3022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发生事故后，不在规定时间向发包方报告的，故意不按真实情况报告的，应由施工方组织调查而不组织调查的，不按照"四不放过"进行调查处理的，承包方故意不配合调查的；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010A2D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7DB9C841">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CBB3644">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9FBA52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未遂事故、微伤事故、直接经济损失1万元以下的事故、发生火情等</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F43139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1C4DFDEB">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E1BD1A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D961D2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轻微伤以上事故；或造成 1 万元以下直接经济损失的火灾事故；或造成 1 万元以上 5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810BF1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3000~1万</w:t>
            </w:r>
          </w:p>
        </w:tc>
      </w:tr>
      <w:tr w14:paraId="33D13862">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C5B9E9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404703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轻伤二级事故；或造成 1万元以上10 万元以下直接经济损失的火灾事故；或造成 1 万元以上 5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29C2D1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5000~2万</w:t>
            </w:r>
          </w:p>
        </w:tc>
      </w:tr>
      <w:tr w14:paraId="56FC18A3">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C82953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803EFF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轻伤一级事故；或造成 10 万元以上 30 万元以下直接经济损失的火灾事故；或造成 5 万元以上 30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5CABA3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2万~5万，赔偿额另计</w:t>
            </w:r>
          </w:p>
        </w:tc>
      </w:tr>
      <w:tr w14:paraId="2375F0F5">
        <w:tblPrEx>
          <w:tblCellMar>
            <w:top w:w="0" w:type="dxa"/>
            <w:left w:w="108" w:type="dxa"/>
            <w:bottom w:w="0" w:type="dxa"/>
            <w:right w:w="108" w:type="dxa"/>
          </w:tblCellMar>
        </w:tblPrEx>
        <w:trPr>
          <w:trHeight w:val="43"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2645BC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8B35C2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重伤及以上事故，直接经济损失超过30万元以上的事故，消防出警，社会影响较大，出水或启动灭火设施参与抢险，被立案调查但未受到处罚的事故。</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2547E0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4DD65BCB">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675A49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7155AC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一般环境污染事故</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B24B5A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7116E19">
        <w:tblPrEx>
          <w:tblCellMar>
            <w:top w:w="0" w:type="dxa"/>
            <w:left w:w="108" w:type="dxa"/>
            <w:bottom w:w="0" w:type="dxa"/>
            <w:right w:w="108" w:type="dxa"/>
          </w:tblCellMar>
        </w:tblPrEx>
        <w:trPr>
          <w:trHeight w:val="43"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932C3D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67282B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较大环境污染事故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6EEF17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3000~6000</w:t>
            </w:r>
          </w:p>
        </w:tc>
      </w:tr>
      <w:tr w14:paraId="4ECA4826">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B71C731">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0507B4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重大及以上环境污染事故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15DF33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684F17A8">
        <w:tblPrEx>
          <w:tblCellMar>
            <w:top w:w="0" w:type="dxa"/>
            <w:left w:w="108" w:type="dxa"/>
            <w:bottom w:w="0" w:type="dxa"/>
            <w:right w:w="108" w:type="dxa"/>
          </w:tblCellMar>
        </w:tblPrEx>
        <w:trPr>
          <w:trHeight w:val="700"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B64BB3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    说明：事故级别依据《人体损伤程度鉴定标准》、CPIC《事故管理办法》的规定进行判定。事故给建设单位或第三方人员、财产造成损失的，直接经济损失应另计赔偿额。以上CPIC制度如有更新已最新制度标准为准。</w:t>
            </w:r>
          </w:p>
        </w:tc>
      </w:tr>
    </w:tbl>
    <w:p w14:paraId="1BEDDEE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EBF5FC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B8B35D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1900AAD">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7BAA1FD">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6D1B0DC">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4CD22C1">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43CB60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77AD1E1A">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CD1D8BE">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18EF101F">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B5C934C">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67C4664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FBD77C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119F2141">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3C206F1">
      <w:pPr>
        <w:pStyle w:val="18"/>
        <w:autoSpaceDE w:val="0"/>
        <w:spacing w:line="360" w:lineRule="auto"/>
        <w:jc w:val="center"/>
        <w:rPr>
          <w:rFonts w:ascii="宋体" w:hAnsi="宋体" w:cs="宋体"/>
          <w:color w:val="auto"/>
          <w:szCs w:val="24"/>
          <w:highlight w:val="none"/>
        </w:rPr>
      </w:pPr>
      <w:r>
        <w:rPr>
          <w:rFonts w:hint="eastAsia" w:ascii="宋体" w:hAnsi="宋体" w:cs="宋体"/>
          <w:b/>
          <w:bCs/>
          <w:color w:val="auto"/>
          <w:kern w:val="0"/>
          <w:szCs w:val="24"/>
          <w:highlight w:val="none"/>
          <w:lang w:bidi="ar"/>
        </w:rPr>
        <w:t>附件 2、安全奖励标准</w:t>
      </w:r>
    </w:p>
    <w:tbl>
      <w:tblPr>
        <w:tblStyle w:val="20"/>
        <w:tblW w:w="9561" w:type="dxa"/>
        <w:tblInd w:w="135" w:type="dxa"/>
        <w:tblLayout w:type="fixed"/>
        <w:tblCellMar>
          <w:top w:w="0" w:type="dxa"/>
          <w:left w:w="108" w:type="dxa"/>
          <w:bottom w:w="0" w:type="dxa"/>
          <w:right w:w="108" w:type="dxa"/>
        </w:tblCellMar>
      </w:tblPr>
      <w:tblGrid>
        <w:gridCol w:w="694"/>
        <w:gridCol w:w="2244"/>
        <w:gridCol w:w="2692"/>
        <w:gridCol w:w="2567"/>
        <w:gridCol w:w="1364"/>
      </w:tblGrid>
      <w:tr w14:paraId="25FC936D">
        <w:tblPrEx>
          <w:tblCellMar>
            <w:top w:w="0" w:type="dxa"/>
            <w:left w:w="108" w:type="dxa"/>
            <w:bottom w:w="0" w:type="dxa"/>
            <w:right w:w="108" w:type="dxa"/>
          </w:tblCellMar>
        </w:tblPrEx>
        <w:trPr>
          <w:trHeight w:val="401"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338AC37">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序号</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598931B">
            <w:pPr>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奖励条款</w:t>
            </w:r>
          </w:p>
        </w:tc>
        <w:tc>
          <w:tcPr>
            <w:tcW w:w="136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396B1EC7">
            <w:pPr>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奖励金额（元）</w:t>
            </w:r>
          </w:p>
        </w:tc>
      </w:tr>
      <w:tr w14:paraId="2C6E8FDE">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1E57B25D">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D5EF4B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项目配备注册安全工程师（中级及以上）并保证入场执业时间</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4533B0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w:t>
            </w:r>
          </w:p>
        </w:tc>
      </w:tr>
      <w:tr w14:paraId="4F24FA75">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144BEB90">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3F55343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政府、建设单位组织的承包商考评中获得优秀</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C1DFA9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665C16D7">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1C4DC097">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96BDCA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加大投入力度，采用较行业更安全防护措施。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C6A3EE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465ACC4F">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76038C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4</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59B4BF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率先创新实施有代表性并可广泛推广的安全措施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CC60E53">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69A49DD1">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5C01922A">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B123E3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积极发现他方安全隐患、安全违章。</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EF1EE4D">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w:t>
            </w:r>
          </w:p>
        </w:tc>
      </w:tr>
      <w:tr w14:paraId="4613064F">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F3BBED4">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6</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D82D80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为业主方提供安全合理化管理建议并被采纳，组织开展安全规范化创建活动并取得良好效果。</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28DBE5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6A94F8F9">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46150C2">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7</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DEB3E7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施工现场安全文明受到政府主管部门、建设单位高层领导表彰</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DADEFA2">
            <w:pPr>
              <w:widowControl/>
              <w:jc w:val="left"/>
              <w:textAlignment w:val="center"/>
              <w:rPr>
                <w:rFonts w:ascii="等线" w:hAnsi="等线" w:eastAsia="等线" w:cs="等线"/>
                <w:b/>
                <w:color w:val="auto"/>
                <w:kern w:val="0"/>
                <w:sz w:val="22"/>
                <w:highlight w:val="none"/>
              </w:rPr>
            </w:pPr>
            <w:r>
              <w:rPr>
                <w:rFonts w:hint="eastAsia" w:ascii="等线" w:hAnsi="等线" w:eastAsia="等线" w:cs="等线"/>
                <w:color w:val="auto"/>
                <w:kern w:val="0"/>
                <w:sz w:val="22"/>
                <w:highlight w:val="none"/>
                <w:lang w:bidi="ar"/>
              </w:rPr>
              <w:t>≦3000</w:t>
            </w:r>
          </w:p>
        </w:tc>
      </w:tr>
      <w:tr w14:paraId="0A7EEB9A">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27B7730">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8</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B7D0C4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积极保护建设单位资产，减少损失，采取措施，为建设单位节约投资。</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2F9B42">
            <w:pPr>
              <w:widowControl/>
              <w:jc w:val="left"/>
              <w:textAlignment w:val="center"/>
              <w:rPr>
                <w:rFonts w:ascii="等线" w:hAnsi="等线" w:eastAsia="等线" w:cs="等线"/>
                <w:b/>
                <w:color w:val="auto"/>
                <w:kern w:val="0"/>
                <w:sz w:val="22"/>
                <w:highlight w:val="none"/>
              </w:rPr>
            </w:pPr>
            <w:r>
              <w:rPr>
                <w:rFonts w:hint="eastAsia" w:ascii="等线" w:hAnsi="等线" w:eastAsia="等线" w:cs="等线"/>
                <w:color w:val="auto"/>
                <w:kern w:val="0"/>
                <w:sz w:val="22"/>
                <w:highlight w:val="none"/>
                <w:lang w:bidi="ar"/>
              </w:rPr>
              <w:t>≦3000</w:t>
            </w:r>
          </w:p>
        </w:tc>
      </w:tr>
      <w:tr w14:paraId="74BD8F75">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6404FD22">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9</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02809D17">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积极配合处理建设单位生产、建设过程中的突发事件。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143C84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w:t>
            </w:r>
          </w:p>
        </w:tc>
      </w:tr>
      <w:tr w14:paraId="08C5DEFE">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08874BA7">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791D55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积极清理非自身产生的垃圾，为项目非本单位人员提供场所安全防护、照明、指示、厕所、会议室、饮用水等生活、工作基础设施。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ED00E2F">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5EF4B083">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1F65F1CA">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11</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5CC79A9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获得“安全之星”的人员</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70D843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w:t>
            </w:r>
          </w:p>
        </w:tc>
      </w:tr>
      <w:tr w14:paraId="77E01420">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7537F74">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12</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3147895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安全生产 “吹哨人” 及时、准确报告内部安全隐患</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0B6CC9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按经安环部审核金额的10%</w:t>
            </w:r>
          </w:p>
        </w:tc>
      </w:tr>
      <w:tr w14:paraId="53424F97">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24836C1">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13</w:t>
            </w:r>
          </w:p>
        </w:tc>
        <w:tc>
          <w:tcPr>
            <w:tcW w:w="224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0C57E37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运行维护单位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57483D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累计无事故工时≧10万小时</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B809FD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火灾、环保、微伤事故为零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CC03BC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149B2918">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4D5282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14</w:t>
            </w:r>
          </w:p>
        </w:tc>
        <w:tc>
          <w:tcPr>
            <w:tcW w:w="224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6DE7F1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检维修单位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C775DA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累计建安费≧1000万元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5D19AC9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火灾、环保、微伤事故为零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EC789C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20000</w:t>
            </w:r>
          </w:p>
        </w:tc>
      </w:tr>
      <w:tr w14:paraId="6D4DAC9D">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544B0EC0">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15</w:t>
            </w:r>
          </w:p>
        </w:tc>
        <w:tc>
          <w:tcPr>
            <w:tcW w:w="2244" w:type="dxa"/>
            <w:vMerge w:val="restart"/>
            <w:tcBorders>
              <w:top w:val="nil"/>
              <w:left w:val="nil"/>
              <w:bottom w:val="nil"/>
              <w:right w:val="single" w:color="auto" w:sz="4" w:space="0"/>
            </w:tcBorders>
            <w:shd w:val="clear" w:color="auto" w:fill="auto"/>
            <w:tcMar>
              <w:top w:w="15" w:type="dxa"/>
              <w:left w:w="15" w:type="dxa"/>
              <w:bottom w:w="15" w:type="dxa"/>
              <w:right w:w="15" w:type="dxa"/>
            </w:tcMar>
            <w:vAlign w:val="center"/>
          </w:tcPr>
          <w:p w14:paraId="4508E74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工程项目土建、安装单位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8584C3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200万元≦建安费用Y≦1000万元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B06B06C">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火灾、环保、微伤事故为零</w:t>
            </w:r>
          </w:p>
          <w:p w14:paraId="500BBBA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8D8A0D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20000</w:t>
            </w:r>
          </w:p>
        </w:tc>
      </w:tr>
      <w:tr w14:paraId="6B4DC105">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6E43D49">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16</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67F46521">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09C1BE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1000万元≦建安费用Y≦3000万元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5C3C210">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火灾、环保、微伤事故为零</w:t>
            </w:r>
          </w:p>
          <w:p w14:paraId="038801E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8932D6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50000</w:t>
            </w:r>
          </w:p>
        </w:tc>
      </w:tr>
      <w:tr w14:paraId="5BE4D12C">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548838E4">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17</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657FC1A1">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C46890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3000万元≦建安费用Y≦1亿元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5A497FB">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微伤送医事故≦1起，火灾、环保、轻微伤及以上事故为零</w:t>
            </w:r>
          </w:p>
          <w:p w14:paraId="48D662B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ADB74E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100000</w:t>
            </w:r>
          </w:p>
        </w:tc>
      </w:tr>
      <w:tr w14:paraId="38AA2B7D">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4938DE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18</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41CAEBAE">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1C69534F">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1亿元≦建安费用Y≦3亿元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565DEAA">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微伤送医事故≦2起，火灾、环保、轻微伤及以上事故为零</w:t>
            </w:r>
          </w:p>
          <w:p w14:paraId="7559C80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F0E92A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300000</w:t>
            </w:r>
          </w:p>
        </w:tc>
      </w:tr>
    </w:tbl>
    <w:p w14:paraId="0E626F1A">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EE5D165">
      <w:pPr>
        <w:pStyle w:val="18"/>
        <w:autoSpaceDE w:val="0"/>
        <w:spacing w:line="360" w:lineRule="auto"/>
        <w:jc w:val="center"/>
        <w:rPr>
          <w:rFonts w:ascii="微软雅黑" w:hAnsi="微软雅黑" w:eastAsia="微软雅黑" w:cs="微软雅黑"/>
          <w:b/>
          <w:bCs/>
          <w:color w:val="auto"/>
          <w:spacing w:val="25"/>
          <w:position w:val="-1"/>
          <w:sz w:val="35"/>
          <w:szCs w:val="35"/>
          <w:highlight w:val="none"/>
        </w:rPr>
      </w:pPr>
      <w:r>
        <w:rPr>
          <w:rFonts w:hint="eastAsia" w:ascii="宋体" w:hAnsi="宋体" w:cs="宋体"/>
          <w:b/>
          <w:bCs/>
          <w:color w:val="auto"/>
          <w:kern w:val="0"/>
          <w:szCs w:val="24"/>
          <w:highlight w:val="none"/>
          <w:lang w:bidi="ar"/>
        </w:rPr>
        <w:t>附件3：承包商评价表</w:t>
      </w:r>
    </w:p>
    <w:p w14:paraId="132BD2AC">
      <w:pPr>
        <w:spacing w:before="178" w:line="351" w:lineRule="exact"/>
        <w:jc w:val="center"/>
        <w:outlineLvl w:val="1"/>
        <w:rPr>
          <w:rFonts w:ascii="Arial" w:hAnsi="Calibri"/>
          <w:color w:val="auto"/>
          <w:szCs w:val="21"/>
          <w:highlight w:val="none"/>
        </w:rPr>
      </w:pPr>
      <w:r>
        <w:rPr>
          <w:rFonts w:hint="eastAsia" w:ascii="微软雅黑" w:hAnsi="微软雅黑" w:eastAsia="微软雅黑" w:cs="微软雅黑"/>
          <w:color w:val="auto"/>
          <w:spacing w:val="25"/>
          <w:kern w:val="0"/>
          <w:position w:val="-1"/>
          <w:sz w:val="35"/>
          <w:szCs w:val="35"/>
          <w:highlight w:val="none"/>
          <w:lang w:bidi="ar"/>
        </w:rPr>
        <w:t>承包商评价表</w:t>
      </w:r>
    </w:p>
    <w:p w14:paraId="4DF257DD">
      <w:pPr>
        <w:pStyle w:val="18"/>
        <w:spacing w:before="91"/>
        <w:ind w:left="694"/>
        <w:rPr>
          <w:rFonts w:ascii="仿宋" w:hAnsi="仿宋" w:eastAsia="仿宋" w:cs="仿宋"/>
          <w:color w:val="auto"/>
          <w:sz w:val="28"/>
          <w:szCs w:val="28"/>
          <w:highlight w:val="none"/>
        </w:rPr>
      </w:pPr>
      <w:r>
        <w:rPr>
          <w:rFonts w:hint="eastAsia" w:ascii="仿宋" w:hAnsi="仿宋" w:eastAsia="仿宋" w:cs="仿宋"/>
          <w:color w:val="auto"/>
          <w:spacing w:val="-2"/>
          <w:kern w:val="0"/>
          <w:sz w:val="28"/>
          <w:szCs w:val="28"/>
          <w:highlight w:val="none"/>
          <w:lang w:bidi="ar"/>
        </w:rPr>
        <w:t>承包商名称：</w:t>
      </w:r>
    </w:p>
    <w:p w14:paraId="3F47D248">
      <w:pPr>
        <w:spacing w:line="22" w:lineRule="exact"/>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731"/>
        <w:gridCol w:w="1778"/>
      </w:tblGrid>
      <w:tr w14:paraId="17F52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tcBorders>
              <w:top w:val="single" w:color="000000" w:sz="2" w:space="0"/>
              <w:left w:val="single" w:color="000000" w:sz="2" w:space="0"/>
              <w:bottom w:val="single" w:color="000000" w:sz="2" w:space="0"/>
              <w:right w:val="single" w:color="000000" w:sz="2" w:space="0"/>
            </w:tcBorders>
            <w:shd w:val="clear" w:color="auto" w:fill="auto"/>
          </w:tcPr>
          <w:p w14:paraId="5A157279">
            <w:pPr>
              <w:pStyle w:val="18"/>
              <w:spacing w:before="253"/>
              <w:ind w:left="162" w:right="147" w:hanging="7"/>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评价</w:t>
            </w:r>
            <w:r>
              <w:rPr>
                <w:rFonts w:hint="eastAsia" w:ascii="仿宋" w:hAnsi="仿宋" w:eastAsia="仿宋" w:cs="仿宋"/>
                <w:color w:val="auto"/>
                <w:spacing w:val="-9"/>
                <w:kern w:val="0"/>
                <w:szCs w:val="24"/>
                <w:highlight w:val="none"/>
                <w:lang w:bidi="ar"/>
              </w:rPr>
              <w:t>维度</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A074368">
            <w:pPr>
              <w:pStyle w:val="18"/>
              <w:spacing w:before="254"/>
              <w:ind w:left="401" w:right="155" w:hanging="238"/>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评价指</w:t>
            </w:r>
            <w:r>
              <w:rPr>
                <w:rFonts w:hint="eastAsia" w:ascii="仿宋" w:hAnsi="仿宋" w:eastAsia="仿宋" w:cs="仿宋"/>
                <w:color w:val="auto"/>
                <w:kern w:val="0"/>
                <w:szCs w:val="24"/>
                <w:highlight w:val="none"/>
                <w:lang w:bidi="ar"/>
              </w:rPr>
              <w:t>标</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2A08B4D">
            <w:pPr>
              <w:spacing w:line="328" w:lineRule="auto"/>
              <w:rPr>
                <w:rFonts w:ascii="Arial" w:hAnsi="Calibri"/>
                <w:color w:val="auto"/>
                <w:szCs w:val="21"/>
                <w:highlight w:val="none"/>
              </w:rPr>
            </w:pPr>
          </w:p>
          <w:p w14:paraId="7EDFCB03">
            <w:pPr>
              <w:pStyle w:val="18"/>
              <w:spacing w:before="78"/>
              <w:ind w:left="1007"/>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评价内容与评分标准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1E16FA0">
            <w:pPr>
              <w:pStyle w:val="18"/>
              <w:spacing w:before="210"/>
              <w:ind w:left="97"/>
              <w:rPr>
                <w:rFonts w:ascii="仿宋" w:hAnsi="仿宋" w:eastAsia="仿宋" w:cs="仿宋"/>
                <w:color w:val="auto"/>
                <w:szCs w:val="24"/>
                <w:highlight w:val="none"/>
              </w:rPr>
            </w:pPr>
            <w:r>
              <w:rPr>
                <w:rFonts w:hint="eastAsia" w:ascii="仿宋" w:hAnsi="仿宋" w:eastAsia="仿宋" w:cs="仿宋"/>
                <w:color w:val="auto"/>
                <w:spacing w:val="47"/>
                <w:kern w:val="0"/>
                <w:szCs w:val="24"/>
                <w:highlight w:val="none"/>
                <w:lang w:bidi="ar"/>
              </w:rPr>
              <w:t>标准分</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91747F5">
            <w:pPr>
              <w:pStyle w:val="18"/>
              <w:spacing w:before="121"/>
              <w:ind w:left="253"/>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得</w:t>
            </w:r>
            <w:r>
              <w:rPr>
                <w:rFonts w:hint="eastAsia" w:ascii="仿宋" w:hAnsi="仿宋" w:eastAsia="仿宋" w:cs="仿宋"/>
                <w:color w:val="auto"/>
                <w:spacing w:val="-47"/>
                <w:kern w:val="0"/>
                <w:szCs w:val="24"/>
                <w:highlight w:val="none"/>
                <w:lang w:bidi="ar"/>
              </w:rPr>
              <w:t xml:space="preserve"> </w:t>
            </w:r>
            <w:r>
              <w:rPr>
                <w:rFonts w:hint="eastAsia" w:ascii="仿宋" w:hAnsi="仿宋" w:eastAsia="仿宋" w:cs="仿宋"/>
                <w:color w:val="auto"/>
                <w:spacing w:val="-1"/>
                <w:kern w:val="0"/>
                <w:szCs w:val="24"/>
                <w:highlight w:val="none"/>
                <w:lang w:bidi="ar"/>
              </w:rPr>
              <w:t>分</w:t>
            </w: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21F1C945">
            <w:pPr>
              <w:spacing w:line="328" w:lineRule="auto"/>
              <w:rPr>
                <w:rFonts w:ascii="Arial" w:hAnsi="Calibri"/>
                <w:color w:val="auto"/>
                <w:szCs w:val="21"/>
                <w:highlight w:val="none"/>
              </w:rPr>
            </w:pPr>
          </w:p>
          <w:p w14:paraId="022DA5F4">
            <w:pPr>
              <w:pStyle w:val="18"/>
              <w:spacing w:before="78"/>
              <w:ind w:left="535"/>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评分说明</w:t>
            </w:r>
          </w:p>
        </w:tc>
      </w:tr>
      <w:tr w14:paraId="24D76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restart"/>
            <w:tcBorders>
              <w:top w:val="nil"/>
              <w:left w:val="single" w:color="000000" w:sz="2" w:space="0"/>
              <w:bottom w:val="nil"/>
              <w:right w:val="single" w:color="000000" w:sz="2" w:space="0"/>
            </w:tcBorders>
            <w:shd w:val="clear" w:color="auto" w:fill="auto"/>
          </w:tcPr>
          <w:p w14:paraId="06E5D279">
            <w:pPr>
              <w:spacing w:line="259" w:lineRule="auto"/>
              <w:rPr>
                <w:rFonts w:ascii="Arial" w:hAnsi="Calibri"/>
                <w:color w:val="auto"/>
                <w:szCs w:val="21"/>
                <w:highlight w:val="none"/>
              </w:rPr>
            </w:pPr>
          </w:p>
          <w:p w14:paraId="56449FCC">
            <w:pPr>
              <w:spacing w:line="259" w:lineRule="auto"/>
              <w:rPr>
                <w:rFonts w:ascii="Arial" w:hAnsi="Calibri"/>
                <w:color w:val="auto"/>
                <w:szCs w:val="21"/>
                <w:highlight w:val="none"/>
              </w:rPr>
            </w:pPr>
          </w:p>
          <w:p w14:paraId="52083A63">
            <w:pPr>
              <w:spacing w:line="259" w:lineRule="auto"/>
              <w:rPr>
                <w:rFonts w:ascii="Arial" w:hAnsi="Calibri"/>
                <w:color w:val="auto"/>
                <w:szCs w:val="21"/>
                <w:highlight w:val="none"/>
              </w:rPr>
            </w:pPr>
          </w:p>
          <w:p w14:paraId="5D07783A">
            <w:pPr>
              <w:spacing w:line="259" w:lineRule="auto"/>
              <w:rPr>
                <w:rFonts w:ascii="Arial" w:hAnsi="Calibri"/>
                <w:color w:val="auto"/>
                <w:szCs w:val="21"/>
                <w:highlight w:val="none"/>
              </w:rPr>
            </w:pPr>
          </w:p>
          <w:p w14:paraId="567BB3F4">
            <w:pPr>
              <w:pStyle w:val="18"/>
              <w:spacing w:before="78"/>
              <w:ind w:left="156" w:right="147" w:firstLine="14"/>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1.资</w:t>
            </w:r>
            <w:r>
              <w:rPr>
                <w:rFonts w:hint="eastAsia" w:ascii="仿宋" w:hAnsi="仿宋" w:eastAsia="仿宋" w:cs="仿宋"/>
                <w:color w:val="auto"/>
                <w:spacing w:val="-6"/>
                <w:kern w:val="0"/>
                <w:szCs w:val="24"/>
                <w:highlight w:val="none"/>
                <w:lang w:bidi="ar"/>
              </w:rPr>
              <w:t>质与合规</w:t>
            </w:r>
            <w:r>
              <w:rPr>
                <w:rFonts w:hint="eastAsia" w:ascii="仿宋" w:hAnsi="仿宋" w:eastAsia="仿宋" w:cs="仿宋"/>
                <w:color w:val="auto"/>
                <w:spacing w:val="16"/>
                <w:kern w:val="0"/>
                <w:szCs w:val="24"/>
                <w:highlight w:val="none"/>
                <w:lang w:bidi="ar"/>
              </w:rPr>
              <w:t>(15</w:t>
            </w:r>
            <w:r>
              <w:rPr>
                <w:rFonts w:hint="eastAsia" w:ascii="仿宋" w:hAnsi="仿宋" w:eastAsia="仿宋" w:cs="仿宋"/>
                <w:color w:val="auto"/>
                <w:spacing w:val="24"/>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8856769">
            <w:pPr>
              <w:pStyle w:val="18"/>
              <w:spacing w:before="96"/>
              <w:ind w:left="164" w:right="155" w:firstLine="42"/>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1.1</w:t>
            </w:r>
            <w:r>
              <w:rPr>
                <w:rFonts w:hint="eastAsia" w:ascii="仿宋" w:hAnsi="仿宋" w:eastAsia="仿宋" w:cs="仿宋"/>
                <w:color w:val="auto"/>
                <w:spacing w:val="-38"/>
                <w:kern w:val="0"/>
                <w:szCs w:val="24"/>
                <w:highlight w:val="none"/>
                <w:lang w:bidi="ar"/>
              </w:rPr>
              <w:t xml:space="preserve"> </w:t>
            </w:r>
            <w:r>
              <w:rPr>
                <w:rFonts w:hint="eastAsia" w:ascii="仿宋" w:hAnsi="仿宋" w:eastAsia="仿宋" w:cs="仿宋"/>
                <w:color w:val="auto"/>
                <w:spacing w:val="-12"/>
                <w:kern w:val="0"/>
                <w:szCs w:val="24"/>
                <w:highlight w:val="none"/>
                <w:lang w:bidi="ar"/>
              </w:rPr>
              <w:t>资</w:t>
            </w:r>
            <w:r>
              <w:rPr>
                <w:rFonts w:hint="eastAsia" w:ascii="仿宋" w:hAnsi="仿宋" w:eastAsia="仿宋" w:cs="仿宋"/>
                <w:color w:val="auto"/>
                <w:spacing w:val="-4"/>
                <w:kern w:val="0"/>
                <w:szCs w:val="24"/>
                <w:highlight w:val="none"/>
                <w:lang w:bidi="ar"/>
              </w:rPr>
              <w:t>质证照</w:t>
            </w:r>
          </w:p>
          <w:p w14:paraId="5C66CFD1">
            <w:pPr>
              <w:pStyle w:val="18"/>
              <w:spacing w:before="1"/>
              <w:ind w:left="16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有效性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CCD6C49">
            <w:pPr>
              <w:pStyle w:val="18"/>
              <w:spacing w:before="94"/>
              <w:ind w:left="132" w:right="49" w:firstLine="8"/>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营业执照、资质证书、安全生产许可证等齐全有效，并在许可范围内开展</w:t>
            </w:r>
            <w:r>
              <w:rPr>
                <w:rFonts w:hint="eastAsia" w:ascii="仿宋" w:hAnsi="仿宋" w:eastAsia="仿宋" w:cs="仿宋"/>
                <w:color w:val="auto"/>
                <w:spacing w:val="-8"/>
                <w:kern w:val="0"/>
                <w:szCs w:val="24"/>
                <w:highlight w:val="none"/>
                <w:lang w:bidi="ar"/>
              </w:rPr>
              <w:t>业务。一项不符合扣</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8"/>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165888C">
            <w:pPr>
              <w:spacing w:line="326" w:lineRule="auto"/>
              <w:rPr>
                <w:rFonts w:ascii="Arial" w:hAnsi="Calibri"/>
                <w:color w:val="auto"/>
                <w:szCs w:val="21"/>
                <w:highlight w:val="none"/>
              </w:rPr>
            </w:pPr>
          </w:p>
          <w:p w14:paraId="7BEB092C">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0768A12">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30F9ADE4">
            <w:pPr>
              <w:rPr>
                <w:rFonts w:ascii="Arial" w:hAnsi="Calibri"/>
                <w:color w:val="auto"/>
                <w:szCs w:val="21"/>
                <w:highlight w:val="none"/>
              </w:rPr>
            </w:pPr>
          </w:p>
        </w:tc>
      </w:tr>
      <w:tr w14:paraId="4FF0E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61414E8D">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3BE724D">
            <w:pPr>
              <w:pStyle w:val="18"/>
              <w:spacing w:before="252"/>
              <w:ind w:left="207"/>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1.2</w:t>
            </w:r>
            <w:r>
              <w:rPr>
                <w:rFonts w:hint="eastAsia" w:ascii="仿宋" w:hAnsi="仿宋" w:eastAsia="仿宋" w:cs="仿宋"/>
                <w:color w:val="auto"/>
                <w:spacing w:val="-38"/>
                <w:kern w:val="0"/>
                <w:szCs w:val="24"/>
                <w:highlight w:val="none"/>
                <w:lang w:bidi="ar"/>
              </w:rPr>
              <w:t xml:space="preserve"> </w:t>
            </w:r>
            <w:r>
              <w:rPr>
                <w:rFonts w:hint="eastAsia" w:ascii="仿宋" w:hAnsi="仿宋" w:eastAsia="仿宋" w:cs="仿宋"/>
                <w:color w:val="auto"/>
                <w:spacing w:val="-7"/>
                <w:kern w:val="0"/>
                <w:szCs w:val="24"/>
                <w:highlight w:val="none"/>
                <w:lang w:bidi="ar"/>
              </w:rPr>
              <w:t>关</w:t>
            </w:r>
          </w:p>
          <w:p w14:paraId="462DA447">
            <w:pPr>
              <w:pStyle w:val="18"/>
              <w:spacing w:before="27"/>
              <w:ind w:left="158"/>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键岗位</w:t>
            </w:r>
          </w:p>
          <w:p w14:paraId="1736421F">
            <w:pPr>
              <w:pStyle w:val="18"/>
              <w:spacing w:before="30"/>
              <w:ind w:left="28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持证</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EFCD79E">
            <w:pPr>
              <w:pStyle w:val="18"/>
              <w:spacing w:before="94"/>
              <w:ind w:left="127" w:right="49" w:firstLine="7"/>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主要负责人、安全管理人员</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3"/>
                <w:kern w:val="0"/>
                <w:szCs w:val="24"/>
                <w:highlight w:val="none"/>
                <w:lang w:bidi="ar"/>
              </w:rPr>
              <w:t>100%持有</w:t>
            </w:r>
            <w:r>
              <w:rPr>
                <w:rFonts w:hint="eastAsia" w:ascii="仿宋" w:hAnsi="仿宋" w:eastAsia="仿宋" w:cs="仿宋"/>
                <w:color w:val="auto"/>
                <w:spacing w:val="-1"/>
                <w:kern w:val="0"/>
                <w:szCs w:val="24"/>
                <w:highlight w:val="none"/>
                <w:lang w:bidi="ar"/>
              </w:rPr>
              <w:t>有效安全生产考核合格证；特种（设</w:t>
            </w:r>
            <w:r>
              <w:rPr>
                <w:rFonts w:hint="eastAsia" w:ascii="仿宋" w:hAnsi="仿宋" w:eastAsia="仿宋" w:cs="仿宋"/>
                <w:color w:val="auto"/>
                <w:spacing w:val="-10"/>
                <w:kern w:val="0"/>
                <w:szCs w:val="24"/>
                <w:highlight w:val="none"/>
                <w:lang w:bidi="ar"/>
              </w:rPr>
              <w:t>备）作业人员</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10"/>
                <w:kern w:val="0"/>
                <w:szCs w:val="24"/>
                <w:highlight w:val="none"/>
                <w:lang w:bidi="ar"/>
              </w:rPr>
              <w:t>100%持有效操作证上岗。</w:t>
            </w:r>
            <w:r>
              <w:rPr>
                <w:rFonts w:hint="eastAsia" w:ascii="仿宋" w:hAnsi="仿宋" w:eastAsia="仿宋" w:cs="仿宋"/>
                <w:color w:val="auto"/>
                <w:spacing w:val="-4"/>
                <w:kern w:val="0"/>
                <w:szCs w:val="24"/>
                <w:highlight w:val="none"/>
                <w:lang w:bidi="ar"/>
              </w:rPr>
              <w:t>一人不符合扣</w:t>
            </w:r>
            <w:r>
              <w:rPr>
                <w:rFonts w:hint="eastAsia" w:ascii="仿宋" w:hAnsi="仿宋" w:eastAsia="仿宋" w:cs="仿宋"/>
                <w:color w:val="auto"/>
                <w:spacing w:val="-29"/>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C136335">
            <w:pPr>
              <w:rPr>
                <w:rFonts w:ascii="Arial" w:hAnsi="Calibri"/>
                <w:color w:val="auto"/>
                <w:szCs w:val="21"/>
                <w:highlight w:val="none"/>
              </w:rPr>
            </w:pPr>
          </w:p>
          <w:p w14:paraId="4070D76F">
            <w:pPr>
              <w:rPr>
                <w:rFonts w:ascii="Arial" w:hAnsi="Calibri"/>
                <w:color w:val="auto"/>
                <w:szCs w:val="21"/>
                <w:highlight w:val="none"/>
              </w:rPr>
            </w:pPr>
          </w:p>
          <w:p w14:paraId="7BECEEAF">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05CB851">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36F599D6">
            <w:pPr>
              <w:rPr>
                <w:rFonts w:ascii="Arial" w:hAnsi="Calibri"/>
                <w:color w:val="auto"/>
                <w:szCs w:val="21"/>
                <w:highlight w:val="none"/>
              </w:rPr>
            </w:pPr>
          </w:p>
        </w:tc>
      </w:tr>
      <w:tr w14:paraId="1BB8F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767CA2FA">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128B58E">
            <w:pPr>
              <w:pStyle w:val="18"/>
              <w:spacing w:before="253"/>
              <w:ind w:left="163" w:right="155" w:firstLine="43"/>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1.3</w:t>
            </w:r>
            <w:r>
              <w:rPr>
                <w:rFonts w:hint="eastAsia" w:ascii="仿宋" w:hAnsi="仿宋" w:eastAsia="仿宋" w:cs="仿宋"/>
                <w:color w:val="auto"/>
                <w:spacing w:val="-46"/>
                <w:kern w:val="0"/>
                <w:szCs w:val="24"/>
                <w:highlight w:val="none"/>
                <w:lang w:bidi="ar"/>
              </w:rPr>
              <w:t xml:space="preserve"> </w:t>
            </w:r>
            <w:r>
              <w:rPr>
                <w:rFonts w:hint="eastAsia" w:ascii="仿宋" w:hAnsi="仿宋" w:eastAsia="仿宋" w:cs="仿宋"/>
                <w:color w:val="auto"/>
                <w:spacing w:val="-10"/>
                <w:kern w:val="0"/>
                <w:szCs w:val="24"/>
                <w:highlight w:val="none"/>
                <w:lang w:bidi="ar"/>
              </w:rPr>
              <w:t>合</w:t>
            </w:r>
            <w:r>
              <w:rPr>
                <w:rFonts w:hint="eastAsia" w:ascii="仿宋" w:hAnsi="仿宋" w:eastAsia="仿宋" w:cs="仿宋"/>
                <w:color w:val="auto"/>
                <w:spacing w:val="-4"/>
                <w:kern w:val="0"/>
                <w:szCs w:val="24"/>
                <w:highlight w:val="none"/>
                <w:lang w:bidi="ar"/>
              </w:rPr>
              <w:t>同与协议履约</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7E05376">
            <w:pPr>
              <w:pStyle w:val="18"/>
              <w:spacing w:before="99"/>
              <w:ind w:left="127" w:right="202" w:hanging="7"/>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严格履行合同及安全环保管理协议中约定的全部安全责任与义务。发现一项重大违约本项不得分，一般违约一</w:t>
            </w:r>
            <w:r>
              <w:rPr>
                <w:rFonts w:hint="eastAsia" w:ascii="仿宋" w:hAnsi="仿宋" w:eastAsia="仿宋" w:cs="仿宋"/>
                <w:color w:val="auto"/>
                <w:spacing w:val="-10"/>
                <w:kern w:val="0"/>
                <w:szCs w:val="24"/>
                <w:highlight w:val="none"/>
                <w:lang w:bidi="ar"/>
              </w:rPr>
              <w:t>项扣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10"/>
                <w:kern w:val="0"/>
                <w:szCs w:val="24"/>
                <w:highlight w:val="none"/>
                <w:lang w:bidi="ar"/>
              </w:rPr>
              <w:t>1</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491101B">
            <w:pPr>
              <w:rPr>
                <w:rFonts w:ascii="Arial" w:hAnsi="Calibri"/>
                <w:color w:val="auto"/>
                <w:szCs w:val="21"/>
                <w:highlight w:val="none"/>
              </w:rPr>
            </w:pPr>
          </w:p>
          <w:p w14:paraId="7C3F7035">
            <w:pPr>
              <w:rPr>
                <w:rFonts w:ascii="Arial" w:hAnsi="Calibri"/>
                <w:color w:val="auto"/>
                <w:szCs w:val="21"/>
                <w:highlight w:val="none"/>
              </w:rPr>
            </w:pPr>
          </w:p>
          <w:p w14:paraId="3264F762">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564A216">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50B56C96">
            <w:pPr>
              <w:rPr>
                <w:rFonts w:ascii="Arial" w:hAnsi="Calibri"/>
                <w:color w:val="auto"/>
                <w:szCs w:val="21"/>
                <w:highlight w:val="none"/>
              </w:rPr>
            </w:pPr>
          </w:p>
        </w:tc>
      </w:tr>
      <w:tr w14:paraId="2D298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shd w:val="clear" w:color="auto" w:fill="auto"/>
          </w:tcPr>
          <w:p w14:paraId="67ED1AA1">
            <w:pPr>
              <w:spacing w:line="242" w:lineRule="auto"/>
              <w:rPr>
                <w:rFonts w:ascii="Arial" w:hAnsi="Calibri"/>
                <w:color w:val="auto"/>
                <w:szCs w:val="21"/>
                <w:highlight w:val="none"/>
              </w:rPr>
            </w:pPr>
          </w:p>
          <w:p w14:paraId="78B7DBC5">
            <w:pPr>
              <w:spacing w:line="242" w:lineRule="auto"/>
              <w:rPr>
                <w:rFonts w:ascii="Arial" w:hAnsi="Calibri"/>
                <w:color w:val="auto"/>
                <w:szCs w:val="21"/>
                <w:highlight w:val="none"/>
              </w:rPr>
            </w:pPr>
          </w:p>
          <w:p w14:paraId="27376289">
            <w:pPr>
              <w:spacing w:line="244" w:lineRule="auto"/>
              <w:rPr>
                <w:rFonts w:ascii="Arial" w:hAnsi="Calibri"/>
                <w:color w:val="auto"/>
                <w:szCs w:val="21"/>
                <w:highlight w:val="none"/>
              </w:rPr>
            </w:pPr>
          </w:p>
          <w:p w14:paraId="301B2905">
            <w:pPr>
              <w:pStyle w:val="18"/>
              <w:spacing w:before="78"/>
              <w:ind w:left="158" w:right="147" w:firstLine="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2.人员与培训</w:t>
            </w:r>
            <w:r>
              <w:rPr>
                <w:rFonts w:hint="eastAsia" w:ascii="仿宋" w:hAnsi="仿宋" w:eastAsia="仿宋" w:cs="仿宋"/>
                <w:color w:val="auto"/>
                <w:spacing w:val="15"/>
                <w:kern w:val="0"/>
                <w:szCs w:val="24"/>
                <w:highlight w:val="none"/>
                <w:lang w:bidi="ar"/>
              </w:rPr>
              <w:t>(15</w:t>
            </w:r>
            <w:r>
              <w:rPr>
                <w:rFonts w:hint="eastAsia" w:ascii="仿宋" w:hAnsi="仿宋" w:eastAsia="仿宋" w:cs="仿宋"/>
                <w:color w:val="auto"/>
                <w:spacing w:val="23"/>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ED2E4C5">
            <w:pPr>
              <w:pStyle w:val="18"/>
              <w:spacing w:before="99"/>
              <w:ind w:left="181" w:right="155" w:firstLine="20"/>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2.1</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8"/>
                <w:kern w:val="0"/>
                <w:szCs w:val="24"/>
                <w:highlight w:val="none"/>
                <w:lang w:bidi="ar"/>
              </w:rPr>
              <w:t>人</w:t>
            </w:r>
            <w:r>
              <w:rPr>
                <w:rFonts w:hint="eastAsia" w:ascii="仿宋" w:hAnsi="仿宋" w:eastAsia="仿宋" w:cs="仿宋"/>
                <w:color w:val="auto"/>
                <w:spacing w:val="-10"/>
                <w:kern w:val="0"/>
                <w:szCs w:val="24"/>
                <w:highlight w:val="none"/>
                <w:lang w:bidi="ar"/>
              </w:rPr>
              <w:t>员能力</w:t>
            </w:r>
          </w:p>
          <w:p w14:paraId="53A5CBA0">
            <w:pPr>
              <w:pStyle w:val="18"/>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与资质</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300CF87">
            <w:pPr>
              <w:pStyle w:val="18"/>
              <w:spacing w:before="99"/>
              <w:ind w:left="131" w:right="202" w:hanging="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从业人员学历、技能满足岗位要求，</w:t>
            </w:r>
            <w:r>
              <w:rPr>
                <w:rFonts w:hint="eastAsia" w:ascii="仿宋" w:hAnsi="仿宋" w:eastAsia="仿宋" w:cs="仿宋"/>
                <w:color w:val="auto"/>
                <w:spacing w:val="-2"/>
                <w:kern w:val="0"/>
                <w:szCs w:val="24"/>
                <w:highlight w:val="none"/>
                <w:lang w:bidi="ar"/>
              </w:rPr>
              <w:t>无职业禁忌症，体检合格。抽查发现</w:t>
            </w:r>
            <w:r>
              <w:rPr>
                <w:rFonts w:hint="eastAsia" w:ascii="仿宋" w:hAnsi="仿宋" w:eastAsia="仿宋" w:cs="仿宋"/>
                <w:color w:val="auto"/>
                <w:spacing w:val="-4"/>
                <w:kern w:val="0"/>
                <w:szCs w:val="24"/>
                <w:highlight w:val="none"/>
                <w:lang w:bidi="ar"/>
              </w:rPr>
              <w:t>一人不符合扣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4"/>
                <w:kern w:val="0"/>
                <w:szCs w:val="24"/>
                <w:highlight w:val="none"/>
                <w:lang w:bidi="ar"/>
              </w:rPr>
              <w:t>1</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FF611EC">
            <w:pPr>
              <w:spacing w:line="328" w:lineRule="auto"/>
              <w:rPr>
                <w:rFonts w:ascii="Arial" w:hAnsi="Calibri"/>
                <w:color w:val="auto"/>
                <w:szCs w:val="21"/>
                <w:highlight w:val="none"/>
              </w:rPr>
            </w:pPr>
          </w:p>
          <w:p w14:paraId="329EA967">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29BAB0F">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61CA9D3E">
            <w:pPr>
              <w:rPr>
                <w:rFonts w:ascii="Arial" w:hAnsi="Calibri"/>
                <w:color w:val="auto"/>
                <w:szCs w:val="21"/>
                <w:highlight w:val="none"/>
              </w:rPr>
            </w:pPr>
          </w:p>
        </w:tc>
      </w:tr>
      <w:tr w14:paraId="64A5B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nil"/>
              <w:left w:val="single" w:color="000000" w:sz="2" w:space="0"/>
              <w:bottom w:val="nil"/>
              <w:right w:val="single" w:color="000000" w:sz="2" w:space="0"/>
            </w:tcBorders>
            <w:shd w:val="clear" w:color="auto" w:fill="auto"/>
          </w:tcPr>
          <w:p w14:paraId="182671CE">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31AAC316">
            <w:pPr>
              <w:pStyle w:val="18"/>
              <w:spacing w:before="97"/>
              <w:ind w:left="201"/>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2.2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5"/>
                <w:kern w:val="0"/>
                <w:szCs w:val="24"/>
                <w:highlight w:val="none"/>
                <w:lang w:bidi="ar"/>
              </w:rPr>
              <w:t>培</w:t>
            </w:r>
          </w:p>
          <w:p w14:paraId="3BF21E3F">
            <w:pPr>
              <w:pStyle w:val="18"/>
              <w:spacing w:before="28"/>
              <w:ind w:left="16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训与考</w:t>
            </w:r>
          </w:p>
          <w:p w14:paraId="72B27625">
            <w:pPr>
              <w:pStyle w:val="18"/>
              <w:spacing w:before="29"/>
              <w:ind w:left="40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核</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67112C90">
            <w:pPr>
              <w:pStyle w:val="18"/>
              <w:spacing w:before="98"/>
              <w:ind w:left="128" w:right="202" w:hanging="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承包商自主培训、发包方安全教育和专项培训记录完整，考核合格。一项</w:t>
            </w:r>
            <w:r>
              <w:rPr>
                <w:rFonts w:hint="eastAsia" w:ascii="仿宋" w:hAnsi="仿宋" w:eastAsia="仿宋" w:cs="仿宋"/>
                <w:color w:val="auto"/>
                <w:spacing w:val="-4"/>
                <w:kern w:val="0"/>
                <w:szCs w:val="24"/>
                <w:highlight w:val="none"/>
                <w:lang w:bidi="ar"/>
              </w:rPr>
              <w:t>不符合扣</w:t>
            </w:r>
            <w:r>
              <w:rPr>
                <w:rFonts w:hint="eastAsia" w:ascii="仿宋" w:hAnsi="仿宋" w:eastAsia="仿宋" w:cs="仿宋"/>
                <w:color w:val="auto"/>
                <w:spacing w:val="-39"/>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EEA1AD0">
            <w:pPr>
              <w:spacing w:line="328" w:lineRule="auto"/>
              <w:rPr>
                <w:rFonts w:ascii="Arial" w:hAnsi="Calibri"/>
                <w:color w:val="auto"/>
                <w:szCs w:val="21"/>
                <w:highlight w:val="none"/>
              </w:rPr>
            </w:pPr>
          </w:p>
          <w:p w14:paraId="2DC5B3F7">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71DCF9B">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DC88687">
            <w:pPr>
              <w:rPr>
                <w:rFonts w:ascii="Arial" w:hAnsi="Calibri"/>
                <w:color w:val="auto"/>
                <w:szCs w:val="21"/>
                <w:highlight w:val="none"/>
              </w:rPr>
            </w:pPr>
          </w:p>
        </w:tc>
      </w:tr>
      <w:tr w14:paraId="529221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694F74B0">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D36523F">
            <w:pPr>
              <w:pStyle w:val="18"/>
              <w:spacing w:before="101"/>
              <w:ind w:left="201"/>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人</w:t>
            </w:r>
          </w:p>
          <w:p w14:paraId="09D04AD1">
            <w:pPr>
              <w:pStyle w:val="18"/>
              <w:spacing w:before="24"/>
              <w:ind w:left="181"/>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员稳定</w:t>
            </w:r>
          </w:p>
          <w:p w14:paraId="39B559F2">
            <w:pPr>
              <w:pStyle w:val="18"/>
              <w:spacing w:before="33"/>
              <w:ind w:left="408"/>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3751C8E">
            <w:pPr>
              <w:pStyle w:val="18"/>
              <w:spacing w:before="99"/>
              <w:ind w:left="131" w:right="64" w:hanging="5"/>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承包商关键岗位及作业人员月流动比</w:t>
            </w:r>
            <w:r>
              <w:rPr>
                <w:rFonts w:hint="eastAsia" w:ascii="仿宋" w:hAnsi="仿宋" w:eastAsia="仿宋" w:cs="仿宋"/>
                <w:color w:val="auto"/>
                <w:spacing w:val="-18"/>
                <w:kern w:val="0"/>
                <w:szCs w:val="24"/>
                <w:highlight w:val="none"/>
                <w:lang w:bidi="ar"/>
              </w:rPr>
              <w:t>率≤10%。每超标</w:t>
            </w:r>
            <w:r>
              <w:rPr>
                <w:rFonts w:hint="eastAsia" w:ascii="仿宋" w:hAnsi="仿宋" w:eastAsia="仿宋" w:cs="仿宋"/>
                <w:color w:val="auto"/>
                <w:spacing w:val="-36"/>
                <w:kern w:val="0"/>
                <w:szCs w:val="24"/>
                <w:highlight w:val="none"/>
                <w:lang w:bidi="ar"/>
              </w:rPr>
              <w:t xml:space="preserve"> </w:t>
            </w:r>
            <w:r>
              <w:rPr>
                <w:rFonts w:hint="eastAsia" w:ascii="仿宋" w:hAnsi="仿宋" w:eastAsia="仿宋" w:cs="仿宋"/>
                <w:color w:val="auto"/>
                <w:spacing w:val="-18"/>
                <w:kern w:val="0"/>
                <w:szCs w:val="24"/>
                <w:highlight w:val="none"/>
                <w:lang w:bidi="ar"/>
              </w:rPr>
              <w:t>1%扣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18"/>
                <w:kern w:val="0"/>
                <w:szCs w:val="24"/>
                <w:highlight w:val="none"/>
                <w:lang w:bidi="ar"/>
              </w:rPr>
              <w:t>1</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8"/>
                <w:kern w:val="0"/>
                <w:szCs w:val="24"/>
                <w:highlight w:val="none"/>
                <w:lang w:bidi="ar"/>
              </w:rPr>
              <w:t>分，扣完为止；</w:t>
            </w:r>
            <w:r>
              <w:rPr>
                <w:rFonts w:hint="eastAsia" w:ascii="仿宋" w:hAnsi="仿宋" w:eastAsia="仿宋" w:cs="仿宋"/>
                <w:color w:val="auto"/>
                <w:spacing w:val="-4"/>
                <w:kern w:val="0"/>
                <w:szCs w:val="24"/>
                <w:highlight w:val="none"/>
                <w:lang w:bidi="ar"/>
              </w:rPr>
              <w:t>关键岗位擅自换岗一人扣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A5511F3">
            <w:pPr>
              <w:spacing w:line="331" w:lineRule="auto"/>
              <w:rPr>
                <w:rFonts w:ascii="Arial" w:hAnsi="Calibri"/>
                <w:color w:val="auto"/>
                <w:szCs w:val="21"/>
                <w:highlight w:val="none"/>
              </w:rPr>
            </w:pPr>
          </w:p>
          <w:p w14:paraId="5C555C6B">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F8D4A15">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64BEB75">
            <w:pPr>
              <w:rPr>
                <w:rFonts w:ascii="Arial" w:hAnsi="Calibri"/>
                <w:color w:val="auto"/>
                <w:szCs w:val="21"/>
                <w:highlight w:val="none"/>
              </w:rPr>
            </w:pPr>
          </w:p>
        </w:tc>
      </w:tr>
      <w:tr w14:paraId="3CE28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shd w:val="clear" w:color="auto" w:fill="auto"/>
          </w:tcPr>
          <w:p w14:paraId="6FD8D7E1">
            <w:pPr>
              <w:spacing w:line="271" w:lineRule="auto"/>
              <w:rPr>
                <w:rFonts w:ascii="Arial" w:hAnsi="Calibri"/>
                <w:color w:val="auto"/>
                <w:szCs w:val="21"/>
                <w:highlight w:val="none"/>
              </w:rPr>
            </w:pPr>
          </w:p>
          <w:p w14:paraId="3DC3A3E2">
            <w:pPr>
              <w:spacing w:line="271" w:lineRule="auto"/>
              <w:rPr>
                <w:rFonts w:ascii="Arial" w:hAnsi="Calibri"/>
                <w:color w:val="auto"/>
                <w:szCs w:val="21"/>
                <w:highlight w:val="none"/>
              </w:rPr>
            </w:pPr>
          </w:p>
          <w:p w14:paraId="7C70F0F9">
            <w:pPr>
              <w:spacing w:line="271" w:lineRule="auto"/>
              <w:rPr>
                <w:rFonts w:ascii="Arial" w:hAnsi="Calibri"/>
                <w:color w:val="auto"/>
                <w:szCs w:val="21"/>
                <w:highlight w:val="none"/>
              </w:rPr>
            </w:pPr>
          </w:p>
          <w:p w14:paraId="495AF8F0">
            <w:pPr>
              <w:spacing w:line="271" w:lineRule="auto"/>
              <w:rPr>
                <w:rFonts w:ascii="Arial" w:hAnsi="Calibri"/>
                <w:color w:val="auto"/>
                <w:szCs w:val="21"/>
                <w:highlight w:val="none"/>
              </w:rPr>
            </w:pPr>
          </w:p>
          <w:p w14:paraId="68506292">
            <w:pPr>
              <w:pStyle w:val="18"/>
              <w:spacing w:before="78"/>
              <w:ind w:left="174"/>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3.作</w:t>
            </w:r>
          </w:p>
          <w:p w14:paraId="58A218D8">
            <w:pPr>
              <w:pStyle w:val="18"/>
              <w:spacing w:before="31"/>
              <w:ind w:left="165"/>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业安</w:t>
            </w:r>
          </w:p>
          <w:p w14:paraId="42DFAD30">
            <w:pPr>
              <w:pStyle w:val="18"/>
              <w:spacing w:before="27"/>
              <w:ind w:left="154"/>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全控</w:t>
            </w:r>
          </w:p>
          <w:p w14:paraId="1D7503E0">
            <w:pPr>
              <w:pStyle w:val="18"/>
              <w:spacing w:before="29"/>
              <w:ind w:left="283"/>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制</w:t>
            </w:r>
          </w:p>
          <w:p w14:paraId="078030FA">
            <w:pPr>
              <w:pStyle w:val="18"/>
              <w:spacing w:before="30"/>
              <w:ind w:left="266"/>
              <w:rPr>
                <w:rFonts w:ascii="仿宋" w:hAnsi="仿宋" w:eastAsia="仿宋" w:cs="仿宋"/>
                <w:color w:val="auto"/>
                <w:szCs w:val="24"/>
                <w:highlight w:val="none"/>
              </w:rPr>
            </w:pPr>
            <w:r>
              <w:rPr>
                <w:rFonts w:hint="eastAsia" w:ascii="仿宋" w:hAnsi="仿宋" w:eastAsia="仿宋" w:cs="仿宋"/>
                <w:color w:val="auto"/>
                <w:spacing w:val="-20"/>
                <w:kern w:val="0"/>
                <w:szCs w:val="24"/>
                <w:highlight w:val="none"/>
                <w:lang w:bidi="ar"/>
              </w:rPr>
              <w:t>(25</w:t>
            </w:r>
          </w:p>
          <w:p w14:paraId="723569CA">
            <w:pPr>
              <w:pStyle w:val="18"/>
              <w:spacing w:before="28"/>
              <w:ind w:left="217"/>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76460F3">
            <w:pPr>
              <w:pStyle w:val="18"/>
              <w:spacing w:before="256"/>
              <w:ind w:left="174" w:right="155" w:firstLine="37"/>
              <w:rPr>
                <w:rFonts w:ascii="仿宋" w:hAnsi="仿宋" w:eastAsia="仿宋" w:cs="仿宋"/>
                <w:color w:val="auto"/>
                <w:szCs w:val="24"/>
                <w:highlight w:val="none"/>
              </w:rPr>
            </w:pPr>
            <w:r>
              <w:rPr>
                <w:rFonts w:hint="eastAsia" w:ascii="仿宋" w:hAnsi="仿宋" w:eastAsia="仿宋" w:cs="仿宋"/>
                <w:color w:val="auto"/>
                <w:spacing w:val="-11"/>
                <w:kern w:val="0"/>
                <w:szCs w:val="24"/>
                <w:highlight w:val="none"/>
                <w:lang w:bidi="ar"/>
              </w:rPr>
              <w:t>3.1</w:t>
            </w:r>
            <w:r>
              <w:rPr>
                <w:rFonts w:hint="eastAsia" w:ascii="仿宋" w:hAnsi="仿宋" w:eastAsia="仿宋" w:cs="仿宋"/>
                <w:color w:val="auto"/>
                <w:spacing w:val="-46"/>
                <w:kern w:val="0"/>
                <w:szCs w:val="24"/>
                <w:highlight w:val="none"/>
                <w:lang w:bidi="ar"/>
              </w:rPr>
              <w:t xml:space="preserve"> </w:t>
            </w:r>
            <w:r>
              <w:rPr>
                <w:rFonts w:hint="eastAsia" w:ascii="仿宋" w:hAnsi="仿宋" w:eastAsia="仿宋" w:cs="仿宋"/>
                <w:color w:val="auto"/>
                <w:spacing w:val="-11"/>
                <w:kern w:val="0"/>
                <w:szCs w:val="24"/>
                <w:highlight w:val="none"/>
                <w:lang w:bidi="ar"/>
              </w:rPr>
              <w:t>作</w:t>
            </w:r>
            <w:r>
              <w:rPr>
                <w:rFonts w:hint="eastAsia" w:ascii="仿宋" w:hAnsi="仿宋" w:eastAsia="仿宋" w:cs="仿宋"/>
                <w:color w:val="auto"/>
                <w:spacing w:val="-7"/>
                <w:kern w:val="0"/>
                <w:szCs w:val="24"/>
                <w:highlight w:val="none"/>
                <w:lang w:bidi="ar"/>
              </w:rPr>
              <w:t>业许可与交底</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6A2EACF4">
            <w:pPr>
              <w:pStyle w:val="18"/>
              <w:spacing w:before="99"/>
              <w:ind w:left="124" w:right="55" w:hanging="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严格执行特殊作业许可制度，作业前</w:t>
            </w:r>
            <w:r>
              <w:rPr>
                <w:rFonts w:hint="eastAsia" w:ascii="仿宋" w:hAnsi="仿宋" w:eastAsia="仿宋" w:cs="仿宋"/>
                <w:color w:val="auto"/>
                <w:spacing w:val="1"/>
                <w:kern w:val="0"/>
                <w:szCs w:val="24"/>
                <w:highlight w:val="none"/>
                <w:lang w:bidi="ar"/>
              </w:rPr>
              <w:t>进行充分风险辨识和安全技术交底，</w:t>
            </w:r>
            <w:r>
              <w:rPr>
                <w:rFonts w:hint="eastAsia" w:ascii="仿宋" w:hAnsi="仿宋" w:eastAsia="仿宋" w:cs="仿宋"/>
                <w:color w:val="auto"/>
                <w:spacing w:val="-9"/>
                <w:kern w:val="0"/>
                <w:szCs w:val="24"/>
                <w:highlight w:val="none"/>
                <w:lang w:bidi="ar"/>
              </w:rPr>
              <w:t>资料完整可追溯。一项不符合扣</w:t>
            </w:r>
            <w:r>
              <w:rPr>
                <w:rFonts w:hint="eastAsia" w:ascii="仿宋" w:hAnsi="仿宋" w:eastAsia="仿宋" w:cs="仿宋"/>
                <w:color w:val="auto"/>
                <w:spacing w:val="-22"/>
                <w:kern w:val="0"/>
                <w:szCs w:val="24"/>
                <w:highlight w:val="none"/>
                <w:lang w:bidi="ar"/>
              </w:rPr>
              <w:t xml:space="preserve"> </w:t>
            </w:r>
            <w:r>
              <w:rPr>
                <w:rFonts w:hint="eastAsia" w:ascii="仿宋" w:hAnsi="仿宋" w:eastAsia="仿宋" w:cs="仿宋"/>
                <w:color w:val="auto"/>
                <w:spacing w:val="-9"/>
                <w:kern w:val="0"/>
                <w:szCs w:val="24"/>
                <w:highlight w:val="none"/>
                <w:lang w:bidi="ar"/>
              </w:rPr>
              <w:t>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9"/>
                <w:kern w:val="0"/>
                <w:szCs w:val="24"/>
                <w:highlight w:val="none"/>
                <w:lang w:bidi="ar"/>
              </w:rPr>
              <w:t>分，</w:t>
            </w:r>
            <w:r>
              <w:rPr>
                <w:rFonts w:hint="eastAsia" w:ascii="仿宋" w:hAnsi="仿宋" w:eastAsia="仿宋" w:cs="仿宋"/>
                <w:color w:val="auto"/>
                <w:spacing w:val="-2"/>
                <w:kern w:val="0"/>
                <w:szCs w:val="24"/>
                <w:highlight w:val="none"/>
                <w:lang w:bidi="ar"/>
              </w:rPr>
              <w:t>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1445572">
            <w:pPr>
              <w:rPr>
                <w:rFonts w:ascii="Arial" w:hAnsi="Calibri"/>
                <w:color w:val="auto"/>
                <w:szCs w:val="21"/>
                <w:highlight w:val="none"/>
              </w:rPr>
            </w:pPr>
          </w:p>
          <w:p w14:paraId="2DFE2D1B">
            <w:pPr>
              <w:spacing w:line="242" w:lineRule="auto"/>
              <w:rPr>
                <w:rFonts w:ascii="Arial" w:hAnsi="Calibri"/>
                <w:color w:val="auto"/>
                <w:szCs w:val="21"/>
                <w:highlight w:val="none"/>
              </w:rPr>
            </w:pPr>
          </w:p>
          <w:p w14:paraId="28165478">
            <w:pPr>
              <w:pStyle w:val="18"/>
              <w:spacing w:before="78"/>
              <w:ind w:left="295"/>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6</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8D85894">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0791C554">
            <w:pPr>
              <w:rPr>
                <w:rFonts w:ascii="Arial" w:hAnsi="Calibri"/>
                <w:color w:val="auto"/>
                <w:szCs w:val="21"/>
                <w:highlight w:val="none"/>
              </w:rPr>
            </w:pPr>
          </w:p>
        </w:tc>
      </w:tr>
      <w:tr w14:paraId="251F1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40BB6A32">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303C651">
            <w:pPr>
              <w:pStyle w:val="18"/>
              <w:spacing w:before="101"/>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3.2</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现</w:t>
            </w:r>
          </w:p>
          <w:p w14:paraId="359C79DA">
            <w:pPr>
              <w:pStyle w:val="18"/>
              <w:spacing w:before="25"/>
              <w:ind w:left="162"/>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场安全</w:t>
            </w:r>
          </w:p>
          <w:p w14:paraId="445A9C96">
            <w:pPr>
              <w:pStyle w:val="18"/>
              <w:spacing w:before="28"/>
              <w:ind w:left="283"/>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措施</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9639E43">
            <w:pPr>
              <w:pStyle w:val="18"/>
              <w:spacing w:before="99"/>
              <w:ind w:left="124" w:right="202" w:firstLine="7"/>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现场隔离、警示、通风、消防等安全</w:t>
            </w:r>
            <w:r>
              <w:rPr>
                <w:rFonts w:hint="eastAsia" w:ascii="仿宋" w:hAnsi="仿宋" w:eastAsia="仿宋" w:cs="仿宋"/>
                <w:color w:val="auto"/>
                <w:spacing w:val="-1"/>
                <w:kern w:val="0"/>
                <w:szCs w:val="24"/>
                <w:highlight w:val="none"/>
                <w:lang w:bidi="ar"/>
              </w:rPr>
              <w:t>措施落实到位，劳动防护用品规范使</w:t>
            </w:r>
            <w:r>
              <w:rPr>
                <w:rFonts w:hint="eastAsia" w:ascii="仿宋" w:hAnsi="仿宋" w:eastAsia="仿宋" w:cs="仿宋"/>
                <w:color w:val="auto"/>
                <w:spacing w:val="-3"/>
                <w:kern w:val="0"/>
                <w:szCs w:val="24"/>
                <w:highlight w:val="none"/>
                <w:lang w:bidi="ar"/>
              </w:rPr>
              <w:t>用。一处不符合扣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1914957">
            <w:pPr>
              <w:spacing w:line="331" w:lineRule="auto"/>
              <w:rPr>
                <w:rFonts w:ascii="Arial" w:hAnsi="Calibri"/>
                <w:color w:val="auto"/>
                <w:szCs w:val="21"/>
                <w:highlight w:val="none"/>
              </w:rPr>
            </w:pPr>
          </w:p>
          <w:p w14:paraId="04AF2B4E">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458C3B2">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4BDD9097">
            <w:pPr>
              <w:rPr>
                <w:rFonts w:ascii="Arial" w:hAnsi="Calibri"/>
                <w:color w:val="auto"/>
                <w:szCs w:val="21"/>
                <w:highlight w:val="none"/>
              </w:rPr>
            </w:pPr>
          </w:p>
        </w:tc>
      </w:tr>
      <w:tr w14:paraId="1CF81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1D5F7C2D">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8B1569D">
            <w:pPr>
              <w:pStyle w:val="18"/>
              <w:spacing w:before="99"/>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3.3</w:t>
            </w:r>
            <w:r>
              <w:rPr>
                <w:rFonts w:hint="eastAsia" w:ascii="仿宋" w:hAnsi="仿宋" w:eastAsia="仿宋" w:cs="仿宋"/>
                <w:color w:val="auto"/>
                <w:spacing w:val="-42"/>
                <w:kern w:val="0"/>
                <w:szCs w:val="24"/>
                <w:highlight w:val="none"/>
                <w:lang w:bidi="ar"/>
              </w:rPr>
              <w:t xml:space="preserve"> </w:t>
            </w:r>
            <w:r>
              <w:rPr>
                <w:rFonts w:hint="eastAsia" w:ascii="仿宋" w:hAnsi="仿宋" w:eastAsia="仿宋" w:cs="仿宋"/>
                <w:color w:val="auto"/>
                <w:spacing w:val="-8"/>
                <w:kern w:val="0"/>
                <w:szCs w:val="24"/>
                <w:highlight w:val="none"/>
                <w:lang w:bidi="ar"/>
              </w:rPr>
              <w:t>工</w:t>
            </w:r>
          </w:p>
          <w:p w14:paraId="6C4BFB1B">
            <w:pPr>
              <w:pStyle w:val="18"/>
              <w:spacing w:before="6"/>
              <w:ind w:left="161"/>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机具与</w:t>
            </w:r>
          </w:p>
          <w:p w14:paraId="2AEE145D">
            <w:pPr>
              <w:pStyle w:val="18"/>
              <w:spacing w:before="29"/>
              <w:ind w:left="283"/>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设备</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0BE3E27">
            <w:pPr>
              <w:pStyle w:val="18"/>
              <w:spacing w:before="99"/>
              <w:ind w:left="127" w:right="55" w:firstLine="2"/>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工机具入场检验合格，安全状态良好，</w:t>
            </w:r>
            <w:r>
              <w:rPr>
                <w:rFonts w:hint="eastAsia" w:ascii="仿宋" w:hAnsi="仿宋" w:eastAsia="仿宋" w:cs="仿宋"/>
                <w:color w:val="auto"/>
                <w:spacing w:val="-1"/>
                <w:kern w:val="0"/>
                <w:szCs w:val="24"/>
                <w:highlight w:val="none"/>
                <w:lang w:bidi="ar"/>
              </w:rPr>
              <w:t>特种设备检验标识清晰、在检验周期</w:t>
            </w:r>
            <w:r>
              <w:rPr>
                <w:rFonts w:hint="eastAsia" w:ascii="仿宋" w:hAnsi="仿宋" w:eastAsia="仿宋" w:cs="仿宋"/>
                <w:color w:val="auto"/>
                <w:spacing w:val="-3"/>
                <w:kern w:val="0"/>
                <w:szCs w:val="24"/>
                <w:highlight w:val="none"/>
                <w:lang w:bidi="ar"/>
              </w:rPr>
              <w:t>内。一项不符合扣</w:t>
            </w:r>
            <w:r>
              <w:rPr>
                <w:rFonts w:hint="eastAsia" w:ascii="仿宋" w:hAnsi="仿宋" w:eastAsia="仿宋" w:cs="仿宋"/>
                <w:color w:val="auto"/>
                <w:spacing w:val="-37"/>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5EDBF4C6">
            <w:pPr>
              <w:spacing w:line="331" w:lineRule="auto"/>
              <w:rPr>
                <w:rFonts w:ascii="Arial" w:hAnsi="Calibri"/>
                <w:color w:val="auto"/>
                <w:szCs w:val="21"/>
                <w:highlight w:val="none"/>
              </w:rPr>
            </w:pPr>
          </w:p>
          <w:p w14:paraId="265097F9">
            <w:pPr>
              <w:pStyle w:val="18"/>
              <w:spacing w:before="78"/>
              <w:ind w:left="29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4</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8B97179">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E568B0F">
            <w:pPr>
              <w:rPr>
                <w:rFonts w:ascii="Arial" w:hAnsi="Calibri"/>
                <w:color w:val="auto"/>
                <w:szCs w:val="21"/>
                <w:highlight w:val="none"/>
              </w:rPr>
            </w:pPr>
          </w:p>
        </w:tc>
      </w:tr>
      <w:tr w14:paraId="538CE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779" w:type="dxa"/>
            <w:vMerge w:val="continue"/>
            <w:tcBorders>
              <w:top w:val="nil"/>
              <w:left w:val="single" w:color="000000" w:sz="2" w:space="0"/>
              <w:bottom w:val="nil"/>
              <w:right w:val="single" w:color="000000" w:sz="2" w:space="0"/>
            </w:tcBorders>
            <w:shd w:val="clear" w:color="auto" w:fill="auto"/>
          </w:tcPr>
          <w:p w14:paraId="70208B50">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F6CFC9B">
            <w:pPr>
              <w:pStyle w:val="18"/>
              <w:spacing w:before="100"/>
              <w:ind w:left="166" w:right="119" w:hanging="22"/>
              <w:rPr>
                <w:rFonts w:ascii="仿宋" w:hAnsi="仿宋" w:eastAsia="仿宋" w:cs="仿宋"/>
                <w:color w:val="auto"/>
                <w:szCs w:val="24"/>
                <w:highlight w:val="none"/>
              </w:rPr>
            </w:pPr>
            <w:r>
              <w:rPr>
                <w:rFonts w:hint="eastAsia" w:ascii="仿宋" w:hAnsi="仿宋" w:eastAsia="仿宋" w:cs="仿宋"/>
                <w:color w:val="auto"/>
                <w:spacing w:val="-15"/>
                <w:kern w:val="0"/>
                <w:szCs w:val="24"/>
                <w:highlight w:val="none"/>
                <w:lang w:bidi="ar"/>
              </w:rPr>
              <w:t>3.4“三</w:t>
            </w:r>
            <w:r>
              <w:rPr>
                <w:rFonts w:hint="eastAsia" w:ascii="仿宋" w:hAnsi="仿宋" w:eastAsia="仿宋" w:cs="仿宋"/>
                <w:color w:val="auto"/>
                <w:spacing w:val="-5"/>
                <w:kern w:val="0"/>
                <w:szCs w:val="24"/>
                <w:highlight w:val="none"/>
                <w:lang w:bidi="ar"/>
              </w:rPr>
              <w:t>违”行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86226C2">
            <w:pPr>
              <w:pStyle w:val="18"/>
              <w:spacing w:before="100"/>
              <w:ind w:left="131" w:right="202" w:hanging="9"/>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建立</w:t>
            </w:r>
            <w:r>
              <w:rPr>
                <w:rFonts w:hint="eastAsia" w:ascii="仿宋" w:hAnsi="仿宋" w:eastAsia="仿宋" w:cs="仿宋"/>
                <w:color w:val="auto"/>
                <w:spacing w:val="-76"/>
                <w:kern w:val="0"/>
                <w:szCs w:val="24"/>
                <w:highlight w:val="none"/>
                <w:lang w:bidi="ar"/>
              </w:rPr>
              <w:t xml:space="preserve"> </w:t>
            </w:r>
            <w:r>
              <w:rPr>
                <w:rFonts w:hint="eastAsia" w:ascii="仿宋" w:hAnsi="仿宋" w:eastAsia="仿宋" w:cs="仿宋"/>
                <w:color w:val="auto"/>
                <w:spacing w:val="-5"/>
                <w:kern w:val="0"/>
                <w:szCs w:val="24"/>
                <w:highlight w:val="none"/>
                <w:lang w:bidi="ar"/>
              </w:rPr>
              <w:t>“</w:t>
            </w:r>
            <w:r>
              <w:rPr>
                <w:rFonts w:hint="eastAsia" w:ascii="仿宋" w:hAnsi="仿宋" w:eastAsia="仿宋" w:cs="仿宋"/>
                <w:color w:val="auto"/>
                <w:spacing w:val="-93"/>
                <w:kern w:val="0"/>
                <w:szCs w:val="24"/>
                <w:highlight w:val="none"/>
                <w:lang w:bidi="ar"/>
              </w:rPr>
              <w:t xml:space="preserve"> </w:t>
            </w:r>
            <w:r>
              <w:rPr>
                <w:rFonts w:hint="eastAsia" w:ascii="仿宋" w:hAnsi="仿宋" w:eastAsia="仿宋" w:cs="仿宋"/>
                <w:color w:val="auto"/>
                <w:spacing w:val="-5"/>
                <w:kern w:val="0"/>
                <w:szCs w:val="24"/>
                <w:highlight w:val="none"/>
                <w:lang w:bidi="ar"/>
              </w:rPr>
              <w:t>三违”行为查处与统计分析机</w:t>
            </w:r>
            <w:r>
              <w:rPr>
                <w:rFonts w:hint="eastAsia" w:ascii="仿宋" w:hAnsi="仿宋" w:eastAsia="仿宋" w:cs="仿宋"/>
                <w:color w:val="auto"/>
                <w:spacing w:val="-2"/>
                <w:kern w:val="0"/>
                <w:szCs w:val="24"/>
                <w:highlight w:val="none"/>
                <w:lang w:bidi="ar"/>
              </w:rPr>
              <w:t>制，有记录、有整改、有考核。未建</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F23914F">
            <w:pPr>
              <w:pStyle w:val="18"/>
              <w:spacing w:before="256"/>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B50E16D">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5FA3A3D9">
            <w:pPr>
              <w:rPr>
                <w:rFonts w:ascii="Arial" w:hAnsi="Calibri"/>
                <w:color w:val="auto"/>
                <w:szCs w:val="21"/>
                <w:highlight w:val="none"/>
              </w:rPr>
            </w:pPr>
          </w:p>
        </w:tc>
      </w:tr>
    </w:tbl>
    <w:p w14:paraId="634416C1">
      <w:pPr>
        <w:rPr>
          <w:rFonts w:ascii="Arial" w:hAnsi="Arial" w:cs="Arial"/>
          <w:color w:val="auto"/>
          <w:szCs w:val="21"/>
          <w:highlight w:val="none"/>
        </w:rPr>
        <w:sectPr>
          <w:headerReference r:id="rId7" w:type="default"/>
          <w:footerReference r:id="rId8" w:type="default"/>
          <w:type w:val="continuous"/>
          <w:pgSz w:w="11906" w:h="16839"/>
          <w:pgMar w:top="1999" w:right="1065" w:bottom="1223" w:left="1677" w:header="1508" w:footer="1061" w:gutter="0"/>
          <w:cols w:space="720" w:num="1"/>
          <w:formProt w:val="0"/>
          <w:docGrid w:type="linesAndChars" w:linePitch="312" w:charSpace="0"/>
        </w:sectPr>
      </w:pPr>
    </w:p>
    <w:p w14:paraId="7EBBF21D">
      <w:pPr>
        <w:spacing w:before="18"/>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38E38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vMerge w:val="restart"/>
            <w:tcBorders>
              <w:top w:val="single" w:color="000000" w:sz="2" w:space="0"/>
              <w:left w:val="single" w:color="000000" w:sz="2" w:space="0"/>
              <w:bottom w:val="nil"/>
              <w:right w:val="single" w:color="000000" w:sz="2" w:space="0"/>
            </w:tcBorders>
            <w:shd w:val="clear" w:color="auto" w:fill="auto"/>
          </w:tcPr>
          <w:p w14:paraId="56E39E22">
            <w:pPr>
              <w:rPr>
                <w:rFonts w:ascii="Arial" w:hAnsi="Calibri"/>
                <w:color w:val="auto"/>
                <w:szCs w:val="21"/>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ECD64C5">
            <w:pPr>
              <w:pStyle w:val="18"/>
              <w:spacing w:before="97"/>
              <w:ind w:left="171"/>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为管控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43759F5">
            <w:pPr>
              <w:pStyle w:val="18"/>
              <w:spacing w:before="97"/>
              <w:ind w:left="139" w:hanging="4"/>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立机制本项不得分；发现一般“</w:t>
            </w:r>
            <w:r>
              <w:rPr>
                <w:rFonts w:hint="eastAsia" w:ascii="仿宋" w:hAnsi="仿宋" w:eastAsia="仿宋" w:cs="仿宋"/>
                <w:color w:val="auto"/>
                <w:spacing w:val="-94"/>
                <w:kern w:val="0"/>
                <w:szCs w:val="24"/>
                <w:highlight w:val="none"/>
                <w:lang w:bidi="ar"/>
              </w:rPr>
              <w:t xml:space="preserve"> </w:t>
            </w:r>
            <w:r>
              <w:rPr>
                <w:rFonts w:hint="eastAsia" w:ascii="仿宋" w:hAnsi="仿宋" w:eastAsia="仿宋" w:cs="仿宋"/>
                <w:color w:val="auto"/>
                <w:spacing w:val="-5"/>
                <w:kern w:val="0"/>
                <w:szCs w:val="24"/>
                <w:highlight w:val="none"/>
                <w:lang w:bidi="ar"/>
              </w:rPr>
              <w:t>三违”</w:t>
            </w:r>
            <w:r>
              <w:rPr>
                <w:rFonts w:hint="eastAsia" w:ascii="仿宋" w:hAnsi="仿宋" w:eastAsia="仿宋" w:cs="仿宋"/>
                <w:color w:val="auto"/>
                <w:spacing w:val="-12"/>
                <w:kern w:val="0"/>
                <w:szCs w:val="24"/>
                <w:highlight w:val="none"/>
                <w:lang w:bidi="ar"/>
              </w:rPr>
              <w:t>一次扣</w:t>
            </w:r>
            <w:r>
              <w:rPr>
                <w:rFonts w:hint="eastAsia" w:ascii="仿宋" w:hAnsi="仿宋" w:eastAsia="仿宋" w:cs="仿宋"/>
                <w:color w:val="auto"/>
                <w:spacing w:val="-36"/>
                <w:kern w:val="0"/>
                <w:szCs w:val="24"/>
                <w:highlight w:val="none"/>
                <w:lang w:bidi="ar"/>
              </w:rPr>
              <w:t xml:space="preserve"> </w:t>
            </w:r>
            <w:r>
              <w:rPr>
                <w:rFonts w:hint="eastAsia" w:ascii="仿宋" w:hAnsi="仿宋" w:eastAsia="仿宋" w:cs="仿宋"/>
                <w:color w:val="auto"/>
                <w:spacing w:val="-12"/>
                <w:kern w:val="0"/>
                <w:szCs w:val="24"/>
                <w:highlight w:val="none"/>
                <w:lang w:bidi="ar"/>
              </w:rPr>
              <w:t>2</w:t>
            </w:r>
            <w:r>
              <w:rPr>
                <w:rFonts w:hint="eastAsia" w:ascii="仿宋" w:hAnsi="仿宋" w:eastAsia="仿宋" w:cs="仿宋"/>
                <w:color w:val="auto"/>
                <w:spacing w:val="-51"/>
                <w:kern w:val="0"/>
                <w:szCs w:val="24"/>
                <w:highlight w:val="none"/>
                <w:lang w:bidi="ar"/>
              </w:rPr>
              <w:t xml:space="preserve"> </w:t>
            </w:r>
            <w:r>
              <w:rPr>
                <w:rFonts w:hint="eastAsia" w:ascii="仿宋" w:hAnsi="仿宋" w:eastAsia="仿宋" w:cs="仿宋"/>
                <w:color w:val="auto"/>
                <w:spacing w:val="-12"/>
                <w:kern w:val="0"/>
                <w:szCs w:val="24"/>
                <w:highlight w:val="none"/>
                <w:lang w:bidi="ar"/>
              </w:rPr>
              <w:t>分，严重</w:t>
            </w:r>
            <w:r>
              <w:rPr>
                <w:rFonts w:hint="eastAsia" w:ascii="仿宋" w:hAnsi="仿宋" w:eastAsia="仿宋" w:cs="仿宋"/>
                <w:color w:val="auto"/>
                <w:spacing w:val="-90"/>
                <w:kern w:val="0"/>
                <w:szCs w:val="24"/>
                <w:highlight w:val="none"/>
                <w:lang w:bidi="ar"/>
              </w:rPr>
              <w:t xml:space="preserve"> </w:t>
            </w:r>
            <w:r>
              <w:rPr>
                <w:rFonts w:hint="eastAsia" w:ascii="仿宋" w:hAnsi="仿宋" w:eastAsia="仿宋" w:cs="仿宋"/>
                <w:color w:val="auto"/>
                <w:spacing w:val="-12"/>
                <w:kern w:val="0"/>
                <w:szCs w:val="24"/>
                <w:highlight w:val="none"/>
                <w:lang w:bidi="ar"/>
              </w:rPr>
              <w:t>“三违”一次扣</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12"/>
                <w:kern w:val="0"/>
                <w:szCs w:val="24"/>
                <w:highlight w:val="none"/>
                <w:lang w:bidi="ar"/>
              </w:rPr>
              <w:t>5</w:t>
            </w:r>
          </w:p>
          <w:p w14:paraId="3AF5E6B7">
            <w:pPr>
              <w:pStyle w:val="18"/>
              <w:ind w:left="126"/>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F874572">
            <w:pPr>
              <w:rPr>
                <w:rFonts w:ascii="Arial" w:hAnsi="Calibri"/>
                <w:color w:val="auto"/>
                <w:szCs w:val="21"/>
                <w:highlight w:val="none"/>
              </w:rPr>
            </w:pP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47536CA5">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076FF43">
            <w:pPr>
              <w:rPr>
                <w:rFonts w:ascii="Arial" w:hAnsi="Calibri"/>
                <w:color w:val="auto"/>
                <w:szCs w:val="21"/>
                <w:highlight w:val="none"/>
              </w:rPr>
            </w:pPr>
          </w:p>
        </w:tc>
      </w:tr>
      <w:tr w14:paraId="5BF2B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7C5742A5">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B023516">
            <w:pPr>
              <w:pStyle w:val="18"/>
              <w:spacing w:before="250"/>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3.5</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监</w:t>
            </w:r>
          </w:p>
          <w:p w14:paraId="5058058F">
            <w:pPr>
              <w:pStyle w:val="18"/>
              <w:spacing w:before="19"/>
              <w:ind w:left="174"/>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护人履</w:t>
            </w:r>
          </w:p>
          <w:p w14:paraId="5A23D73C">
            <w:pPr>
              <w:pStyle w:val="18"/>
              <w:spacing w:before="30"/>
              <w:ind w:left="414"/>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822A636">
            <w:pPr>
              <w:pStyle w:val="18"/>
              <w:spacing w:before="94"/>
              <w:ind w:left="126" w:right="202" w:firstLine="8"/>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高风险作业按要求设置</w:t>
            </w:r>
            <w:r>
              <w:rPr>
                <w:rFonts w:hint="eastAsia" w:ascii="仿宋" w:hAnsi="仿宋" w:eastAsia="仿宋" w:cs="仿宋"/>
                <w:color w:val="auto"/>
                <w:spacing w:val="-78"/>
                <w:kern w:val="0"/>
                <w:szCs w:val="24"/>
                <w:highlight w:val="none"/>
                <w:lang w:bidi="ar"/>
              </w:rPr>
              <w:t xml:space="preserve"> </w:t>
            </w:r>
            <w:r>
              <w:rPr>
                <w:rFonts w:hint="eastAsia" w:ascii="仿宋" w:hAnsi="仿宋" w:eastAsia="仿宋" w:cs="仿宋"/>
                <w:color w:val="auto"/>
                <w:spacing w:val="-6"/>
                <w:kern w:val="0"/>
                <w:szCs w:val="24"/>
                <w:highlight w:val="none"/>
                <w:lang w:bidi="ar"/>
              </w:rPr>
              <w:t>“双监护”</w:t>
            </w:r>
            <w:r>
              <w:rPr>
                <w:rFonts w:hint="eastAsia" w:ascii="仿宋" w:hAnsi="仿宋" w:eastAsia="仿宋" w:cs="仿宋"/>
                <w:color w:val="auto"/>
                <w:spacing w:val="-87"/>
                <w:kern w:val="0"/>
                <w:szCs w:val="24"/>
                <w:highlight w:val="none"/>
                <w:lang w:bidi="ar"/>
              </w:rPr>
              <w:t xml:space="preserve"> </w:t>
            </w:r>
            <w:r>
              <w:rPr>
                <w:rFonts w:hint="eastAsia" w:ascii="仿宋" w:hAnsi="仿宋" w:eastAsia="仿宋" w:cs="仿宋"/>
                <w:color w:val="auto"/>
                <w:spacing w:val="-6"/>
                <w:kern w:val="0"/>
                <w:szCs w:val="24"/>
                <w:highlight w:val="none"/>
                <w:lang w:bidi="ar"/>
              </w:rPr>
              <w:t>，</w:t>
            </w:r>
            <w:r>
              <w:rPr>
                <w:rFonts w:hint="eastAsia" w:ascii="仿宋" w:hAnsi="仿宋" w:eastAsia="仿宋" w:cs="仿宋"/>
                <w:color w:val="auto"/>
                <w:spacing w:val="-1"/>
                <w:kern w:val="0"/>
                <w:szCs w:val="24"/>
                <w:highlight w:val="none"/>
                <w:lang w:bidi="ar"/>
              </w:rPr>
              <w:t>中风险作业由发包方专人监护，监护</w:t>
            </w:r>
            <w:r>
              <w:rPr>
                <w:rFonts w:hint="eastAsia" w:ascii="仿宋" w:hAnsi="仿宋" w:eastAsia="仿宋" w:cs="仿宋"/>
                <w:color w:val="auto"/>
                <w:spacing w:val="-3"/>
                <w:kern w:val="0"/>
                <w:szCs w:val="24"/>
                <w:highlight w:val="none"/>
                <w:lang w:bidi="ar"/>
              </w:rPr>
              <w:t>人持证并在岗履职。一处不符合扣</w:t>
            </w:r>
            <w:r>
              <w:rPr>
                <w:rFonts w:hint="eastAsia" w:ascii="仿宋" w:hAnsi="仿宋" w:eastAsia="仿宋" w:cs="仿宋"/>
                <w:color w:val="auto"/>
                <w:spacing w:val="-25"/>
                <w:kern w:val="0"/>
                <w:szCs w:val="24"/>
                <w:highlight w:val="none"/>
                <w:lang w:bidi="ar"/>
              </w:rPr>
              <w:t xml:space="preserve"> </w:t>
            </w:r>
            <w:r>
              <w:rPr>
                <w:rFonts w:hint="eastAsia" w:ascii="仿宋" w:hAnsi="仿宋" w:eastAsia="仿宋" w:cs="仿宋"/>
                <w:color w:val="auto"/>
                <w:spacing w:val="-3"/>
                <w:kern w:val="0"/>
                <w:szCs w:val="24"/>
                <w:highlight w:val="none"/>
                <w:lang w:bidi="ar"/>
              </w:rPr>
              <w:t>3</w:t>
            </w:r>
            <w:r>
              <w:rPr>
                <w:rFonts w:hint="eastAsia" w:ascii="仿宋" w:hAnsi="仿宋" w:eastAsia="仿宋" w:cs="仿宋"/>
                <w:color w:val="auto"/>
                <w:spacing w:val="-2"/>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02C92C2">
            <w:pPr>
              <w:rPr>
                <w:rFonts w:ascii="Arial" w:hAnsi="Calibri"/>
                <w:color w:val="auto"/>
                <w:szCs w:val="21"/>
                <w:highlight w:val="none"/>
              </w:rPr>
            </w:pPr>
          </w:p>
          <w:p w14:paraId="2B7DB399">
            <w:pPr>
              <w:rPr>
                <w:rFonts w:ascii="Arial" w:hAnsi="Calibri"/>
                <w:color w:val="auto"/>
                <w:szCs w:val="21"/>
                <w:highlight w:val="none"/>
              </w:rPr>
            </w:pPr>
          </w:p>
          <w:p w14:paraId="50624025">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4E89E17B">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C560A6B">
            <w:pPr>
              <w:rPr>
                <w:rFonts w:ascii="Arial" w:hAnsi="Calibri"/>
                <w:color w:val="auto"/>
                <w:szCs w:val="21"/>
                <w:highlight w:val="none"/>
              </w:rPr>
            </w:pPr>
          </w:p>
        </w:tc>
      </w:tr>
      <w:tr w14:paraId="0F90A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shd w:val="clear" w:color="auto" w:fill="auto"/>
          </w:tcPr>
          <w:p w14:paraId="3909F14B">
            <w:pPr>
              <w:spacing w:line="256" w:lineRule="auto"/>
              <w:rPr>
                <w:rFonts w:ascii="Arial" w:hAnsi="Calibri"/>
                <w:color w:val="auto"/>
                <w:szCs w:val="21"/>
                <w:highlight w:val="none"/>
              </w:rPr>
            </w:pPr>
          </w:p>
          <w:p w14:paraId="25DFB4F5">
            <w:pPr>
              <w:spacing w:line="256" w:lineRule="auto"/>
              <w:rPr>
                <w:rFonts w:ascii="Arial" w:hAnsi="Calibri"/>
                <w:color w:val="auto"/>
                <w:szCs w:val="21"/>
                <w:highlight w:val="none"/>
              </w:rPr>
            </w:pPr>
          </w:p>
          <w:p w14:paraId="7089338E">
            <w:pPr>
              <w:spacing w:line="256" w:lineRule="auto"/>
              <w:rPr>
                <w:rFonts w:ascii="Arial" w:hAnsi="Calibri"/>
                <w:color w:val="auto"/>
                <w:szCs w:val="21"/>
                <w:highlight w:val="none"/>
              </w:rPr>
            </w:pPr>
          </w:p>
          <w:p w14:paraId="66362B22">
            <w:pPr>
              <w:spacing w:line="256" w:lineRule="auto"/>
              <w:rPr>
                <w:rFonts w:ascii="Arial" w:hAnsi="Calibri"/>
                <w:color w:val="auto"/>
                <w:szCs w:val="21"/>
                <w:highlight w:val="none"/>
              </w:rPr>
            </w:pPr>
          </w:p>
          <w:p w14:paraId="432E3FAF">
            <w:pPr>
              <w:spacing w:line="256" w:lineRule="auto"/>
              <w:rPr>
                <w:rFonts w:ascii="Arial" w:hAnsi="Calibri"/>
                <w:color w:val="auto"/>
                <w:szCs w:val="21"/>
                <w:highlight w:val="none"/>
              </w:rPr>
            </w:pPr>
          </w:p>
          <w:p w14:paraId="19CB47C4">
            <w:pPr>
              <w:spacing w:line="256" w:lineRule="auto"/>
              <w:rPr>
                <w:rFonts w:ascii="Arial" w:hAnsi="Calibri"/>
                <w:color w:val="auto"/>
                <w:szCs w:val="21"/>
                <w:highlight w:val="none"/>
              </w:rPr>
            </w:pPr>
          </w:p>
          <w:p w14:paraId="142626EF">
            <w:pPr>
              <w:spacing w:line="256" w:lineRule="auto"/>
              <w:rPr>
                <w:rFonts w:ascii="Arial" w:hAnsi="Calibri"/>
                <w:color w:val="auto"/>
                <w:szCs w:val="21"/>
                <w:highlight w:val="none"/>
              </w:rPr>
            </w:pPr>
          </w:p>
          <w:p w14:paraId="26479027">
            <w:pPr>
              <w:spacing w:line="256" w:lineRule="auto"/>
              <w:rPr>
                <w:rFonts w:ascii="Arial" w:hAnsi="Calibri"/>
                <w:color w:val="auto"/>
                <w:szCs w:val="21"/>
                <w:highlight w:val="none"/>
              </w:rPr>
            </w:pPr>
          </w:p>
          <w:p w14:paraId="15070C23">
            <w:pPr>
              <w:spacing w:line="256" w:lineRule="auto"/>
              <w:rPr>
                <w:rFonts w:ascii="Arial" w:hAnsi="Calibri"/>
                <w:color w:val="auto"/>
                <w:szCs w:val="21"/>
                <w:highlight w:val="none"/>
              </w:rPr>
            </w:pPr>
          </w:p>
          <w:p w14:paraId="19A139FF">
            <w:pPr>
              <w:spacing w:line="256" w:lineRule="auto"/>
              <w:rPr>
                <w:rFonts w:ascii="Arial" w:hAnsi="Calibri"/>
                <w:color w:val="auto"/>
                <w:szCs w:val="21"/>
                <w:highlight w:val="none"/>
              </w:rPr>
            </w:pPr>
          </w:p>
          <w:p w14:paraId="1059C5D8">
            <w:pPr>
              <w:spacing w:line="256" w:lineRule="auto"/>
              <w:rPr>
                <w:rFonts w:ascii="Arial" w:hAnsi="Calibri"/>
                <w:color w:val="auto"/>
                <w:szCs w:val="21"/>
                <w:highlight w:val="none"/>
              </w:rPr>
            </w:pPr>
          </w:p>
          <w:p w14:paraId="32522BED">
            <w:pPr>
              <w:pStyle w:val="18"/>
              <w:spacing w:before="78"/>
              <w:ind w:left="154" w:right="147" w:firstLine="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4.安</w:t>
            </w:r>
            <w:r>
              <w:rPr>
                <w:rFonts w:hint="eastAsia" w:ascii="仿宋" w:hAnsi="仿宋" w:eastAsia="仿宋" w:cs="仿宋"/>
                <w:color w:val="auto"/>
                <w:spacing w:val="-5"/>
                <w:kern w:val="0"/>
                <w:szCs w:val="24"/>
                <w:highlight w:val="none"/>
                <w:lang w:bidi="ar"/>
              </w:rPr>
              <w:t>全绩效与改进</w:t>
            </w:r>
            <w:r>
              <w:rPr>
                <w:rFonts w:hint="eastAsia" w:ascii="仿宋" w:hAnsi="仿宋" w:eastAsia="仿宋" w:cs="仿宋"/>
                <w:color w:val="auto"/>
                <w:spacing w:val="17"/>
                <w:kern w:val="0"/>
                <w:szCs w:val="24"/>
                <w:highlight w:val="none"/>
                <w:lang w:bidi="ar"/>
              </w:rPr>
              <w:t>(30</w:t>
            </w:r>
            <w:r>
              <w:rPr>
                <w:rFonts w:hint="eastAsia" w:ascii="仿宋" w:hAnsi="仿宋" w:eastAsia="仿宋" w:cs="仿宋"/>
                <w:color w:val="auto"/>
                <w:spacing w:val="25"/>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7019027">
            <w:pPr>
              <w:pStyle w:val="18"/>
              <w:spacing w:before="252"/>
              <w:ind w:left="200"/>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4.1</w:t>
            </w:r>
            <w:r>
              <w:rPr>
                <w:rFonts w:hint="eastAsia" w:ascii="仿宋" w:hAnsi="仿宋" w:eastAsia="仿宋" w:cs="仿宋"/>
                <w:color w:val="auto"/>
                <w:spacing w:val="-44"/>
                <w:kern w:val="0"/>
                <w:szCs w:val="24"/>
                <w:highlight w:val="none"/>
                <w:lang w:bidi="ar"/>
              </w:rPr>
              <w:t xml:space="preserve"> </w:t>
            </w:r>
            <w:r>
              <w:rPr>
                <w:rFonts w:hint="eastAsia" w:ascii="仿宋" w:hAnsi="仿宋" w:eastAsia="仿宋" w:cs="仿宋"/>
                <w:color w:val="auto"/>
                <w:spacing w:val="-5"/>
                <w:kern w:val="0"/>
                <w:szCs w:val="24"/>
                <w:highlight w:val="none"/>
                <w:lang w:bidi="ar"/>
              </w:rPr>
              <w:t>安</w:t>
            </w:r>
          </w:p>
          <w:p w14:paraId="1F9CD5A9">
            <w:pPr>
              <w:pStyle w:val="18"/>
              <w:spacing w:before="27"/>
              <w:ind w:left="162"/>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全事故</w:t>
            </w:r>
          </w:p>
          <w:p w14:paraId="2F63BFDD">
            <w:pPr>
              <w:pStyle w:val="18"/>
              <w:spacing w:before="28"/>
              <w:ind w:left="293"/>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情况</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D495BE3">
            <w:pPr>
              <w:pStyle w:val="18"/>
              <w:spacing w:before="94"/>
              <w:ind w:left="131" w:right="116" w:hanging="7"/>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评价期内未发生生产安全责任事故得</w:t>
            </w:r>
            <w:r>
              <w:rPr>
                <w:rFonts w:hint="eastAsia" w:ascii="仿宋" w:hAnsi="仿宋" w:eastAsia="仿宋" w:cs="仿宋"/>
                <w:color w:val="auto"/>
                <w:spacing w:val="-2"/>
                <w:kern w:val="0"/>
                <w:szCs w:val="24"/>
                <w:highlight w:val="none"/>
                <w:lang w:bidi="ar"/>
              </w:rPr>
              <w:t>10</w:t>
            </w:r>
            <w:r>
              <w:rPr>
                <w:rFonts w:hint="eastAsia" w:ascii="仿宋" w:hAnsi="仿宋" w:eastAsia="仿宋" w:cs="仿宋"/>
                <w:color w:val="auto"/>
                <w:spacing w:val="-44"/>
                <w:kern w:val="0"/>
                <w:szCs w:val="24"/>
                <w:highlight w:val="none"/>
                <w:lang w:bidi="ar"/>
              </w:rPr>
              <w:t xml:space="preserve"> </w:t>
            </w:r>
            <w:r>
              <w:rPr>
                <w:rFonts w:hint="eastAsia" w:ascii="仿宋" w:hAnsi="仿宋" w:eastAsia="仿宋" w:cs="仿宋"/>
                <w:color w:val="auto"/>
                <w:spacing w:val="-2"/>
                <w:kern w:val="0"/>
                <w:szCs w:val="24"/>
                <w:highlight w:val="none"/>
                <w:lang w:bidi="ar"/>
              </w:rPr>
              <w:t>分。发生生产安全责任事故，视严</w:t>
            </w:r>
            <w:r>
              <w:rPr>
                <w:rFonts w:hint="eastAsia" w:ascii="仿宋" w:hAnsi="仿宋" w:eastAsia="仿宋" w:cs="仿宋"/>
                <w:color w:val="auto"/>
                <w:spacing w:val="-5"/>
                <w:kern w:val="0"/>
                <w:szCs w:val="24"/>
                <w:highlight w:val="none"/>
                <w:lang w:bidi="ar"/>
              </w:rPr>
              <w:t>重程度扣</w:t>
            </w:r>
            <w:r>
              <w:rPr>
                <w:rFonts w:hint="eastAsia" w:ascii="仿宋" w:hAnsi="仿宋" w:eastAsia="仿宋" w:cs="仿宋"/>
                <w:color w:val="auto"/>
                <w:spacing w:val="-33"/>
                <w:kern w:val="0"/>
                <w:szCs w:val="24"/>
                <w:highlight w:val="none"/>
                <w:lang w:bidi="ar"/>
              </w:rPr>
              <w:t xml:space="preserve"> </w:t>
            </w:r>
            <w:r>
              <w:rPr>
                <w:rFonts w:hint="eastAsia" w:ascii="仿宋" w:hAnsi="仿宋" w:eastAsia="仿宋" w:cs="仿宋"/>
                <w:color w:val="auto"/>
                <w:spacing w:val="-5"/>
                <w:kern w:val="0"/>
                <w:szCs w:val="24"/>
                <w:highlight w:val="none"/>
                <w:lang w:bidi="ar"/>
              </w:rPr>
              <w:t>5-10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分；存在瞒报、谎报行</w:t>
            </w:r>
            <w:r>
              <w:rPr>
                <w:rFonts w:hint="eastAsia" w:ascii="仿宋" w:hAnsi="仿宋" w:eastAsia="仿宋" w:cs="仿宋"/>
                <w:color w:val="auto"/>
                <w:spacing w:val="-3"/>
                <w:kern w:val="0"/>
                <w:szCs w:val="24"/>
                <w:highlight w:val="none"/>
                <w:lang w:bidi="ar"/>
              </w:rPr>
              <w:t>为，本项不得分。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555F36E3">
            <w:pPr>
              <w:rPr>
                <w:rFonts w:ascii="Arial" w:hAnsi="Calibri"/>
                <w:color w:val="auto"/>
                <w:szCs w:val="21"/>
                <w:highlight w:val="none"/>
              </w:rPr>
            </w:pPr>
          </w:p>
          <w:p w14:paraId="5A8D785A">
            <w:pPr>
              <w:rPr>
                <w:rFonts w:ascii="Arial" w:hAnsi="Calibri"/>
                <w:color w:val="auto"/>
                <w:szCs w:val="21"/>
                <w:highlight w:val="none"/>
              </w:rPr>
            </w:pPr>
          </w:p>
          <w:p w14:paraId="5F12B768">
            <w:pPr>
              <w:pStyle w:val="18"/>
              <w:spacing w:before="78"/>
              <w:ind w:left="239"/>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10</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0B3E147D">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669371D0">
            <w:pPr>
              <w:rPr>
                <w:rFonts w:ascii="Arial" w:hAnsi="Calibri"/>
                <w:color w:val="auto"/>
                <w:szCs w:val="21"/>
                <w:highlight w:val="none"/>
              </w:rPr>
            </w:pPr>
          </w:p>
        </w:tc>
      </w:tr>
      <w:tr w14:paraId="088D7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shd w:val="clear" w:color="auto" w:fill="auto"/>
          </w:tcPr>
          <w:p w14:paraId="2EC3F9B5">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7CA22DE">
            <w:pPr>
              <w:pStyle w:val="18"/>
              <w:spacing w:before="98"/>
              <w:ind w:left="180" w:right="40" w:hanging="47"/>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4.2“吹</w:t>
            </w:r>
            <w:r>
              <w:rPr>
                <w:rFonts w:hint="eastAsia" w:ascii="仿宋" w:hAnsi="仿宋" w:eastAsia="仿宋" w:cs="仿宋"/>
                <w:color w:val="auto"/>
                <w:spacing w:val="29"/>
                <w:kern w:val="0"/>
                <w:szCs w:val="24"/>
                <w:highlight w:val="none"/>
                <w:lang w:bidi="ar"/>
              </w:rPr>
              <w:t>哨人”</w:t>
            </w:r>
          </w:p>
          <w:p w14:paraId="65015EE8">
            <w:pPr>
              <w:pStyle w:val="18"/>
              <w:spacing w:before="2"/>
              <w:ind w:left="403" w:right="155" w:hanging="232"/>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制度执</w:t>
            </w:r>
            <w:r>
              <w:rPr>
                <w:rFonts w:hint="eastAsia" w:ascii="仿宋" w:hAnsi="仿宋" w:eastAsia="仿宋" w:cs="仿宋"/>
                <w:color w:val="auto"/>
                <w:kern w:val="0"/>
                <w:szCs w:val="24"/>
                <w:highlight w:val="none"/>
                <w:lang w:bidi="ar"/>
              </w:rPr>
              <w:t>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119E21D">
            <w:pPr>
              <w:pStyle w:val="18"/>
              <w:spacing w:before="100"/>
              <w:ind w:left="120" w:right="202" w:firstLine="1"/>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建立并有效执行</w:t>
            </w:r>
            <w:r>
              <w:rPr>
                <w:rFonts w:hint="eastAsia" w:ascii="仿宋" w:hAnsi="仿宋" w:eastAsia="仿宋" w:cs="仿宋"/>
                <w:color w:val="auto"/>
                <w:spacing w:val="-81"/>
                <w:kern w:val="0"/>
                <w:szCs w:val="24"/>
                <w:highlight w:val="none"/>
                <w:lang w:bidi="ar"/>
              </w:rPr>
              <w:t xml:space="preserve"> </w:t>
            </w:r>
            <w:r>
              <w:rPr>
                <w:rFonts w:hint="eastAsia" w:ascii="仿宋" w:hAnsi="仿宋" w:eastAsia="仿宋" w:cs="仿宋"/>
                <w:color w:val="auto"/>
                <w:spacing w:val="-3"/>
                <w:kern w:val="0"/>
                <w:szCs w:val="24"/>
                <w:highlight w:val="none"/>
                <w:lang w:bidi="ar"/>
              </w:rPr>
              <w:t>“吹哨人”及隐患内</w:t>
            </w:r>
            <w:r>
              <w:rPr>
                <w:rFonts w:hint="eastAsia" w:ascii="仿宋" w:hAnsi="仿宋" w:eastAsia="仿宋" w:cs="仿宋"/>
                <w:color w:val="auto"/>
                <w:spacing w:val="-1"/>
                <w:kern w:val="0"/>
                <w:szCs w:val="24"/>
                <w:highlight w:val="none"/>
                <w:lang w:bidi="ar"/>
              </w:rPr>
              <w:t>部报告制度，奖励标准明确、落实到位，有完整台账记录。制度未建立不</w:t>
            </w:r>
            <w:r>
              <w:rPr>
                <w:rFonts w:hint="eastAsia" w:ascii="仿宋" w:hAnsi="仿宋" w:eastAsia="仿宋" w:cs="仿宋"/>
                <w:color w:val="auto"/>
                <w:spacing w:val="-4"/>
                <w:kern w:val="0"/>
                <w:szCs w:val="24"/>
                <w:highlight w:val="none"/>
                <w:lang w:bidi="ar"/>
              </w:rPr>
              <w:t>得分；执行不到位扣</w:t>
            </w:r>
            <w:r>
              <w:rPr>
                <w:rFonts w:hint="eastAsia" w:ascii="仿宋" w:hAnsi="仿宋" w:eastAsia="仿宋" w:cs="仿宋"/>
                <w:color w:val="auto"/>
                <w:spacing w:val="-22"/>
                <w:kern w:val="0"/>
                <w:szCs w:val="24"/>
                <w:highlight w:val="none"/>
                <w:lang w:bidi="ar"/>
              </w:rPr>
              <w:t xml:space="preserve"> </w:t>
            </w:r>
            <w:r>
              <w:rPr>
                <w:rFonts w:hint="eastAsia" w:ascii="仿宋" w:hAnsi="仿宋" w:eastAsia="仿宋" w:cs="仿宋"/>
                <w:color w:val="auto"/>
                <w:spacing w:val="-4"/>
                <w:kern w:val="0"/>
                <w:szCs w:val="24"/>
                <w:highlight w:val="none"/>
                <w:lang w:bidi="ar"/>
              </w:rPr>
              <w:t>3-5</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A5A1279">
            <w:pPr>
              <w:rPr>
                <w:rFonts w:ascii="Arial" w:hAnsi="Calibri"/>
                <w:color w:val="auto"/>
                <w:szCs w:val="21"/>
                <w:highlight w:val="none"/>
              </w:rPr>
            </w:pPr>
          </w:p>
          <w:p w14:paraId="16830759">
            <w:pPr>
              <w:spacing w:line="242" w:lineRule="auto"/>
              <w:rPr>
                <w:rFonts w:ascii="Arial" w:hAnsi="Calibri"/>
                <w:color w:val="auto"/>
                <w:szCs w:val="21"/>
                <w:highlight w:val="none"/>
              </w:rPr>
            </w:pPr>
          </w:p>
          <w:p w14:paraId="6EBDCF33">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7529D728">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6712218E">
            <w:pPr>
              <w:rPr>
                <w:rFonts w:ascii="Arial" w:hAnsi="Calibri"/>
                <w:color w:val="auto"/>
                <w:szCs w:val="21"/>
                <w:highlight w:val="none"/>
              </w:rPr>
            </w:pPr>
          </w:p>
        </w:tc>
      </w:tr>
      <w:tr w14:paraId="421F7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shd w:val="clear" w:color="auto" w:fill="auto"/>
          </w:tcPr>
          <w:p w14:paraId="7BDF475C">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37D7528">
            <w:pPr>
              <w:pStyle w:val="18"/>
              <w:spacing w:before="252"/>
              <w:ind w:left="200"/>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4.3</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5"/>
                <w:kern w:val="0"/>
                <w:szCs w:val="24"/>
                <w:highlight w:val="none"/>
                <w:lang w:bidi="ar"/>
              </w:rPr>
              <w:t>隐</w:t>
            </w:r>
          </w:p>
          <w:p w14:paraId="35F3E627">
            <w:pPr>
              <w:pStyle w:val="18"/>
              <w:spacing w:before="27"/>
              <w:ind w:left="177"/>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患整改</w:t>
            </w:r>
          </w:p>
          <w:p w14:paraId="04610578">
            <w:pPr>
              <w:pStyle w:val="18"/>
              <w:spacing w:before="29"/>
              <w:ind w:left="307"/>
              <w:rPr>
                <w:rFonts w:ascii="仿宋" w:hAnsi="仿宋" w:eastAsia="仿宋" w:cs="仿宋"/>
                <w:color w:val="auto"/>
                <w:szCs w:val="24"/>
                <w:highlight w:val="none"/>
              </w:rPr>
            </w:pPr>
            <w:r>
              <w:rPr>
                <w:rFonts w:hint="eastAsia" w:ascii="仿宋" w:hAnsi="仿宋" w:eastAsia="仿宋" w:cs="仿宋"/>
                <w:color w:val="auto"/>
                <w:spacing w:val="-17"/>
                <w:kern w:val="0"/>
                <w:szCs w:val="24"/>
                <w:highlight w:val="none"/>
                <w:lang w:bidi="ar"/>
              </w:rPr>
              <w:t>闭环</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29193C1">
            <w:pPr>
              <w:pStyle w:val="18"/>
              <w:spacing w:before="95"/>
              <w:ind w:left="118" w:right="202" w:firstLine="1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对发包方及自查隐患整改响应及时，</w:t>
            </w:r>
            <w:r>
              <w:rPr>
                <w:rFonts w:hint="eastAsia" w:ascii="仿宋" w:hAnsi="仿宋" w:eastAsia="仿宋" w:cs="仿宋"/>
                <w:color w:val="auto"/>
                <w:spacing w:val="-5"/>
                <w:kern w:val="0"/>
                <w:szCs w:val="24"/>
                <w:highlight w:val="none"/>
                <w:lang w:bidi="ar"/>
              </w:rPr>
              <w:t>形成</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5"/>
                <w:kern w:val="0"/>
                <w:szCs w:val="24"/>
                <w:highlight w:val="none"/>
                <w:lang w:bidi="ar"/>
              </w:rPr>
              <w:t>“发现-整改-验证”</w:t>
            </w:r>
            <w:r>
              <w:rPr>
                <w:rFonts w:hint="eastAsia" w:ascii="仿宋" w:hAnsi="仿宋" w:eastAsia="仿宋" w:cs="仿宋"/>
                <w:color w:val="auto"/>
                <w:spacing w:val="-87"/>
                <w:kern w:val="0"/>
                <w:szCs w:val="24"/>
                <w:highlight w:val="none"/>
                <w:lang w:bidi="ar"/>
              </w:rPr>
              <w:t xml:space="preserve"> </w:t>
            </w:r>
            <w:r>
              <w:rPr>
                <w:rFonts w:hint="eastAsia" w:ascii="仿宋" w:hAnsi="仿宋" w:eastAsia="仿宋" w:cs="仿宋"/>
                <w:color w:val="auto"/>
                <w:spacing w:val="-5"/>
                <w:kern w:val="0"/>
                <w:szCs w:val="24"/>
                <w:highlight w:val="none"/>
                <w:lang w:bidi="ar"/>
              </w:rPr>
              <w:t>闭环。一项</w:t>
            </w:r>
            <w:r>
              <w:rPr>
                <w:rFonts w:hint="eastAsia" w:ascii="仿宋" w:hAnsi="仿宋" w:eastAsia="仿宋" w:cs="仿宋"/>
                <w:color w:val="auto"/>
                <w:spacing w:val="-3"/>
                <w:kern w:val="0"/>
                <w:szCs w:val="24"/>
                <w:highlight w:val="none"/>
                <w:lang w:bidi="ar"/>
              </w:rPr>
              <w:t>未闭环扣</w:t>
            </w:r>
            <w:r>
              <w:rPr>
                <w:rFonts w:hint="eastAsia" w:ascii="仿宋" w:hAnsi="仿宋" w:eastAsia="仿宋" w:cs="仿宋"/>
                <w:color w:val="auto"/>
                <w:spacing w:val="-28"/>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3"/>
                <w:kern w:val="0"/>
                <w:szCs w:val="24"/>
                <w:highlight w:val="none"/>
                <w:lang w:bidi="ar"/>
              </w:rPr>
              <w:t>分；重复出现同类隐患加</w:t>
            </w:r>
            <w:r>
              <w:rPr>
                <w:rFonts w:hint="eastAsia" w:ascii="仿宋" w:hAnsi="仿宋" w:eastAsia="仿宋" w:cs="仿宋"/>
                <w:color w:val="auto"/>
                <w:spacing w:val="-1"/>
                <w:kern w:val="0"/>
                <w:szCs w:val="24"/>
                <w:highlight w:val="none"/>
                <w:lang w:bidi="ar"/>
              </w:rPr>
              <w:t>倍扣分。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C742444">
            <w:pPr>
              <w:rPr>
                <w:rFonts w:ascii="Arial" w:hAnsi="Calibri"/>
                <w:color w:val="auto"/>
                <w:szCs w:val="21"/>
                <w:highlight w:val="none"/>
              </w:rPr>
            </w:pPr>
          </w:p>
          <w:p w14:paraId="5BED872A">
            <w:pPr>
              <w:rPr>
                <w:rFonts w:ascii="Arial" w:hAnsi="Calibri"/>
                <w:color w:val="auto"/>
                <w:szCs w:val="21"/>
                <w:highlight w:val="none"/>
              </w:rPr>
            </w:pPr>
          </w:p>
          <w:p w14:paraId="1B4162C0">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14F67344">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7DF4454">
            <w:pPr>
              <w:rPr>
                <w:rFonts w:ascii="Arial" w:hAnsi="Calibri"/>
                <w:color w:val="auto"/>
                <w:szCs w:val="21"/>
                <w:highlight w:val="none"/>
              </w:rPr>
            </w:pPr>
          </w:p>
        </w:tc>
      </w:tr>
      <w:tr w14:paraId="74D35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1" w:hRule="atLeast"/>
        </w:trPr>
        <w:tc>
          <w:tcPr>
            <w:tcW w:w="779" w:type="dxa"/>
            <w:vMerge w:val="continue"/>
            <w:tcBorders>
              <w:top w:val="nil"/>
              <w:left w:val="single" w:color="000000" w:sz="2" w:space="0"/>
              <w:bottom w:val="nil"/>
              <w:right w:val="single" w:color="000000" w:sz="2" w:space="0"/>
            </w:tcBorders>
            <w:shd w:val="clear" w:color="auto" w:fill="auto"/>
          </w:tcPr>
          <w:p w14:paraId="3CED019B">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A4B7A81">
            <w:pPr>
              <w:spacing w:line="242" w:lineRule="auto"/>
              <w:rPr>
                <w:rFonts w:ascii="Arial" w:hAnsi="Calibri"/>
                <w:color w:val="auto"/>
                <w:szCs w:val="21"/>
                <w:highlight w:val="none"/>
              </w:rPr>
            </w:pPr>
          </w:p>
          <w:p w14:paraId="71321C27">
            <w:pPr>
              <w:spacing w:line="242" w:lineRule="auto"/>
              <w:rPr>
                <w:rFonts w:ascii="Arial" w:hAnsi="Calibri"/>
                <w:color w:val="auto"/>
                <w:szCs w:val="21"/>
                <w:highlight w:val="none"/>
              </w:rPr>
            </w:pPr>
          </w:p>
          <w:p w14:paraId="77E7DB69">
            <w:pPr>
              <w:pStyle w:val="18"/>
              <w:spacing w:before="78"/>
              <w:ind w:left="171" w:right="155" w:firstLine="29"/>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4.4</w:t>
            </w:r>
            <w:r>
              <w:rPr>
                <w:rFonts w:hint="eastAsia" w:ascii="仿宋" w:hAnsi="仿宋" w:eastAsia="仿宋" w:cs="仿宋"/>
                <w:color w:val="auto"/>
                <w:spacing w:val="-43"/>
                <w:kern w:val="0"/>
                <w:szCs w:val="24"/>
                <w:highlight w:val="none"/>
                <w:lang w:bidi="ar"/>
              </w:rPr>
              <w:t xml:space="preserve"> </w:t>
            </w:r>
            <w:r>
              <w:rPr>
                <w:rFonts w:hint="eastAsia" w:ascii="仿宋" w:hAnsi="仿宋" w:eastAsia="仿宋" w:cs="仿宋"/>
                <w:color w:val="auto"/>
                <w:spacing w:val="-9"/>
                <w:kern w:val="0"/>
                <w:szCs w:val="24"/>
                <w:highlight w:val="none"/>
                <w:lang w:bidi="ar"/>
              </w:rPr>
              <w:t>事</w:t>
            </w:r>
            <w:r>
              <w:rPr>
                <w:rFonts w:hint="eastAsia" w:ascii="仿宋" w:hAnsi="仿宋" w:eastAsia="仿宋" w:cs="仿宋"/>
                <w:color w:val="auto"/>
                <w:spacing w:val="-6"/>
                <w:kern w:val="0"/>
                <w:szCs w:val="24"/>
                <w:highlight w:val="none"/>
                <w:lang w:bidi="ar"/>
              </w:rPr>
              <w:t>故事件</w:t>
            </w:r>
            <w:r>
              <w:rPr>
                <w:rFonts w:hint="eastAsia" w:ascii="仿宋" w:hAnsi="仿宋" w:eastAsia="仿宋" w:cs="仿宋"/>
                <w:color w:val="auto"/>
                <w:spacing w:val="51"/>
                <w:kern w:val="0"/>
                <w:szCs w:val="24"/>
                <w:highlight w:val="none"/>
                <w:lang w:bidi="ar"/>
              </w:rPr>
              <w:t>管理</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DD6F875">
            <w:pPr>
              <w:pStyle w:val="18"/>
              <w:spacing w:before="94"/>
              <w:ind w:left="124" w:right="4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按规定报告事故事件，严格执行</w:t>
            </w:r>
            <w:r>
              <w:rPr>
                <w:rFonts w:hint="eastAsia" w:ascii="仿宋" w:hAnsi="仿宋" w:eastAsia="仿宋" w:cs="仿宋"/>
                <w:color w:val="auto"/>
                <w:spacing w:val="-73"/>
                <w:kern w:val="0"/>
                <w:szCs w:val="24"/>
                <w:highlight w:val="none"/>
                <w:lang w:bidi="ar"/>
              </w:rPr>
              <w:t xml:space="preserve"> </w:t>
            </w:r>
            <w:r>
              <w:rPr>
                <w:rFonts w:hint="eastAsia" w:ascii="仿宋" w:hAnsi="仿宋" w:eastAsia="仿宋" w:cs="仿宋"/>
                <w:color w:val="auto"/>
                <w:spacing w:val="-6"/>
                <w:kern w:val="0"/>
                <w:szCs w:val="24"/>
                <w:highlight w:val="none"/>
                <w:lang w:bidi="ar"/>
              </w:rPr>
              <w:t>“</w:t>
            </w:r>
            <w:r>
              <w:rPr>
                <w:rFonts w:hint="eastAsia" w:ascii="仿宋" w:hAnsi="仿宋" w:eastAsia="仿宋" w:cs="仿宋"/>
                <w:color w:val="auto"/>
                <w:spacing w:val="-83"/>
                <w:kern w:val="0"/>
                <w:szCs w:val="24"/>
                <w:highlight w:val="none"/>
                <w:lang w:bidi="ar"/>
              </w:rPr>
              <w:t xml:space="preserve"> </w:t>
            </w:r>
            <w:r>
              <w:rPr>
                <w:rFonts w:hint="eastAsia" w:ascii="仿宋" w:hAnsi="仿宋" w:eastAsia="仿宋" w:cs="仿宋"/>
                <w:color w:val="auto"/>
                <w:spacing w:val="-6"/>
                <w:kern w:val="0"/>
                <w:szCs w:val="24"/>
                <w:highlight w:val="none"/>
                <w:lang w:bidi="ar"/>
              </w:rPr>
              <w:t>四</w:t>
            </w:r>
            <w:r>
              <w:rPr>
                <w:rFonts w:hint="eastAsia" w:ascii="仿宋" w:hAnsi="仿宋" w:eastAsia="仿宋" w:cs="仿宋"/>
                <w:color w:val="auto"/>
                <w:spacing w:val="1"/>
                <w:kern w:val="0"/>
                <w:szCs w:val="24"/>
                <w:highlight w:val="none"/>
                <w:lang w:bidi="ar"/>
              </w:rPr>
              <w:t>不放过”原则（原因未查清不放过、</w:t>
            </w:r>
            <w:r>
              <w:rPr>
                <w:rFonts w:hint="eastAsia" w:ascii="仿宋" w:hAnsi="仿宋" w:eastAsia="仿宋" w:cs="仿宋"/>
                <w:color w:val="auto"/>
                <w:spacing w:val="-1"/>
                <w:kern w:val="0"/>
                <w:szCs w:val="24"/>
                <w:highlight w:val="none"/>
                <w:lang w:bidi="ar"/>
              </w:rPr>
              <w:t>责任人未处理不放过、措施未落实不</w:t>
            </w:r>
            <w:r>
              <w:rPr>
                <w:rFonts w:hint="eastAsia" w:ascii="仿宋" w:hAnsi="仿宋" w:eastAsia="仿宋" w:cs="仿宋"/>
                <w:color w:val="auto"/>
                <w:spacing w:val="-6"/>
                <w:kern w:val="0"/>
                <w:szCs w:val="24"/>
                <w:highlight w:val="none"/>
                <w:lang w:bidi="ar"/>
              </w:rPr>
              <w:t>放过、有关人员未受到教育不放过）。</w:t>
            </w:r>
            <w:r>
              <w:rPr>
                <w:rFonts w:hint="eastAsia" w:ascii="仿宋" w:hAnsi="仿宋" w:eastAsia="仿宋" w:cs="仿宋"/>
                <w:color w:val="auto"/>
                <w:spacing w:val="-1"/>
                <w:kern w:val="0"/>
                <w:szCs w:val="24"/>
                <w:highlight w:val="none"/>
                <w:lang w:bidi="ar"/>
              </w:rPr>
              <w:t>未按规定报告或处理本项不得分；处</w:t>
            </w:r>
            <w:r>
              <w:rPr>
                <w:rFonts w:hint="eastAsia" w:ascii="仿宋" w:hAnsi="仿宋" w:eastAsia="仿宋" w:cs="仿宋"/>
                <w:color w:val="auto"/>
                <w:spacing w:val="-5"/>
                <w:kern w:val="0"/>
                <w:szCs w:val="24"/>
                <w:highlight w:val="none"/>
                <w:lang w:bidi="ar"/>
              </w:rPr>
              <w:t>理不完善扣</w:t>
            </w:r>
            <w:r>
              <w:rPr>
                <w:rFonts w:hint="eastAsia" w:ascii="仿宋" w:hAnsi="仿宋" w:eastAsia="仿宋" w:cs="仿宋"/>
                <w:color w:val="auto"/>
                <w:spacing w:val="-32"/>
                <w:kern w:val="0"/>
                <w:szCs w:val="24"/>
                <w:highlight w:val="none"/>
                <w:lang w:bidi="ar"/>
              </w:rPr>
              <w:t xml:space="preserve"> </w:t>
            </w:r>
            <w:r>
              <w:rPr>
                <w:rFonts w:hint="eastAsia" w:ascii="仿宋" w:hAnsi="仿宋" w:eastAsia="仿宋" w:cs="仿宋"/>
                <w:color w:val="auto"/>
                <w:spacing w:val="-5"/>
                <w:kern w:val="0"/>
                <w:szCs w:val="24"/>
                <w:highlight w:val="none"/>
                <w:lang w:bidi="ar"/>
              </w:rPr>
              <w:t>3-5</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ED92DFD">
            <w:pPr>
              <w:spacing w:line="264" w:lineRule="auto"/>
              <w:rPr>
                <w:rFonts w:ascii="Arial" w:hAnsi="Calibri"/>
                <w:color w:val="auto"/>
                <w:szCs w:val="21"/>
                <w:highlight w:val="none"/>
              </w:rPr>
            </w:pPr>
          </w:p>
          <w:p w14:paraId="30AF4184">
            <w:pPr>
              <w:spacing w:line="264" w:lineRule="auto"/>
              <w:rPr>
                <w:rFonts w:ascii="Arial" w:hAnsi="Calibri"/>
                <w:color w:val="auto"/>
                <w:szCs w:val="21"/>
                <w:highlight w:val="none"/>
              </w:rPr>
            </w:pPr>
          </w:p>
          <w:p w14:paraId="127EC145">
            <w:pPr>
              <w:spacing w:line="264" w:lineRule="auto"/>
              <w:rPr>
                <w:rFonts w:ascii="Arial" w:hAnsi="Calibri"/>
                <w:color w:val="auto"/>
                <w:szCs w:val="21"/>
                <w:highlight w:val="none"/>
              </w:rPr>
            </w:pPr>
          </w:p>
          <w:p w14:paraId="2A1F91A0">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4DCB2305">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33A648C9">
            <w:pPr>
              <w:rPr>
                <w:rFonts w:ascii="Arial" w:hAnsi="Calibri"/>
                <w:color w:val="auto"/>
                <w:szCs w:val="21"/>
                <w:highlight w:val="none"/>
              </w:rPr>
            </w:pPr>
          </w:p>
        </w:tc>
      </w:tr>
      <w:tr w14:paraId="4AC69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9" w:hRule="atLeast"/>
        </w:trPr>
        <w:tc>
          <w:tcPr>
            <w:tcW w:w="779" w:type="dxa"/>
            <w:vMerge w:val="continue"/>
            <w:tcBorders>
              <w:top w:val="nil"/>
              <w:left w:val="single" w:color="000000" w:sz="2" w:space="0"/>
              <w:bottom w:val="nil"/>
              <w:right w:val="single" w:color="000000" w:sz="2" w:space="0"/>
            </w:tcBorders>
            <w:shd w:val="clear" w:color="auto" w:fill="auto"/>
          </w:tcPr>
          <w:p w14:paraId="135A2EA6">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DED8787">
            <w:pPr>
              <w:spacing w:line="328" w:lineRule="auto"/>
              <w:rPr>
                <w:rFonts w:ascii="Arial" w:hAnsi="Calibri"/>
                <w:color w:val="auto"/>
                <w:szCs w:val="21"/>
                <w:highlight w:val="none"/>
              </w:rPr>
            </w:pPr>
          </w:p>
          <w:p w14:paraId="3BBBA6A4">
            <w:pPr>
              <w:pStyle w:val="18"/>
              <w:spacing w:before="78"/>
              <w:ind w:left="165" w:right="155" w:firstLine="35"/>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4.5</w:t>
            </w:r>
            <w:r>
              <w:rPr>
                <w:rFonts w:hint="eastAsia" w:ascii="仿宋" w:hAnsi="仿宋" w:eastAsia="仿宋" w:cs="仿宋"/>
                <w:color w:val="auto"/>
                <w:spacing w:val="-47"/>
                <w:kern w:val="0"/>
                <w:szCs w:val="24"/>
                <w:highlight w:val="none"/>
                <w:lang w:bidi="ar"/>
              </w:rPr>
              <w:t xml:space="preserve"> </w:t>
            </w:r>
            <w:r>
              <w:rPr>
                <w:rFonts w:hint="eastAsia" w:ascii="仿宋" w:hAnsi="仿宋" w:eastAsia="仿宋" w:cs="仿宋"/>
                <w:color w:val="auto"/>
                <w:spacing w:val="-8"/>
                <w:kern w:val="0"/>
                <w:szCs w:val="24"/>
                <w:highlight w:val="none"/>
                <w:lang w:bidi="ar"/>
              </w:rPr>
              <w:t>项</w:t>
            </w:r>
            <w:r>
              <w:rPr>
                <w:rFonts w:hint="eastAsia" w:ascii="仿宋" w:hAnsi="仿宋" w:eastAsia="仿宋" w:cs="仿宋"/>
                <w:color w:val="auto"/>
                <w:spacing w:val="-4"/>
                <w:kern w:val="0"/>
                <w:szCs w:val="24"/>
                <w:highlight w:val="none"/>
                <w:lang w:bidi="ar"/>
              </w:rPr>
              <w:t>目负责人履职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9FC25F1">
            <w:pPr>
              <w:pStyle w:val="18"/>
              <w:spacing w:before="98"/>
              <w:ind w:left="124" w:right="202" w:firstLine="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项目（现场）负责人技术能力与安全管理经验匹配，在岗履职，变更需经发包方批准。评价期内擅离岗位或未经批准变更本项不得分；履职不到位</w:t>
            </w:r>
            <w:r>
              <w:rPr>
                <w:rFonts w:hint="eastAsia" w:ascii="仿宋" w:hAnsi="仿宋" w:eastAsia="仿宋" w:cs="仿宋"/>
                <w:color w:val="auto"/>
                <w:spacing w:val="-7"/>
                <w:kern w:val="0"/>
                <w:szCs w:val="24"/>
                <w:highlight w:val="none"/>
                <w:lang w:bidi="ar"/>
              </w:rPr>
              <w:t>扣</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7"/>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F59EB1A">
            <w:pPr>
              <w:spacing w:line="316" w:lineRule="auto"/>
              <w:rPr>
                <w:rFonts w:ascii="Arial" w:hAnsi="Calibri"/>
                <w:color w:val="auto"/>
                <w:szCs w:val="21"/>
                <w:highlight w:val="none"/>
              </w:rPr>
            </w:pPr>
          </w:p>
          <w:p w14:paraId="453B7430">
            <w:pPr>
              <w:spacing w:line="319" w:lineRule="auto"/>
              <w:rPr>
                <w:rFonts w:ascii="Arial" w:hAnsi="Calibri"/>
                <w:color w:val="auto"/>
                <w:szCs w:val="21"/>
                <w:highlight w:val="none"/>
              </w:rPr>
            </w:pPr>
          </w:p>
          <w:p w14:paraId="37AB4483">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7C93F2F8">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6CC4371">
            <w:pPr>
              <w:rPr>
                <w:rFonts w:ascii="Arial" w:hAnsi="Calibri"/>
                <w:color w:val="auto"/>
                <w:szCs w:val="21"/>
                <w:highlight w:val="none"/>
              </w:rPr>
            </w:pPr>
          </w:p>
        </w:tc>
      </w:tr>
      <w:tr w14:paraId="1049C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shd w:val="clear" w:color="auto" w:fill="auto"/>
          </w:tcPr>
          <w:p w14:paraId="1A19D2A9">
            <w:pPr>
              <w:spacing w:line="244" w:lineRule="auto"/>
              <w:rPr>
                <w:rFonts w:ascii="Arial" w:hAnsi="Calibri"/>
                <w:color w:val="auto"/>
                <w:szCs w:val="21"/>
                <w:highlight w:val="none"/>
              </w:rPr>
            </w:pPr>
          </w:p>
          <w:p w14:paraId="65F518AC">
            <w:pPr>
              <w:spacing w:line="244" w:lineRule="auto"/>
              <w:rPr>
                <w:rFonts w:ascii="Arial" w:hAnsi="Calibri"/>
                <w:color w:val="auto"/>
                <w:szCs w:val="21"/>
                <w:highlight w:val="none"/>
              </w:rPr>
            </w:pPr>
          </w:p>
          <w:p w14:paraId="7D905A42">
            <w:pPr>
              <w:spacing w:line="244" w:lineRule="auto"/>
              <w:rPr>
                <w:rFonts w:ascii="Arial" w:hAnsi="Calibri"/>
                <w:color w:val="auto"/>
                <w:szCs w:val="21"/>
                <w:highlight w:val="none"/>
              </w:rPr>
            </w:pPr>
          </w:p>
          <w:p w14:paraId="3E48B639">
            <w:pPr>
              <w:pStyle w:val="18"/>
              <w:spacing w:before="78"/>
              <w:ind w:left="158" w:right="147" w:firstLine="9"/>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5.综</w:t>
            </w:r>
            <w:r>
              <w:rPr>
                <w:rFonts w:hint="eastAsia" w:ascii="仿宋" w:hAnsi="仿宋" w:eastAsia="仿宋" w:cs="仿宋"/>
                <w:color w:val="auto"/>
                <w:spacing w:val="-7"/>
                <w:kern w:val="0"/>
                <w:szCs w:val="24"/>
                <w:highlight w:val="none"/>
                <w:lang w:bidi="ar"/>
              </w:rPr>
              <w:t>合管理与文化</w:t>
            </w:r>
            <w:r>
              <w:rPr>
                <w:rFonts w:hint="eastAsia" w:ascii="仿宋" w:hAnsi="仿宋" w:eastAsia="仿宋" w:cs="仿宋"/>
                <w:color w:val="auto"/>
                <w:spacing w:val="15"/>
                <w:kern w:val="0"/>
                <w:szCs w:val="24"/>
                <w:highlight w:val="none"/>
                <w:lang w:bidi="ar"/>
              </w:rPr>
              <w:t>(15</w:t>
            </w:r>
            <w:r>
              <w:rPr>
                <w:rFonts w:hint="eastAsia" w:ascii="仿宋" w:hAnsi="仿宋" w:eastAsia="仿宋" w:cs="仿宋"/>
                <w:color w:val="auto"/>
                <w:spacing w:val="23"/>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2943629">
            <w:pPr>
              <w:pStyle w:val="18"/>
              <w:spacing w:before="99"/>
              <w:ind w:left="166" w:right="155" w:firstLine="38"/>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5.1</w:t>
            </w:r>
            <w:r>
              <w:rPr>
                <w:rFonts w:hint="eastAsia" w:ascii="仿宋" w:hAnsi="仿宋" w:eastAsia="仿宋" w:cs="仿宋"/>
                <w:color w:val="auto"/>
                <w:spacing w:val="-50"/>
                <w:kern w:val="0"/>
                <w:szCs w:val="24"/>
                <w:highlight w:val="none"/>
                <w:lang w:bidi="ar"/>
              </w:rPr>
              <w:t xml:space="preserve"> </w:t>
            </w:r>
            <w:r>
              <w:rPr>
                <w:rFonts w:hint="eastAsia" w:ascii="仿宋" w:hAnsi="仿宋" w:eastAsia="仿宋" w:cs="仿宋"/>
                <w:color w:val="auto"/>
                <w:spacing w:val="-8"/>
                <w:kern w:val="0"/>
                <w:szCs w:val="24"/>
                <w:highlight w:val="none"/>
                <w:lang w:bidi="ar"/>
              </w:rPr>
              <w:t>管</w:t>
            </w:r>
            <w:r>
              <w:rPr>
                <w:rFonts w:hint="eastAsia" w:ascii="仿宋" w:hAnsi="仿宋" w:eastAsia="仿宋" w:cs="仿宋"/>
                <w:color w:val="auto"/>
                <w:spacing w:val="-5"/>
                <w:kern w:val="0"/>
                <w:szCs w:val="24"/>
                <w:highlight w:val="none"/>
                <w:lang w:bidi="ar"/>
              </w:rPr>
              <w:t>理机构</w:t>
            </w:r>
          </w:p>
          <w:p w14:paraId="4C4695E9">
            <w:pPr>
              <w:pStyle w:val="18"/>
              <w:spacing w:before="1"/>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与责任</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2EF8CFF">
            <w:pPr>
              <w:pStyle w:val="18"/>
              <w:spacing w:before="99"/>
              <w:ind w:left="134" w:right="49" w:hanging="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安全管理机构健全，人员配备满足作</w:t>
            </w:r>
            <w:r>
              <w:rPr>
                <w:rFonts w:hint="eastAsia" w:ascii="仿宋" w:hAnsi="仿宋" w:eastAsia="仿宋" w:cs="仿宋"/>
                <w:color w:val="auto"/>
                <w:spacing w:val="-2"/>
                <w:kern w:val="0"/>
                <w:szCs w:val="24"/>
                <w:highlight w:val="none"/>
                <w:lang w:bidi="ar"/>
              </w:rPr>
              <w:t>业需求，安全生产责任制层层落实至</w:t>
            </w:r>
            <w:r>
              <w:rPr>
                <w:rFonts w:hint="eastAsia" w:ascii="仿宋" w:hAnsi="仿宋" w:eastAsia="仿宋" w:cs="仿宋"/>
                <w:color w:val="auto"/>
                <w:spacing w:val="-9"/>
                <w:kern w:val="0"/>
                <w:szCs w:val="24"/>
                <w:highlight w:val="none"/>
                <w:lang w:bidi="ar"/>
              </w:rPr>
              <w:t>岗位。一项不符合扣</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9"/>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81D81F8">
            <w:pPr>
              <w:spacing w:line="328" w:lineRule="auto"/>
              <w:rPr>
                <w:rFonts w:ascii="Arial" w:hAnsi="Calibri"/>
                <w:color w:val="auto"/>
                <w:szCs w:val="21"/>
                <w:highlight w:val="none"/>
              </w:rPr>
            </w:pPr>
          </w:p>
          <w:p w14:paraId="10A3F0E7">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6DB9C70">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EB4E62C">
            <w:pPr>
              <w:rPr>
                <w:rFonts w:ascii="Arial" w:hAnsi="Calibri"/>
                <w:color w:val="auto"/>
                <w:szCs w:val="21"/>
                <w:highlight w:val="none"/>
              </w:rPr>
            </w:pPr>
          </w:p>
        </w:tc>
      </w:tr>
      <w:tr w14:paraId="7B53D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12849C43">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7456BEF">
            <w:pPr>
              <w:pStyle w:val="18"/>
              <w:spacing w:before="100"/>
              <w:ind w:left="162" w:right="155" w:firstLine="41"/>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5.2</w:t>
            </w:r>
            <w:r>
              <w:rPr>
                <w:rFonts w:hint="eastAsia" w:ascii="仿宋" w:hAnsi="仿宋" w:eastAsia="仿宋" w:cs="仿宋"/>
                <w:color w:val="auto"/>
                <w:spacing w:val="-43"/>
                <w:kern w:val="0"/>
                <w:szCs w:val="24"/>
                <w:highlight w:val="none"/>
                <w:lang w:bidi="ar"/>
              </w:rPr>
              <w:t xml:space="preserve"> </w:t>
            </w:r>
            <w:r>
              <w:rPr>
                <w:rFonts w:hint="eastAsia" w:ascii="仿宋" w:hAnsi="仿宋" w:eastAsia="仿宋" w:cs="仿宋"/>
                <w:color w:val="auto"/>
                <w:spacing w:val="-10"/>
                <w:kern w:val="0"/>
                <w:szCs w:val="24"/>
                <w:highlight w:val="none"/>
                <w:lang w:bidi="ar"/>
              </w:rPr>
              <w:t>制</w:t>
            </w:r>
            <w:r>
              <w:rPr>
                <w:rFonts w:hint="eastAsia" w:ascii="仿宋" w:hAnsi="仿宋" w:eastAsia="仿宋" w:cs="仿宋"/>
                <w:color w:val="auto"/>
                <w:spacing w:val="-3"/>
                <w:kern w:val="0"/>
                <w:szCs w:val="24"/>
                <w:highlight w:val="none"/>
                <w:lang w:bidi="ar"/>
              </w:rPr>
              <w:t>度与文</w:t>
            </w:r>
          </w:p>
          <w:p w14:paraId="17341DFA">
            <w:pPr>
              <w:pStyle w:val="18"/>
              <w:spacing w:before="1"/>
              <w:ind w:left="408" w:right="155" w:hanging="236"/>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化匹配</w:t>
            </w:r>
            <w:r>
              <w:rPr>
                <w:rFonts w:hint="eastAsia" w:ascii="仿宋" w:hAnsi="仿宋" w:eastAsia="仿宋" w:cs="仿宋"/>
                <w:color w:val="auto"/>
                <w:kern w:val="0"/>
                <w:szCs w:val="24"/>
                <w:highlight w:val="none"/>
                <w:lang w:bidi="ar"/>
              </w:rPr>
              <w:t>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8578596">
            <w:pPr>
              <w:pStyle w:val="18"/>
              <w:spacing w:before="99"/>
              <w:ind w:left="132" w:right="49" w:hanging="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安全管理制度、操作规程与业务实际</w:t>
            </w:r>
            <w:r>
              <w:rPr>
                <w:rFonts w:hint="eastAsia" w:ascii="仿宋" w:hAnsi="仿宋" w:eastAsia="仿宋" w:cs="仿宋"/>
                <w:color w:val="auto"/>
                <w:spacing w:val="-2"/>
                <w:kern w:val="0"/>
                <w:szCs w:val="24"/>
                <w:highlight w:val="none"/>
                <w:lang w:bidi="ar"/>
              </w:rPr>
              <w:t>匹配，积极参与发包方组织的安全文</w:t>
            </w:r>
            <w:r>
              <w:rPr>
                <w:rFonts w:hint="eastAsia" w:ascii="仿宋" w:hAnsi="仿宋" w:eastAsia="仿宋" w:cs="仿宋"/>
                <w:color w:val="auto"/>
                <w:spacing w:val="-7"/>
                <w:kern w:val="0"/>
                <w:szCs w:val="24"/>
                <w:highlight w:val="none"/>
                <w:lang w:bidi="ar"/>
              </w:rPr>
              <w:t>化活动（如安全培训、应急演练等）。</w:t>
            </w:r>
            <w:r>
              <w:rPr>
                <w:rFonts w:hint="eastAsia" w:ascii="仿宋" w:hAnsi="仿宋" w:eastAsia="仿宋" w:cs="仿宋"/>
                <w:color w:val="auto"/>
                <w:spacing w:val="-4"/>
                <w:kern w:val="0"/>
                <w:szCs w:val="24"/>
                <w:highlight w:val="none"/>
                <w:lang w:bidi="ar"/>
              </w:rPr>
              <w:t>一项不符合扣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B9043D4">
            <w:pPr>
              <w:spacing w:line="242" w:lineRule="auto"/>
              <w:rPr>
                <w:rFonts w:ascii="Arial" w:hAnsi="Calibri"/>
                <w:color w:val="auto"/>
                <w:szCs w:val="21"/>
                <w:highlight w:val="none"/>
              </w:rPr>
            </w:pPr>
          </w:p>
          <w:p w14:paraId="29FC920F">
            <w:pPr>
              <w:spacing w:line="242" w:lineRule="auto"/>
              <w:rPr>
                <w:rFonts w:ascii="Arial" w:hAnsi="Calibri"/>
                <w:color w:val="auto"/>
                <w:szCs w:val="21"/>
                <w:highlight w:val="none"/>
              </w:rPr>
            </w:pPr>
          </w:p>
          <w:p w14:paraId="315E5DC4">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64E38D84">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3F683576">
            <w:pPr>
              <w:rPr>
                <w:rFonts w:ascii="Arial" w:hAnsi="Calibri"/>
                <w:color w:val="auto"/>
                <w:szCs w:val="21"/>
                <w:highlight w:val="none"/>
              </w:rPr>
            </w:pPr>
          </w:p>
        </w:tc>
      </w:tr>
      <w:tr w14:paraId="0DD4B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3F655C02">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3D85E044">
            <w:pPr>
              <w:pStyle w:val="18"/>
              <w:spacing w:before="100"/>
              <w:ind w:left="182" w:right="155" w:firstLine="22"/>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5.3</w:t>
            </w:r>
            <w:r>
              <w:rPr>
                <w:rFonts w:hint="eastAsia" w:ascii="仿宋" w:hAnsi="仿宋" w:eastAsia="仿宋" w:cs="仿宋"/>
                <w:color w:val="auto"/>
                <w:spacing w:val="-51"/>
                <w:kern w:val="0"/>
                <w:szCs w:val="24"/>
                <w:highlight w:val="none"/>
                <w:lang w:bidi="ar"/>
              </w:rPr>
              <w:t xml:space="preserve"> </w:t>
            </w:r>
            <w:r>
              <w:rPr>
                <w:rFonts w:hint="eastAsia" w:ascii="仿宋" w:hAnsi="仿宋" w:eastAsia="仿宋" w:cs="仿宋"/>
                <w:color w:val="auto"/>
                <w:spacing w:val="-8"/>
                <w:kern w:val="0"/>
                <w:szCs w:val="24"/>
                <w:highlight w:val="none"/>
                <w:lang w:bidi="ar"/>
              </w:rPr>
              <w:t>保</w:t>
            </w:r>
            <w:r>
              <w:rPr>
                <w:rFonts w:hint="eastAsia" w:ascii="仿宋" w:hAnsi="仿宋" w:eastAsia="仿宋" w:cs="仿宋"/>
                <w:color w:val="auto"/>
                <w:spacing w:val="-10"/>
                <w:kern w:val="0"/>
                <w:szCs w:val="24"/>
                <w:highlight w:val="none"/>
                <w:lang w:bidi="ar"/>
              </w:rPr>
              <w:t>险与劳</w:t>
            </w:r>
          </w:p>
          <w:p w14:paraId="4970A458">
            <w:pPr>
              <w:pStyle w:val="18"/>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动关系</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C7F3992">
            <w:pPr>
              <w:pStyle w:val="18"/>
              <w:spacing w:before="99"/>
              <w:ind w:left="120" w:right="20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依法为从业人员购买工伤保险等法定保险，劳动关系合法清晰，无劳务纠</w:t>
            </w:r>
            <w:r>
              <w:rPr>
                <w:rFonts w:hint="eastAsia" w:ascii="仿宋" w:hAnsi="仿宋" w:eastAsia="仿宋" w:cs="仿宋"/>
                <w:color w:val="auto"/>
                <w:spacing w:val="-3"/>
                <w:kern w:val="0"/>
                <w:szCs w:val="24"/>
                <w:highlight w:val="none"/>
                <w:lang w:bidi="ar"/>
              </w:rPr>
              <w:t>纷。一项不符合扣</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BF8D135">
            <w:pPr>
              <w:spacing w:line="331" w:lineRule="auto"/>
              <w:rPr>
                <w:rFonts w:ascii="Arial" w:hAnsi="Calibri"/>
                <w:color w:val="auto"/>
                <w:szCs w:val="21"/>
                <w:highlight w:val="none"/>
              </w:rPr>
            </w:pPr>
          </w:p>
          <w:p w14:paraId="6F311A19">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0204D281">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499F2075">
            <w:pPr>
              <w:rPr>
                <w:rFonts w:ascii="Arial" w:hAnsi="Calibri"/>
                <w:color w:val="auto"/>
                <w:szCs w:val="21"/>
                <w:highlight w:val="none"/>
              </w:rPr>
            </w:pPr>
          </w:p>
        </w:tc>
      </w:tr>
      <w:tr w14:paraId="07A78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tcBorders>
              <w:top w:val="single" w:color="000000" w:sz="2" w:space="0"/>
              <w:left w:val="single" w:color="000000" w:sz="2" w:space="0"/>
              <w:bottom w:val="single" w:color="000000" w:sz="2" w:space="0"/>
              <w:right w:val="single" w:color="000000" w:sz="2" w:space="0"/>
            </w:tcBorders>
            <w:shd w:val="clear" w:color="auto" w:fill="auto"/>
          </w:tcPr>
          <w:p w14:paraId="03D8A8EA">
            <w:pPr>
              <w:pStyle w:val="18"/>
              <w:spacing w:before="101"/>
              <w:ind w:left="16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6.加</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23BCF2D">
            <w:pPr>
              <w:pStyle w:val="18"/>
              <w:spacing w:before="101"/>
              <w:ind w:left="203"/>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6.1</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6"/>
                <w:kern w:val="0"/>
                <w:szCs w:val="24"/>
                <w:highlight w:val="none"/>
                <w:lang w:bidi="ar"/>
              </w:rPr>
              <w:t>事</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8B2839B">
            <w:pPr>
              <w:pStyle w:val="18"/>
              <w:spacing w:before="101"/>
              <w:ind w:left="12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发生事故后积极配合调查、有效落实</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5D0D6128">
            <w:pPr>
              <w:pStyle w:val="18"/>
              <w:spacing w:before="100"/>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4C9E4476">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6C76EF8">
            <w:pPr>
              <w:rPr>
                <w:rFonts w:ascii="Arial" w:hAnsi="Calibri"/>
                <w:color w:val="auto"/>
                <w:szCs w:val="21"/>
                <w:highlight w:val="none"/>
              </w:rPr>
            </w:pPr>
          </w:p>
        </w:tc>
      </w:tr>
    </w:tbl>
    <w:p w14:paraId="08758B68">
      <w:pPr>
        <w:rPr>
          <w:rFonts w:ascii="Arial" w:hAnsi="Calibri"/>
          <w:color w:val="auto"/>
          <w:szCs w:val="21"/>
          <w:highlight w:val="none"/>
        </w:rPr>
      </w:pPr>
      <w:r>
        <w:rPr>
          <w:rFonts w:ascii="Arial" w:hAnsi="Calibri"/>
          <w:color w:val="auto"/>
          <w:kern w:val="0"/>
          <w:szCs w:val="21"/>
          <w:highlight w:val="none"/>
          <w:lang w:bidi="ar"/>
        </w:rPr>
        <w:t xml:space="preserve"> </w:t>
      </w:r>
    </w:p>
    <w:p w14:paraId="570BCCB7">
      <w:pPr>
        <w:rPr>
          <w:rFonts w:ascii="Arial" w:hAnsi="Arial" w:cs="Arial"/>
          <w:color w:val="auto"/>
          <w:szCs w:val="21"/>
          <w:highlight w:val="none"/>
        </w:rPr>
        <w:sectPr>
          <w:pgSz w:w="11906" w:h="16839"/>
          <w:pgMar w:top="400" w:right="1065" w:bottom="1223" w:left="1677" w:header="1" w:footer="1061" w:gutter="0"/>
          <w:cols w:space="720" w:num="1"/>
          <w:formProt w:val="0"/>
          <w:docGrid w:type="linesAndChars" w:linePitch="312" w:charSpace="0"/>
        </w:sectPr>
      </w:pPr>
    </w:p>
    <w:p w14:paraId="3DB242A9">
      <w:pPr>
        <w:spacing w:before="19"/>
        <w:rPr>
          <w:rFonts w:ascii="Calibri" w:hAnsi="Calibri"/>
          <w:color w:val="auto"/>
          <w:szCs w:val="21"/>
          <w:highlight w:val="none"/>
        </w:rPr>
      </w:pPr>
      <w:r>
        <w:rPr>
          <w:rFonts w:ascii="Calibri" w:hAnsi="Calibri"/>
          <w:color w:val="auto"/>
          <w:kern w:val="0"/>
          <w:szCs w:val="21"/>
          <w:highlight w:val="none"/>
          <w:lang w:bidi="ar"/>
        </w:rPr>
        <w:t xml:space="preserve"> </w:t>
      </w:r>
    </w:p>
    <w:p w14:paraId="631FDC09">
      <w:pPr>
        <w:spacing w:before="19"/>
        <w:rPr>
          <w:rFonts w:ascii="Calibri" w:hAnsi="Calibri"/>
          <w:color w:val="auto"/>
          <w:szCs w:val="21"/>
          <w:highlight w:val="none"/>
        </w:rPr>
      </w:pPr>
      <w:r>
        <w:rPr>
          <w:rFonts w:ascii="Calibri" w:hAnsi="Calibri"/>
          <w:color w:val="auto"/>
          <w:kern w:val="0"/>
          <w:szCs w:val="21"/>
          <w:highlight w:val="none"/>
          <w:lang w:bidi="ar"/>
        </w:rPr>
        <w:t xml:space="preserve"> </w:t>
      </w:r>
    </w:p>
    <w:p w14:paraId="255F0733">
      <w:pPr>
        <w:spacing w:before="18"/>
        <w:rPr>
          <w:rFonts w:ascii="Calibri" w:hAnsi="Calibri"/>
          <w:color w:val="auto"/>
          <w:szCs w:val="21"/>
          <w:highlight w:val="none"/>
        </w:rPr>
      </w:pPr>
      <w:r>
        <w:rPr>
          <w:rFonts w:ascii="Calibri" w:hAnsi="Calibri"/>
          <w:color w:val="auto"/>
          <w:kern w:val="0"/>
          <w:szCs w:val="21"/>
          <w:highlight w:val="none"/>
          <w:lang w:bidi="ar"/>
        </w:rPr>
        <w:t xml:space="preserve"> </w:t>
      </w:r>
    </w:p>
    <w:p w14:paraId="0EA7336C">
      <w:pPr>
        <w:spacing w:before="18"/>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389E8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779" w:type="dxa"/>
            <w:vMerge w:val="restart"/>
            <w:tcBorders>
              <w:top w:val="single" w:color="000000" w:sz="2" w:space="0"/>
              <w:left w:val="single" w:color="000000" w:sz="2" w:space="0"/>
              <w:bottom w:val="nil"/>
              <w:right w:val="single" w:color="000000" w:sz="2" w:space="0"/>
            </w:tcBorders>
            <w:shd w:val="clear" w:color="auto" w:fill="auto"/>
          </w:tcPr>
          <w:p w14:paraId="246B6D28">
            <w:pPr>
              <w:pStyle w:val="18"/>
              <w:spacing w:before="99"/>
              <w:ind w:left="217" w:right="147" w:hanging="60"/>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分项</w:t>
            </w:r>
            <w:r>
              <w:rPr>
                <w:rFonts w:hint="eastAsia" w:ascii="仿宋" w:hAnsi="仿宋" w:eastAsia="仿宋" w:cs="仿宋"/>
                <w:color w:val="auto"/>
                <w:spacing w:val="-4"/>
                <w:kern w:val="0"/>
                <w:szCs w:val="24"/>
                <w:highlight w:val="none"/>
                <w:lang w:bidi="ar"/>
              </w:rPr>
              <w:t>(10</w:t>
            </w:r>
            <w:r>
              <w:rPr>
                <w:rFonts w:hint="eastAsia" w:ascii="仿宋" w:hAnsi="仿宋" w:eastAsia="仿宋" w:cs="仿宋"/>
                <w:color w:val="auto"/>
                <w:spacing w:val="-6"/>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8394585">
            <w:pPr>
              <w:pStyle w:val="18"/>
              <w:spacing w:before="97"/>
              <w:ind w:left="293" w:right="155" w:hanging="122"/>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故处理</w:t>
            </w:r>
            <w:r>
              <w:rPr>
                <w:rFonts w:hint="eastAsia" w:ascii="仿宋" w:hAnsi="仿宋" w:eastAsia="仿宋" w:cs="仿宋"/>
                <w:color w:val="auto"/>
                <w:spacing w:val="-10"/>
                <w:kern w:val="0"/>
                <w:szCs w:val="24"/>
                <w:highlight w:val="none"/>
                <w:lang w:bidi="ar"/>
              </w:rPr>
              <w:t>配合</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72B97B4">
            <w:pPr>
              <w:pStyle w:val="18"/>
              <w:spacing w:before="97"/>
              <w:ind w:left="127" w:right="20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整改措施并形成案例共享。根据配合</w:t>
            </w:r>
            <w:r>
              <w:rPr>
                <w:rFonts w:hint="eastAsia" w:ascii="仿宋" w:hAnsi="仿宋" w:eastAsia="仿宋" w:cs="仿宋"/>
                <w:color w:val="auto"/>
                <w:spacing w:val="1"/>
                <w:kern w:val="0"/>
                <w:szCs w:val="24"/>
                <w:highlight w:val="none"/>
                <w:lang w:bidi="ar"/>
              </w:rPr>
              <w:t>程度与整改效果加</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
                <w:kern w:val="0"/>
                <w:szCs w:val="24"/>
                <w:highlight w:val="none"/>
                <w:lang w:bidi="ar"/>
              </w:rPr>
              <w:t>3-5分。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48D7C55">
            <w:pPr>
              <w:rPr>
                <w:rFonts w:ascii="Arial" w:hAnsi="Calibri"/>
                <w:color w:val="auto"/>
                <w:szCs w:val="21"/>
                <w:highlight w:val="none"/>
              </w:rPr>
            </w:pP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6EA2D8B5">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274AA0AE">
            <w:pPr>
              <w:rPr>
                <w:rFonts w:ascii="Arial" w:hAnsi="Calibri"/>
                <w:color w:val="auto"/>
                <w:szCs w:val="21"/>
                <w:highlight w:val="none"/>
              </w:rPr>
            </w:pPr>
          </w:p>
        </w:tc>
      </w:tr>
      <w:tr w14:paraId="71DFD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46F25555">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3DD90A7">
            <w:pPr>
              <w:pStyle w:val="18"/>
              <w:spacing w:before="251"/>
              <w:ind w:left="162" w:right="155" w:firstLine="41"/>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6.2</w:t>
            </w:r>
            <w:r>
              <w:rPr>
                <w:rFonts w:hint="eastAsia" w:ascii="仿宋" w:hAnsi="仿宋" w:eastAsia="仿宋" w:cs="仿宋"/>
                <w:color w:val="auto"/>
                <w:spacing w:val="-45"/>
                <w:kern w:val="0"/>
                <w:szCs w:val="24"/>
                <w:highlight w:val="none"/>
                <w:lang w:bidi="ar"/>
              </w:rPr>
              <w:t xml:space="preserve"> </w:t>
            </w:r>
            <w:r>
              <w:rPr>
                <w:rFonts w:hint="eastAsia" w:ascii="仿宋" w:hAnsi="仿宋" w:eastAsia="仿宋" w:cs="仿宋"/>
                <w:color w:val="auto"/>
                <w:spacing w:val="-9"/>
                <w:kern w:val="0"/>
                <w:szCs w:val="24"/>
                <w:highlight w:val="none"/>
                <w:lang w:bidi="ar"/>
              </w:rPr>
              <w:t>安</w:t>
            </w:r>
            <w:r>
              <w:rPr>
                <w:rFonts w:hint="eastAsia" w:ascii="仿宋" w:hAnsi="仿宋" w:eastAsia="仿宋" w:cs="仿宋"/>
                <w:color w:val="auto"/>
                <w:spacing w:val="-3"/>
                <w:kern w:val="0"/>
                <w:szCs w:val="24"/>
                <w:highlight w:val="none"/>
                <w:lang w:bidi="ar"/>
              </w:rPr>
              <w:t>全创新</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F7F6F1F">
            <w:pPr>
              <w:pStyle w:val="18"/>
              <w:spacing w:before="90"/>
              <w:ind w:left="123" w:right="49" w:hanging="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提出安全管理创新建议（如作业方法优化、隐患防控措施改进等）被发包</w:t>
            </w:r>
            <w:r>
              <w:rPr>
                <w:rFonts w:hint="eastAsia" w:ascii="仿宋" w:hAnsi="仿宋" w:eastAsia="仿宋" w:cs="仿宋"/>
                <w:color w:val="auto"/>
                <w:spacing w:val="-10"/>
                <w:kern w:val="0"/>
                <w:szCs w:val="24"/>
                <w:highlight w:val="none"/>
                <w:lang w:bidi="ar"/>
              </w:rPr>
              <w:t>方采纳。一项加</w:t>
            </w:r>
            <w:r>
              <w:rPr>
                <w:rFonts w:hint="eastAsia" w:ascii="仿宋" w:hAnsi="仿宋" w:eastAsia="仿宋" w:cs="仿宋"/>
                <w:color w:val="auto"/>
                <w:spacing w:val="-29"/>
                <w:kern w:val="0"/>
                <w:szCs w:val="24"/>
                <w:highlight w:val="none"/>
                <w:lang w:bidi="ar"/>
              </w:rPr>
              <w:t xml:space="preserve"> </w:t>
            </w:r>
            <w:r>
              <w:rPr>
                <w:rFonts w:hint="eastAsia" w:ascii="仿宋" w:hAnsi="仿宋" w:eastAsia="仿宋" w:cs="仿宋"/>
                <w:color w:val="auto"/>
                <w:spacing w:val="-10"/>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分，最多加</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10"/>
                <w:kern w:val="0"/>
                <w:szCs w:val="24"/>
                <w:highlight w:val="none"/>
                <w:lang w:bidi="ar"/>
              </w:rPr>
              <w:t>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8EFB744">
            <w:pPr>
              <w:spacing w:line="324" w:lineRule="auto"/>
              <w:rPr>
                <w:rFonts w:ascii="Arial" w:hAnsi="Calibri"/>
                <w:color w:val="auto"/>
                <w:szCs w:val="21"/>
                <w:highlight w:val="none"/>
              </w:rPr>
            </w:pPr>
          </w:p>
          <w:p w14:paraId="291FAD2D">
            <w:pPr>
              <w:pStyle w:val="18"/>
              <w:spacing w:before="78"/>
              <w:ind w:left="30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3</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B0F7BC9">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DA19667">
            <w:pPr>
              <w:rPr>
                <w:rFonts w:ascii="Arial" w:hAnsi="Calibri"/>
                <w:color w:val="auto"/>
                <w:szCs w:val="21"/>
                <w:highlight w:val="none"/>
              </w:rPr>
            </w:pPr>
          </w:p>
        </w:tc>
      </w:tr>
      <w:tr w14:paraId="0DDCE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186D0969">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3C19576">
            <w:pPr>
              <w:pStyle w:val="18"/>
              <w:spacing w:before="253"/>
              <w:ind w:left="177" w:right="155" w:firstLine="25"/>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6.3</w:t>
            </w:r>
            <w:r>
              <w:rPr>
                <w:rFonts w:hint="eastAsia" w:ascii="仿宋" w:hAnsi="仿宋" w:eastAsia="仿宋" w:cs="仿宋"/>
                <w:color w:val="auto"/>
                <w:spacing w:val="-30"/>
                <w:kern w:val="0"/>
                <w:szCs w:val="24"/>
                <w:highlight w:val="none"/>
                <w:lang w:bidi="ar"/>
              </w:rPr>
              <w:t xml:space="preserve"> </w:t>
            </w:r>
            <w:r>
              <w:rPr>
                <w:rFonts w:hint="eastAsia" w:ascii="仿宋" w:hAnsi="仿宋" w:eastAsia="仿宋" w:cs="仿宋"/>
                <w:color w:val="auto"/>
                <w:spacing w:val="-13"/>
                <w:kern w:val="0"/>
                <w:szCs w:val="24"/>
                <w:highlight w:val="none"/>
                <w:lang w:bidi="ar"/>
              </w:rPr>
              <w:t>隐</w:t>
            </w:r>
            <w:r>
              <w:rPr>
                <w:rFonts w:hint="eastAsia" w:ascii="仿宋" w:hAnsi="仿宋" w:eastAsia="仿宋" w:cs="仿宋"/>
                <w:color w:val="auto"/>
                <w:spacing w:val="-8"/>
                <w:kern w:val="0"/>
                <w:szCs w:val="24"/>
                <w:highlight w:val="none"/>
                <w:lang w:bidi="ar"/>
              </w:rPr>
              <w:t>患上报</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D5D8A21">
            <w:pPr>
              <w:pStyle w:val="18"/>
              <w:spacing w:before="98"/>
              <w:ind w:left="122" w:right="116" w:firstLine="22"/>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“吹哨人”主动上报重大安全隐患并</w:t>
            </w:r>
            <w:r>
              <w:rPr>
                <w:rFonts w:hint="eastAsia" w:ascii="仿宋" w:hAnsi="仿宋" w:eastAsia="仿宋" w:cs="仿宋"/>
                <w:color w:val="auto"/>
                <w:spacing w:val="-9"/>
                <w:kern w:val="0"/>
                <w:szCs w:val="24"/>
                <w:highlight w:val="none"/>
                <w:lang w:bidi="ar"/>
              </w:rPr>
              <w:t>避免事故发生。一次加</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9"/>
                <w:kern w:val="0"/>
                <w:szCs w:val="24"/>
                <w:highlight w:val="none"/>
                <w:lang w:bidi="ar"/>
              </w:rPr>
              <w:t>分，最多加</w:t>
            </w:r>
            <w:r>
              <w:rPr>
                <w:rFonts w:hint="eastAsia" w:ascii="仿宋" w:hAnsi="仿宋" w:eastAsia="仿宋" w:cs="仿宋"/>
                <w:color w:val="auto"/>
                <w:spacing w:val="-42"/>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A550A53">
            <w:pPr>
              <w:spacing w:line="328" w:lineRule="auto"/>
              <w:rPr>
                <w:rFonts w:ascii="Arial" w:hAnsi="Calibri"/>
                <w:color w:val="auto"/>
                <w:szCs w:val="21"/>
                <w:highlight w:val="none"/>
              </w:rPr>
            </w:pPr>
          </w:p>
          <w:p w14:paraId="0247E688">
            <w:pPr>
              <w:pStyle w:val="18"/>
              <w:spacing w:before="78"/>
              <w:ind w:left="293"/>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2</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9A9D09F">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C9C5708">
            <w:pPr>
              <w:rPr>
                <w:rFonts w:ascii="Arial" w:hAnsi="Calibri"/>
                <w:color w:val="auto"/>
                <w:szCs w:val="21"/>
                <w:highlight w:val="none"/>
              </w:rPr>
            </w:pPr>
          </w:p>
        </w:tc>
      </w:tr>
      <w:tr w14:paraId="68F19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7596CE5F">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B960C98">
            <w:pPr>
              <w:pStyle w:val="18"/>
              <w:spacing w:before="99"/>
              <w:ind w:left="408" w:right="155" w:hanging="245"/>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加分小</w:t>
            </w:r>
            <w:r>
              <w:rPr>
                <w:rFonts w:hint="eastAsia" w:ascii="仿宋" w:hAnsi="仿宋" w:eastAsia="仿宋" w:cs="仿宋"/>
                <w:color w:val="auto"/>
                <w:kern w:val="0"/>
                <w:szCs w:val="24"/>
                <w:highlight w:val="none"/>
                <w:lang w:bidi="ar"/>
              </w:rPr>
              <w:t>计</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865EA00">
            <w:pPr>
              <w:pStyle w:val="18"/>
              <w:spacing w:before="254"/>
              <w:ind w:left="137"/>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累计加分不超过</w:t>
            </w:r>
            <w:r>
              <w:rPr>
                <w:rFonts w:hint="eastAsia" w:ascii="仿宋" w:hAnsi="仿宋" w:eastAsia="仿宋" w:cs="仿宋"/>
                <w:color w:val="auto"/>
                <w:spacing w:val="-33"/>
                <w:kern w:val="0"/>
                <w:szCs w:val="24"/>
                <w:highlight w:val="none"/>
                <w:lang w:bidi="ar"/>
              </w:rPr>
              <w:t xml:space="preserve"> </w:t>
            </w:r>
            <w:r>
              <w:rPr>
                <w:rFonts w:hint="eastAsia" w:ascii="仿宋" w:hAnsi="仿宋" w:eastAsia="仿宋" w:cs="仿宋"/>
                <w:color w:val="auto"/>
                <w:spacing w:val="-5"/>
                <w:kern w:val="0"/>
                <w:szCs w:val="24"/>
                <w:highlight w:val="none"/>
                <w:lang w:bidi="ar"/>
              </w:rPr>
              <w:t>10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DF094CD">
            <w:pPr>
              <w:pStyle w:val="18"/>
              <w:spacing w:before="254"/>
              <w:ind w:left="239"/>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10</w:t>
            </w:r>
          </w:p>
        </w:tc>
        <w:tc>
          <w:tcPr>
            <w:tcW w:w="2509" w:type="dxa"/>
            <w:gridSpan w:val="2"/>
            <w:tcBorders>
              <w:top w:val="single" w:color="000000" w:sz="2" w:space="0"/>
              <w:left w:val="single" w:color="000000" w:sz="2" w:space="0"/>
              <w:bottom w:val="single" w:color="000000" w:sz="2" w:space="0"/>
              <w:right w:val="single" w:color="000000" w:sz="2" w:space="0"/>
            </w:tcBorders>
            <w:shd w:val="clear" w:color="auto" w:fill="auto"/>
          </w:tcPr>
          <w:p w14:paraId="18D60852">
            <w:pPr>
              <w:rPr>
                <w:rFonts w:ascii="Arial" w:hAnsi="Calibri"/>
                <w:color w:val="auto"/>
                <w:szCs w:val="21"/>
                <w:highlight w:val="none"/>
              </w:rPr>
            </w:pPr>
          </w:p>
        </w:tc>
      </w:tr>
      <w:tr w14:paraId="782BA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5977" w:type="dxa"/>
            <w:gridSpan w:val="3"/>
            <w:tcBorders>
              <w:top w:val="single" w:color="000000" w:sz="2" w:space="0"/>
              <w:left w:val="single" w:color="000000" w:sz="2" w:space="0"/>
              <w:bottom w:val="single" w:color="000000" w:sz="2" w:space="0"/>
              <w:right w:val="single" w:color="000000" w:sz="2" w:space="0"/>
            </w:tcBorders>
            <w:shd w:val="clear" w:color="auto" w:fill="auto"/>
          </w:tcPr>
          <w:p w14:paraId="3882649E">
            <w:pPr>
              <w:pStyle w:val="18"/>
              <w:spacing w:before="98"/>
              <w:ind w:left="1870"/>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总分（标准分+加分）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1F13EED">
            <w:pPr>
              <w:pStyle w:val="18"/>
              <w:spacing w:before="98"/>
              <w:ind w:left="179"/>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110</w:t>
            </w:r>
          </w:p>
        </w:tc>
        <w:tc>
          <w:tcPr>
            <w:tcW w:w="2509" w:type="dxa"/>
            <w:gridSpan w:val="2"/>
            <w:tcBorders>
              <w:top w:val="single" w:color="000000" w:sz="2" w:space="0"/>
              <w:left w:val="single" w:color="000000" w:sz="2" w:space="0"/>
              <w:bottom w:val="single" w:color="000000" w:sz="2" w:space="0"/>
              <w:right w:val="single" w:color="000000" w:sz="2" w:space="0"/>
            </w:tcBorders>
            <w:shd w:val="clear" w:color="auto" w:fill="auto"/>
          </w:tcPr>
          <w:p w14:paraId="0D297A2B">
            <w:pPr>
              <w:rPr>
                <w:rFonts w:ascii="Arial" w:hAnsi="Calibri"/>
                <w:color w:val="auto"/>
                <w:szCs w:val="21"/>
                <w:highlight w:val="none"/>
              </w:rPr>
            </w:pPr>
          </w:p>
        </w:tc>
      </w:tr>
      <w:tr w14:paraId="13B9C4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9" w:hRule="atLeast"/>
        </w:trPr>
        <w:tc>
          <w:tcPr>
            <w:tcW w:w="9157" w:type="dxa"/>
            <w:gridSpan w:val="6"/>
            <w:tcBorders>
              <w:top w:val="single" w:color="000000" w:sz="2" w:space="0"/>
              <w:left w:val="single" w:color="000000" w:sz="2" w:space="0"/>
              <w:bottom w:val="single" w:color="000000" w:sz="2" w:space="0"/>
              <w:right w:val="single" w:color="000000" w:sz="2" w:space="0"/>
            </w:tcBorders>
            <w:shd w:val="clear" w:color="auto" w:fill="auto"/>
          </w:tcPr>
          <w:p w14:paraId="6F45DD37">
            <w:pPr>
              <w:pStyle w:val="18"/>
              <w:spacing w:before="100"/>
              <w:ind w:left="126"/>
              <w:rPr>
                <w:rFonts w:ascii="仿宋" w:hAnsi="仿宋" w:eastAsia="仿宋" w:cs="仿宋"/>
                <w:color w:val="auto"/>
                <w:szCs w:val="24"/>
                <w:highlight w:val="none"/>
              </w:rPr>
            </w:pPr>
            <w:r>
              <w:rPr>
                <w:rFonts w:hint="eastAsia" w:ascii="仿宋" w:hAnsi="仿宋" w:eastAsia="仿宋" w:cs="仿宋"/>
                <w:b/>
                <w:bCs/>
                <w:color w:val="auto"/>
                <w:spacing w:val="-7"/>
                <w:kern w:val="0"/>
                <w:szCs w:val="24"/>
                <w:highlight w:val="none"/>
                <w:lang w:bidi="ar"/>
              </w:rPr>
              <w:t>评价等级：</w:t>
            </w:r>
            <w:r>
              <w:rPr>
                <w:rFonts w:hint="eastAsia" w:ascii="微软雅黑" w:hAnsi="微软雅黑" w:eastAsia="微软雅黑" w:cs="微软雅黑"/>
                <w:color w:val="auto"/>
                <w:spacing w:val="-7"/>
                <w:kern w:val="0"/>
                <w:szCs w:val="24"/>
                <w:highlight w:val="none"/>
                <w:lang w:bidi="ar"/>
              </w:rPr>
              <w:t>□</w:t>
            </w:r>
            <w:r>
              <w:rPr>
                <w:rFonts w:hint="eastAsia" w:ascii="仿宋" w:hAnsi="仿宋" w:eastAsia="仿宋" w:cs="仿宋"/>
                <w:color w:val="auto"/>
                <w:spacing w:val="-7"/>
                <w:kern w:val="0"/>
                <w:szCs w:val="24"/>
                <w:highlight w:val="none"/>
                <w:lang w:bidi="ar"/>
              </w:rPr>
              <w:t>A</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级（得分≥90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分）□B</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级（70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分≤得分＜90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分）□C</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级（得分&lt;</w:t>
            </w:r>
            <w:r>
              <w:rPr>
                <w:rFonts w:hint="eastAsia" w:ascii="仿宋" w:hAnsi="仿宋" w:eastAsia="仿宋" w:cs="仿宋"/>
                <w:color w:val="auto"/>
                <w:spacing w:val="-8"/>
                <w:kern w:val="0"/>
                <w:szCs w:val="24"/>
                <w:highlight w:val="none"/>
                <w:lang w:bidi="ar"/>
              </w:rPr>
              <w:t>70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8"/>
                <w:kern w:val="0"/>
                <w:szCs w:val="24"/>
                <w:highlight w:val="none"/>
                <w:lang w:bidi="ar"/>
              </w:rPr>
              <w:t>分）。</w:t>
            </w:r>
            <w:r>
              <w:rPr>
                <w:rFonts w:hint="eastAsia" w:ascii="仿宋" w:hAnsi="仿宋" w:eastAsia="仿宋" w:cs="仿宋"/>
                <w:color w:val="auto"/>
                <w:spacing w:val="-1"/>
                <w:kern w:val="0"/>
                <w:szCs w:val="24"/>
                <w:highlight w:val="none"/>
                <w:lang w:bidi="ar"/>
              </w:rPr>
              <w:t>连续两次评价为C</w:t>
            </w:r>
            <w:r>
              <w:rPr>
                <w:rFonts w:hint="eastAsia" w:ascii="仿宋" w:hAnsi="仿宋" w:eastAsia="仿宋" w:cs="仿宋"/>
                <w:color w:val="auto"/>
                <w:spacing w:val="-26"/>
                <w:kern w:val="0"/>
                <w:szCs w:val="24"/>
                <w:highlight w:val="none"/>
                <w:lang w:bidi="ar"/>
              </w:rPr>
              <w:t xml:space="preserve"> </w:t>
            </w:r>
            <w:r>
              <w:rPr>
                <w:rFonts w:hint="eastAsia" w:ascii="仿宋" w:hAnsi="仿宋" w:eastAsia="仿宋" w:cs="仿宋"/>
                <w:color w:val="auto"/>
                <w:spacing w:val="-1"/>
                <w:kern w:val="0"/>
                <w:szCs w:val="24"/>
                <w:highlight w:val="none"/>
                <w:lang w:bidi="ar"/>
              </w:rPr>
              <w:t>级的承包商纳入黑名单管理。</w:t>
            </w:r>
          </w:p>
          <w:p w14:paraId="40451CD8">
            <w:pPr>
              <w:pStyle w:val="18"/>
              <w:spacing w:before="11"/>
              <w:ind w:left="126"/>
              <w:rPr>
                <w:rFonts w:ascii="仿宋" w:hAnsi="仿宋" w:eastAsia="仿宋" w:cs="仿宋"/>
                <w:color w:val="auto"/>
                <w:szCs w:val="24"/>
                <w:highlight w:val="none"/>
              </w:rPr>
            </w:pPr>
            <w:r>
              <w:rPr>
                <w:rFonts w:hint="eastAsia" w:ascii="仿宋" w:hAnsi="仿宋" w:eastAsia="仿宋" w:cs="仿宋"/>
                <w:b/>
                <w:bCs/>
                <w:color w:val="auto"/>
                <w:spacing w:val="-4"/>
                <w:kern w:val="0"/>
                <w:szCs w:val="24"/>
                <w:highlight w:val="none"/>
                <w:lang w:bidi="ar"/>
              </w:rPr>
              <w:t>评价人员签字：</w:t>
            </w:r>
          </w:p>
          <w:p w14:paraId="352B44A9">
            <w:pPr>
              <w:pStyle w:val="18"/>
              <w:spacing w:before="29"/>
              <w:ind w:left="126"/>
              <w:rPr>
                <w:rFonts w:ascii="仿宋" w:hAnsi="仿宋" w:eastAsia="仿宋" w:cs="仿宋"/>
                <w:color w:val="auto"/>
                <w:szCs w:val="24"/>
                <w:highlight w:val="none"/>
              </w:rPr>
            </w:pPr>
            <w:r>
              <w:rPr>
                <w:rFonts w:hint="eastAsia" w:ascii="仿宋" w:hAnsi="仿宋" w:eastAsia="仿宋" w:cs="仿宋"/>
                <w:b/>
                <w:bCs/>
                <w:color w:val="auto"/>
                <w:spacing w:val="-8"/>
                <w:kern w:val="0"/>
                <w:szCs w:val="24"/>
                <w:highlight w:val="none"/>
                <w:lang w:bidi="ar"/>
              </w:rPr>
              <w:t>评价日期：</w:t>
            </w:r>
            <w:r>
              <w:rPr>
                <w:rFonts w:hint="eastAsia" w:ascii="仿宋" w:hAnsi="仿宋" w:eastAsia="仿宋" w:cs="仿宋"/>
                <w:color w:val="auto"/>
                <w:spacing w:val="6"/>
                <w:kern w:val="0"/>
                <w:szCs w:val="24"/>
                <w:highlight w:val="none"/>
                <w:lang w:bidi="ar"/>
              </w:rPr>
              <w:t xml:space="preserve">    </w:t>
            </w:r>
            <w:r>
              <w:rPr>
                <w:rFonts w:hint="eastAsia" w:ascii="仿宋" w:hAnsi="仿宋" w:eastAsia="仿宋" w:cs="仿宋"/>
                <w:color w:val="auto"/>
                <w:spacing w:val="-8"/>
                <w:kern w:val="0"/>
                <w:szCs w:val="24"/>
                <w:highlight w:val="none"/>
                <w:lang w:bidi="ar"/>
              </w:rPr>
              <w:t>年</w:t>
            </w:r>
            <w:r>
              <w:rPr>
                <w:rFonts w:hint="eastAsia" w:ascii="仿宋" w:hAnsi="仿宋" w:eastAsia="仿宋" w:cs="仿宋"/>
                <w:color w:val="auto"/>
                <w:spacing w:val="10"/>
                <w:kern w:val="0"/>
                <w:szCs w:val="24"/>
                <w:highlight w:val="none"/>
                <w:lang w:bidi="ar"/>
              </w:rPr>
              <w:t xml:space="preserve">  </w:t>
            </w:r>
            <w:r>
              <w:rPr>
                <w:rFonts w:hint="eastAsia" w:ascii="仿宋" w:hAnsi="仿宋" w:eastAsia="仿宋" w:cs="仿宋"/>
                <w:color w:val="auto"/>
                <w:spacing w:val="-8"/>
                <w:kern w:val="0"/>
                <w:szCs w:val="24"/>
                <w:highlight w:val="none"/>
                <w:lang w:bidi="ar"/>
              </w:rPr>
              <w:t>月</w:t>
            </w:r>
            <w:r>
              <w:rPr>
                <w:rFonts w:hint="eastAsia" w:ascii="仿宋" w:hAnsi="仿宋" w:eastAsia="仿宋" w:cs="仿宋"/>
                <w:color w:val="auto"/>
                <w:spacing w:val="28"/>
                <w:kern w:val="0"/>
                <w:szCs w:val="24"/>
                <w:highlight w:val="none"/>
                <w:lang w:bidi="ar"/>
              </w:rPr>
              <w:t xml:space="preserve">  </w:t>
            </w:r>
            <w:r>
              <w:rPr>
                <w:rFonts w:hint="eastAsia" w:ascii="仿宋" w:hAnsi="仿宋" w:eastAsia="仿宋" w:cs="仿宋"/>
                <w:color w:val="auto"/>
                <w:spacing w:val="-8"/>
                <w:kern w:val="0"/>
                <w:szCs w:val="24"/>
                <w:highlight w:val="none"/>
                <w:lang w:bidi="ar"/>
              </w:rPr>
              <w:t>日</w:t>
            </w:r>
          </w:p>
        </w:tc>
      </w:tr>
    </w:tbl>
    <w:p w14:paraId="3C54A849">
      <w:pPr>
        <w:rPr>
          <w:rFonts w:ascii="Arial" w:hAnsi="Calibri"/>
          <w:color w:val="auto"/>
          <w:szCs w:val="21"/>
          <w:highlight w:val="none"/>
        </w:rPr>
      </w:pPr>
      <w:r>
        <w:rPr>
          <w:rFonts w:ascii="Arial" w:hAnsi="Calibri"/>
          <w:color w:val="auto"/>
          <w:kern w:val="0"/>
          <w:szCs w:val="21"/>
          <w:highlight w:val="none"/>
          <w:lang w:bidi="ar"/>
        </w:rPr>
        <w:t xml:space="preserve"> </w:t>
      </w:r>
    </w:p>
    <w:p w14:paraId="53D9E923">
      <w:pPr>
        <w:rPr>
          <w:rFonts w:ascii="Arial" w:hAnsi="Arial" w:cs="Arial"/>
          <w:color w:val="auto"/>
          <w:szCs w:val="21"/>
          <w:highlight w:val="none"/>
        </w:rPr>
        <w:sectPr>
          <w:pgSz w:w="11906" w:h="16839"/>
          <w:pgMar w:top="400" w:right="1065" w:bottom="1223" w:left="1677" w:header="1" w:footer="1061" w:gutter="0"/>
          <w:cols w:space="720" w:num="1"/>
          <w:formProt w:val="0"/>
          <w:docGrid w:type="linesAndChars" w:linePitch="312" w:charSpace="0"/>
        </w:sectPr>
      </w:pPr>
    </w:p>
    <w:p w14:paraId="228D41BA">
      <w:pPr>
        <w:pStyle w:val="18"/>
        <w:autoSpaceDE w:val="0"/>
        <w:spacing w:line="360" w:lineRule="auto"/>
        <w:jc w:val="center"/>
        <w:rPr>
          <w:rFonts w:ascii="微软雅黑" w:hAnsi="微软雅黑" w:eastAsia="微软雅黑" w:cs="微软雅黑"/>
          <w:b/>
          <w:bCs/>
          <w:color w:val="auto"/>
          <w:spacing w:val="25"/>
          <w:position w:val="-1"/>
          <w:sz w:val="35"/>
          <w:szCs w:val="35"/>
          <w:highlight w:val="none"/>
        </w:rPr>
      </w:pPr>
      <w:r>
        <w:rPr>
          <w:rFonts w:hint="eastAsia" w:ascii="宋体" w:hAnsi="宋体" w:cs="宋体"/>
          <w:b/>
          <w:bCs/>
          <w:color w:val="auto"/>
          <w:kern w:val="0"/>
          <w:szCs w:val="24"/>
          <w:highlight w:val="none"/>
          <w:lang w:bidi="ar"/>
        </w:rPr>
        <w:t>附件4：承包商安全生产 “吹哨人” 和隐患内部报告奖励统计表</w:t>
      </w:r>
    </w:p>
    <w:p w14:paraId="3294B62D">
      <w:pPr>
        <w:spacing w:before="207" w:line="354" w:lineRule="exact"/>
        <w:jc w:val="center"/>
        <w:outlineLvl w:val="1"/>
        <w:rPr>
          <w:rFonts w:ascii="微软雅黑" w:hAnsi="微软雅黑" w:eastAsia="微软雅黑" w:cs="微软雅黑"/>
          <w:color w:val="auto"/>
          <w:sz w:val="35"/>
          <w:szCs w:val="35"/>
          <w:highlight w:val="none"/>
        </w:rPr>
      </w:pPr>
      <w:r>
        <w:rPr>
          <w:rFonts w:hint="eastAsia" w:ascii="微软雅黑" w:hAnsi="微软雅黑" w:eastAsia="微软雅黑" w:cs="微软雅黑"/>
          <w:color w:val="auto"/>
          <w:spacing w:val="17"/>
          <w:kern w:val="0"/>
          <w:position w:val="-1"/>
          <w:sz w:val="35"/>
          <w:szCs w:val="35"/>
          <w:highlight w:val="none"/>
          <w:lang w:bidi="ar"/>
        </w:rPr>
        <w:t>承包商安全生产</w:t>
      </w:r>
      <w:r>
        <w:rPr>
          <w:rFonts w:hint="eastAsia" w:ascii="微软雅黑" w:hAnsi="微软雅黑" w:eastAsia="微软雅黑" w:cs="微软雅黑"/>
          <w:color w:val="auto"/>
          <w:spacing w:val="86"/>
          <w:kern w:val="0"/>
          <w:position w:val="-1"/>
          <w:sz w:val="35"/>
          <w:szCs w:val="35"/>
          <w:highlight w:val="none"/>
          <w:lang w:bidi="ar"/>
        </w:rPr>
        <w:t xml:space="preserve"> </w:t>
      </w:r>
      <w:r>
        <w:rPr>
          <w:rFonts w:ascii="Calibri" w:hAnsi="Calibri"/>
          <w:color w:val="auto"/>
          <w:kern w:val="0"/>
          <w:szCs w:val="21"/>
          <w:highlight w:val="none"/>
        </w:rPr>
        <w:drawing>
          <wp:inline distT="0" distB="0" distL="114300" distR="114300">
            <wp:extent cx="104775" cy="76200"/>
            <wp:effectExtent l="0" t="0" r="9525" b="0"/>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12"/>
                    <a:stretch>
                      <a:fillRect/>
                    </a:stretch>
                  </pic:blipFill>
                  <pic:spPr>
                    <a:xfrm>
                      <a:off x="0" y="0"/>
                      <a:ext cx="104775" cy="76200"/>
                    </a:xfrm>
                    <a:prstGeom prst="rect">
                      <a:avLst/>
                    </a:prstGeom>
                    <a:noFill/>
                    <a:ln w="9525">
                      <a:noFill/>
                    </a:ln>
                  </pic:spPr>
                </pic:pic>
              </a:graphicData>
            </a:graphic>
          </wp:inline>
        </w:drawing>
      </w:r>
      <w:r>
        <w:rPr>
          <w:rFonts w:hint="eastAsia" w:ascii="微软雅黑" w:hAnsi="微软雅黑" w:eastAsia="微软雅黑" w:cs="微软雅黑"/>
          <w:color w:val="auto"/>
          <w:spacing w:val="17"/>
          <w:kern w:val="0"/>
          <w:position w:val="-1"/>
          <w:sz w:val="35"/>
          <w:szCs w:val="35"/>
          <w:highlight w:val="none"/>
          <w:lang w:bidi="ar"/>
        </w:rPr>
        <w:t>吹哨人</w:t>
      </w:r>
      <w:r>
        <w:rPr>
          <w:rFonts w:ascii="Calibri" w:hAnsi="Calibri"/>
          <w:color w:val="auto"/>
          <w:kern w:val="0"/>
          <w:szCs w:val="21"/>
          <w:highlight w:val="none"/>
        </w:rPr>
        <w:drawing>
          <wp:inline distT="0" distB="0" distL="114300" distR="114300">
            <wp:extent cx="104775" cy="76200"/>
            <wp:effectExtent l="0" t="0" r="9525" b="0"/>
            <wp:docPr id="6"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7"/>
                    <pic:cNvPicPr>
                      <a:picLocks noChangeAspect="1"/>
                    </pic:cNvPicPr>
                  </pic:nvPicPr>
                  <pic:blipFill>
                    <a:blip r:embed="rId13"/>
                    <a:stretch>
                      <a:fillRect/>
                    </a:stretch>
                  </pic:blipFill>
                  <pic:spPr>
                    <a:xfrm>
                      <a:off x="0" y="0"/>
                      <a:ext cx="104775" cy="76200"/>
                    </a:xfrm>
                    <a:prstGeom prst="rect">
                      <a:avLst/>
                    </a:prstGeom>
                    <a:noFill/>
                    <a:ln w="9525">
                      <a:noFill/>
                    </a:ln>
                  </pic:spPr>
                </pic:pic>
              </a:graphicData>
            </a:graphic>
          </wp:inline>
        </w:drawing>
      </w:r>
      <w:r>
        <w:rPr>
          <w:rFonts w:hint="eastAsia" w:ascii="微软雅黑" w:hAnsi="微软雅黑" w:eastAsia="微软雅黑" w:cs="微软雅黑"/>
          <w:color w:val="auto"/>
          <w:spacing w:val="86"/>
          <w:kern w:val="0"/>
          <w:position w:val="-1"/>
          <w:sz w:val="35"/>
          <w:szCs w:val="35"/>
          <w:highlight w:val="none"/>
          <w:lang w:bidi="ar"/>
        </w:rPr>
        <w:t xml:space="preserve"> </w:t>
      </w:r>
      <w:r>
        <w:rPr>
          <w:rFonts w:hint="eastAsia" w:ascii="微软雅黑" w:hAnsi="微软雅黑" w:eastAsia="微软雅黑" w:cs="微软雅黑"/>
          <w:color w:val="auto"/>
          <w:spacing w:val="17"/>
          <w:kern w:val="0"/>
          <w:position w:val="-1"/>
          <w:sz w:val="35"/>
          <w:szCs w:val="35"/>
          <w:highlight w:val="none"/>
          <w:lang w:bidi="ar"/>
        </w:rPr>
        <w:t>和隐患内部报告奖励统计</w:t>
      </w:r>
      <w:r>
        <w:rPr>
          <w:rFonts w:hint="eastAsia" w:ascii="微软雅黑" w:hAnsi="微软雅黑" w:eastAsia="微软雅黑" w:cs="微软雅黑"/>
          <w:color w:val="auto"/>
          <w:spacing w:val="16"/>
          <w:kern w:val="0"/>
          <w:position w:val="-1"/>
          <w:sz w:val="35"/>
          <w:szCs w:val="35"/>
          <w:highlight w:val="none"/>
          <w:lang w:bidi="ar"/>
        </w:rPr>
        <w:t>表</w:t>
      </w:r>
    </w:p>
    <w:p w14:paraId="1D5F8993">
      <w:pPr>
        <w:spacing w:line="319" w:lineRule="auto"/>
        <w:rPr>
          <w:rFonts w:ascii="Arial" w:hAnsi="Calibri"/>
          <w:color w:val="auto"/>
          <w:szCs w:val="21"/>
          <w:highlight w:val="none"/>
        </w:rPr>
      </w:pPr>
      <w:r>
        <w:rPr>
          <w:rFonts w:ascii="Arial" w:hAnsi="Calibri"/>
          <w:color w:val="auto"/>
          <w:kern w:val="0"/>
          <w:szCs w:val="21"/>
          <w:highlight w:val="none"/>
          <w:lang w:bidi="ar"/>
        </w:rPr>
        <w:t xml:space="preserve"> </w:t>
      </w:r>
    </w:p>
    <w:p w14:paraId="42247FA4">
      <w:pPr>
        <w:pStyle w:val="18"/>
        <w:spacing w:before="78"/>
        <w:ind w:left="515"/>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统计期间：</w:t>
      </w:r>
      <w:r>
        <w:rPr>
          <w:rFonts w:hint="eastAsia" w:ascii="仿宋" w:hAnsi="仿宋" w:eastAsia="仿宋" w:cs="仿宋"/>
          <w:color w:val="auto"/>
          <w:spacing w:val="6"/>
          <w:kern w:val="0"/>
          <w:szCs w:val="24"/>
          <w:highlight w:val="none"/>
          <w:lang w:bidi="ar"/>
        </w:rPr>
        <w:t xml:space="preserve">    </w:t>
      </w:r>
      <w:r>
        <w:rPr>
          <w:rFonts w:hint="eastAsia" w:ascii="仿宋" w:hAnsi="仿宋" w:eastAsia="仿宋" w:cs="仿宋"/>
          <w:color w:val="auto"/>
          <w:spacing w:val="-13"/>
          <w:kern w:val="0"/>
          <w:szCs w:val="24"/>
          <w:highlight w:val="none"/>
          <w:lang w:bidi="ar"/>
        </w:rPr>
        <w:t>年</w:t>
      </w:r>
      <w:r>
        <w:rPr>
          <w:rFonts w:hint="eastAsia" w:ascii="仿宋" w:hAnsi="仿宋" w:eastAsia="仿宋" w:cs="仿宋"/>
          <w:color w:val="auto"/>
          <w:spacing w:val="7"/>
          <w:kern w:val="0"/>
          <w:szCs w:val="24"/>
          <w:highlight w:val="none"/>
          <w:lang w:bidi="ar"/>
        </w:rPr>
        <w:t xml:space="preserve">   </w:t>
      </w:r>
      <w:r>
        <w:rPr>
          <w:rFonts w:hint="eastAsia" w:ascii="仿宋" w:hAnsi="仿宋" w:eastAsia="仿宋" w:cs="仿宋"/>
          <w:color w:val="auto"/>
          <w:spacing w:val="-13"/>
          <w:kern w:val="0"/>
          <w:szCs w:val="24"/>
          <w:highlight w:val="none"/>
          <w:lang w:bidi="ar"/>
        </w:rPr>
        <w:t>月</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3"/>
          <w:kern w:val="0"/>
          <w:szCs w:val="24"/>
          <w:highlight w:val="none"/>
          <w:lang w:bidi="ar"/>
        </w:rPr>
        <w:t>日至</w:t>
      </w:r>
      <w:r>
        <w:rPr>
          <w:rFonts w:hint="eastAsia" w:ascii="仿宋" w:hAnsi="仿宋" w:eastAsia="仿宋" w:cs="仿宋"/>
          <w:color w:val="auto"/>
          <w:spacing w:val="3"/>
          <w:kern w:val="0"/>
          <w:szCs w:val="24"/>
          <w:highlight w:val="none"/>
          <w:lang w:bidi="ar"/>
        </w:rPr>
        <w:t xml:space="preserve">    </w:t>
      </w:r>
      <w:r>
        <w:rPr>
          <w:rFonts w:hint="eastAsia" w:ascii="仿宋" w:hAnsi="仿宋" w:eastAsia="仿宋" w:cs="仿宋"/>
          <w:color w:val="auto"/>
          <w:spacing w:val="-13"/>
          <w:kern w:val="0"/>
          <w:szCs w:val="24"/>
          <w:highlight w:val="none"/>
          <w:lang w:bidi="ar"/>
        </w:rPr>
        <w:t>年</w:t>
      </w:r>
      <w:r>
        <w:rPr>
          <w:rFonts w:hint="eastAsia" w:ascii="仿宋" w:hAnsi="仿宋" w:eastAsia="仿宋" w:cs="仿宋"/>
          <w:color w:val="auto"/>
          <w:spacing w:val="11"/>
          <w:kern w:val="0"/>
          <w:szCs w:val="24"/>
          <w:highlight w:val="none"/>
          <w:lang w:bidi="ar"/>
        </w:rPr>
        <w:t xml:space="preserve">  </w:t>
      </w:r>
      <w:r>
        <w:rPr>
          <w:rFonts w:hint="eastAsia" w:ascii="仿宋" w:hAnsi="仿宋" w:eastAsia="仿宋" w:cs="仿宋"/>
          <w:color w:val="auto"/>
          <w:spacing w:val="-13"/>
          <w:kern w:val="0"/>
          <w:szCs w:val="24"/>
          <w:highlight w:val="none"/>
          <w:lang w:bidi="ar"/>
        </w:rPr>
        <w:t>月</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3"/>
          <w:kern w:val="0"/>
          <w:szCs w:val="24"/>
          <w:highlight w:val="none"/>
          <w:lang w:bidi="ar"/>
        </w:rPr>
        <w:t>日</w:t>
      </w:r>
    </w:p>
    <w:p w14:paraId="1BEDA0A3">
      <w:pPr>
        <w:spacing w:line="33" w:lineRule="exact"/>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13124"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4"/>
        <w:gridCol w:w="1929"/>
        <w:gridCol w:w="960"/>
        <w:gridCol w:w="960"/>
        <w:gridCol w:w="1239"/>
        <w:gridCol w:w="1239"/>
        <w:gridCol w:w="1029"/>
        <w:gridCol w:w="960"/>
        <w:gridCol w:w="960"/>
        <w:gridCol w:w="960"/>
        <w:gridCol w:w="960"/>
        <w:gridCol w:w="964"/>
      </w:tblGrid>
      <w:tr w14:paraId="274C0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964" w:type="dxa"/>
            <w:vMerge w:val="restart"/>
            <w:tcBorders>
              <w:top w:val="single" w:color="000000" w:sz="2" w:space="0"/>
              <w:left w:val="single" w:color="000000" w:sz="2" w:space="0"/>
              <w:bottom w:val="nil"/>
              <w:right w:val="single" w:color="000000" w:sz="2" w:space="0"/>
            </w:tcBorders>
            <w:shd w:val="clear" w:color="auto" w:fill="auto"/>
          </w:tcPr>
          <w:p w14:paraId="5621B2D9">
            <w:pPr>
              <w:spacing w:line="302" w:lineRule="auto"/>
              <w:rPr>
                <w:rFonts w:ascii="Arial" w:hAnsi="Calibri"/>
                <w:color w:val="auto"/>
                <w:szCs w:val="21"/>
                <w:highlight w:val="none"/>
              </w:rPr>
            </w:pPr>
          </w:p>
          <w:p w14:paraId="7181ADA0">
            <w:pPr>
              <w:spacing w:line="302" w:lineRule="auto"/>
              <w:rPr>
                <w:rFonts w:ascii="Arial" w:hAnsi="Calibri"/>
                <w:color w:val="auto"/>
                <w:szCs w:val="21"/>
                <w:highlight w:val="none"/>
              </w:rPr>
            </w:pPr>
          </w:p>
          <w:p w14:paraId="102F9792">
            <w:pPr>
              <w:pStyle w:val="18"/>
              <w:spacing w:before="78"/>
              <w:ind w:left="113" w:right="106" w:firstLine="5"/>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承包商</w:t>
            </w:r>
            <w:r>
              <w:rPr>
                <w:rFonts w:hint="eastAsia" w:ascii="仿宋" w:hAnsi="仿宋" w:eastAsia="仿宋" w:cs="仿宋"/>
                <w:color w:val="auto"/>
                <w:spacing w:val="-3"/>
                <w:kern w:val="0"/>
                <w:szCs w:val="24"/>
                <w:highlight w:val="none"/>
                <w:lang w:bidi="ar"/>
              </w:rPr>
              <w:t>名称</w:t>
            </w:r>
          </w:p>
        </w:tc>
        <w:tc>
          <w:tcPr>
            <w:tcW w:w="1929" w:type="dxa"/>
            <w:vMerge w:val="restart"/>
            <w:tcBorders>
              <w:top w:val="single" w:color="000000" w:sz="2" w:space="0"/>
              <w:left w:val="single" w:color="000000" w:sz="2" w:space="0"/>
              <w:bottom w:val="nil"/>
              <w:right w:val="single" w:color="000000" w:sz="2" w:space="0"/>
            </w:tcBorders>
            <w:shd w:val="clear" w:color="auto" w:fill="auto"/>
          </w:tcPr>
          <w:p w14:paraId="7C0F0910">
            <w:pPr>
              <w:spacing w:line="295" w:lineRule="auto"/>
              <w:rPr>
                <w:rFonts w:ascii="Arial" w:hAnsi="Calibri"/>
                <w:color w:val="auto"/>
                <w:szCs w:val="21"/>
                <w:highlight w:val="none"/>
              </w:rPr>
            </w:pPr>
          </w:p>
          <w:p w14:paraId="5AB7C9D9">
            <w:pPr>
              <w:pStyle w:val="18"/>
              <w:spacing w:before="78"/>
              <w:ind w:left="126"/>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是否建立安全生</w:t>
            </w:r>
          </w:p>
          <w:p w14:paraId="0E8DA1C6">
            <w:pPr>
              <w:pStyle w:val="18"/>
              <w:spacing w:before="28"/>
              <w:ind w:left="13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产</w:t>
            </w:r>
            <w:r>
              <w:rPr>
                <w:rFonts w:hint="eastAsia" w:ascii="仿宋" w:hAnsi="仿宋" w:eastAsia="仿宋" w:cs="仿宋"/>
                <w:color w:val="auto"/>
                <w:spacing w:val="-82"/>
                <w:kern w:val="0"/>
                <w:szCs w:val="24"/>
                <w:highlight w:val="none"/>
                <w:lang w:bidi="ar"/>
              </w:rPr>
              <w:t xml:space="preserve"> </w:t>
            </w:r>
            <w:r>
              <w:rPr>
                <w:rFonts w:hint="eastAsia" w:ascii="仿宋" w:hAnsi="仿宋" w:eastAsia="仿宋" w:cs="仿宋"/>
                <w:color w:val="auto"/>
                <w:spacing w:val="-7"/>
                <w:kern w:val="0"/>
                <w:szCs w:val="24"/>
                <w:highlight w:val="none"/>
                <w:lang w:bidi="ar"/>
              </w:rPr>
              <w:t>“吹哨人”或</w:t>
            </w:r>
          </w:p>
          <w:p w14:paraId="6ED4A7E8">
            <w:pPr>
              <w:pStyle w:val="18"/>
              <w:spacing w:before="29"/>
              <w:ind w:left="149"/>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隐患内部报告奖</w:t>
            </w:r>
          </w:p>
          <w:p w14:paraId="573F2132">
            <w:pPr>
              <w:pStyle w:val="18"/>
              <w:spacing w:before="30"/>
              <w:ind w:left="608"/>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励制度</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1E721384">
            <w:pPr>
              <w:spacing w:line="302" w:lineRule="auto"/>
              <w:rPr>
                <w:rFonts w:ascii="Arial" w:hAnsi="Calibri"/>
                <w:color w:val="auto"/>
                <w:szCs w:val="21"/>
                <w:highlight w:val="none"/>
              </w:rPr>
            </w:pPr>
          </w:p>
          <w:p w14:paraId="4864B41F">
            <w:pPr>
              <w:spacing w:line="302" w:lineRule="auto"/>
              <w:rPr>
                <w:rFonts w:ascii="Arial" w:hAnsi="Calibri"/>
                <w:color w:val="auto"/>
                <w:szCs w:val="21"/>
                <w:highlight w:val="none"/>
              </w:rPr>
            </w:pPr>
          </w:p>
          <w:p w14:paraId="58795147">
            <w:pPr>
              <w:pStyle w:val="18"/>
              <w:spacing w:before="78"/>
              <w:ind w:left="368" w:right="118" w:hanging="235"/>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制度名</w:t>
            </w:r>
            <w:r>
              <w:rPr>
                <w:rFonts w:hint="eastAsia" w:ascii="仿宋" w:hAnsi="仿宋" w:eastAsia="仿宋" w:cs="仿宋"/>
                <w:color w:val="auto"/>
                <w:kern w:val="0"/>
                <w:szCs w:val="24"/>
                <w:highlight w:val="none"/>
                <w:lang w:bidi="ar"/>
              </w:rPr>
              <w:t>称</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1A6FC679">
            <w:pPr>
              <w:spacing w:line="451" w:lineRule="auto"/>
              <w:rPr>
                <w:rFonts w:ascii="Arial" w:hAnsi="Calibri"/>
                <w:color w:val="auto"/>
                <w:szCs w:val="21"/>
                <w:highlight w:val="none"/>
              </w:rPr>
            </w:pPr>
          </w:p>
          <w:p w14:paraId="42DE3993">
            <w:pPr>
              <w:pStyle w:val="18"/>
              <w:spacing w:before="78"/>
              <w:ind w:left="144"/>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隐患是</w:t>
            </w:r>
          </w:p>
          <w:p w14:paraId="7FC30E64">
            <w:pPr>
              <w:pStyle w:val="18"/>
              <w:spacing w:before="27"/>
              <w:ind w:left="135"/>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否分级</w:t>
            </w:r>
          </w:p>
          <w:p w14:paraId="5710EBA4">
            <w:pPr>
              <w:pStyle w:val="18"/>
              <w:spacing w:before="28"/>
              <w:ind w:left="261"/>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奖励</w:t>
            </w:r>
          </w:p>
        </w:tc>
        <w:tc>
          <w:tcPr>
            <w:tcW w:w="3507" w:type="dxa"/>
            <w:gridSpan w:val="3"/>
            <w:tcBorders>
              <w:top w:val="single" w:color="000000" w:sz="2" w:space="0"/>
              <w:left w:val="single" w:color="000000" w:sz="2" w:space="0"/>
              <w:bottom w:val="single" w:color="000000" w:sz="2" w:space="0"/>
              <w:right w:val="single" w:color="000000" w:sz="2" w:space="0"/>
            </w:tcBorders>
            <w:shd w:val="clear" w:color="auto" w:fill="auto"/>
          </w:tcPr>
          <w:p w14:paraId="556BF0E3">
            <w:pPr>
              <w:pStyle w:val="18"/>
              <w:spacing w:before="315"/>
              <w:ind w:left="1295"/>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一般隐患</w:t>
            </w:r>
          </w:p>
        </w:tc>
        <w:tc>
          <w:tcPr>
            <w:tcW w:w="2880" w:type="dxa"/>
            <w:gridSpan w:val="3"/>
            <w:tcBorders>
              <w:top w:val="single" w:color="000000" w:sz="2" w:space="0"/>
              <w:left w:val="single" w:color="000000" w:sz="2" w:space="0"/>
              <w:bottom w:val="single" w:color="000000" w:sz="2" w:space="0"/>
              <w:right w:val="single" w:color="000000" w:sz="2" w:space="0"/>
            </w:tcBorders>
            <w:shd w:val="clear" w:color="auto" w:fill="auto"/>
          </w:tcPr>
          <w:p w14:paraId="362D74FC">
            <w:pPr>
              <w:pStyle w:val="18"/>
              <w:spacing w:before="315"/>
              <w:ind w:left="978"/>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重大隐患</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6F542446">
            <w:pPr>
              <w:spacing w:line="302" w:lineRule="auto"/>
              <w:rPr>
                <w:rFonts w:ascii="Arial" w:hAnsi="Calibri"/>
                <w:color w:val="auto"/>
                <w:szCs w:val="21"/>
                <w:highlight w:val="none"/>
              </w:rPr>
            </w:pPr>
          </w:p>
          <w:p w14:paraId="103E0A76">
            <w:pPr>
              <w:spacing w:line="302" w:lineRule="auto"/>
              <w:rPr>
                <w:rFonts w:ascii="Arial" w:hAnsi="Calibri"/>
                <w:color w:val="auto"/>
                <w:szCs w:val="21"/>
                <w:highlight w:val="none"/>
              </w:rPr>
            </w:pPr>
          </w:p>
          <w:p w14:paraId="05EAFCC8">
            <w:pPr>
              <w:pStyle w:val="18"/>
              <w:spacing w:before="78"/>
              <w:ind w:left="127" w:right="116" w:firstLine="15"/>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奖励费</w:t>
            </w:r>
            <w:r>
              <w:rPr>
                <w:rFonts w:hint="eastAsia" w:ascii="仿宋" w:hAnsi="仿宋" w:eastAsia="仿宋" w:cs="仿宋"/>
                <w:color w:val="auto"/>
                <w:spacing w:val="-4"/>
                <w:kern w:val="0"/>
                <w:szCs w:val="24"/>
                <w:highlight w:val="none"/>
                <w:lang w:bidi="ar"/>
              </w:rPr>
              <w:t>用出处</w:t>
            </w:r>
          </w:p>
        </w:tc>
        <w:tc>
          <w:tcPr>
            <w:tcW w:w="964" w:type="dxa"/>
            <w:vMerge w:val="restart"/>
            <w:tcBorders>
              <w:top w:val="single" w:color="000000" w:sz="2" w:space="0"/>
              <w:left w:val="single" w:color="000000" w:sz="2" w:space="0"/>
              <w:bottom w:val="nil"/>
              <w:right w:val="single" w:color="000000" w:sz="2" w:space="0"/>
            </w:tcBorders>
            <w:shd w:val="clear" w:color="auto" w:fill="auto"/>
          </w:tcPr>
          <w:p w14:paraId="72F4BF88">
            <w:pPr>
              <w:spacing w:line="252" w:lineRule="auto"/>
              <w:rPr>
                <w:rFonts w:ascii="Arial" w:hAnsi="Calibri"/>
                <w:color w:val="auto"/>
                <w:szCs w:val="21"/>
                <w:highlight w:val="none"/>
              </w:rPr>
            </w:pPr>
          </w:p>
          <w:p w14:paraId="4E6A1420">
            <w:pPr>
              <w:spacing w:line="252" w:lineRule="auto"/>
              <w:rPr>
                <w:rFonts w:ascii="Arial" w:hAnsi="Calibri"/>
                <w:color w:val="auto"/>
                <w:szCs w:val="21"/>
                <w:highlight w:val="none"/>
              </w:rPr>
            </w:pPr>
          </w:p>
          <w:p w14:paraId="0898D096">
            <w:pPr>
              <w:spacing w:line="254" w:lineRule="auto"/>
              <w:rPr>
                <w:rFonts w:ascii="Arial" w:hAnsi="Calibri"/>
                <w:color w:val="auto"/>
                <w:szCs w:val="21"/>
                <w:highlight w:val="none"/>
              </w:rPr>
            </w:pPr>
          </w:p>
          <w:p w14:paraId="3A5D2525">
            <w:pPr>
              <w:pStyle w:val="18"/>
              <w:spacing w:before="78"/>
              <w:ind w:left="25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备注</w:t>
            </w:r>
          </w:p>
        </w:tc>
      </w:tr>
      <w:tr w14:paraId="09F97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4" w:hRule="atLeast"/>
        </w:trPr>
        <w:tc>
          <w:tcPr>
            <w:tcW w:w="964" w:type="dxa"/>
            <w:vMerge w:val="continue"/>
            <w:tcBorders>
              <w:top w:val="single" w:color="000000" w:sz="2" w:space="0"/>
              <w:left w:val="single" w:color="000000" w:sz="2" w:space="0"/>
              <w:bottom w:val="nil"/>
              <w:right w:val="single" w:color="000000" w:sz="2" w:space="0"/>
            </w:tcBorders>
            <w:shd w:val="clear" w:color="auto" w:fill="auto"/>
          </w:tcPr>
          <w:p w14:paraId="2844AA27">
            <w:pPr>
              <w:rPr>
                <w:color w:val="auto"/>
                <w:sz w:val="20"/>
                <w:szCs w:val="20"/>
                <w:highlight w:val="none"/>
              </w:rPr>
            </w:pPr>
          </w:p>
        </w:tc>
        <w:tc>
          <w:tcPr>
            <w:tcW w:w="1929" w:type="dxa"/>
            <w:vMerge w:val="continue"/>
            <w:tcBorders>
              <w:top w:val="single" w:color="000000" w:sz="2" w:space="0"/>
              <w:left w:val="single" w:color="000000" w:sz="2" w:space="0"/>
              <w:bottom w:val="nil"/>
              <w:right w:val="single" w:color="000000" w:sz="2" w:space="0"/>
            </w:tcBorders>
            <w:shd w:val="clear" w:color="auto" w:fill="auto"/>
          </w:tcPr>
          <w:p w14:paraId="0A715270">
            <w:pPr>
              <w:rPr>
                <w:color w:val="auto"/>
                <w:sz w:val="20"/>
                <w:szCs w:val="20"/>
                <w:highlight w:val="none"/>
              </w:rPr>
            </w:pP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74D6C3B4">
            <w:pPr>
              <w:rPr>
                <w:color w:val="auto"/>
                <w:sz w:val="20"/>
                <w:szCs w:val="20"/>
                <w:highlight w:val="none"/>
              </w:rPr>
            </w:pP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2F9E8D9A">
            <w:pPr>
              <w:rPr>
                <w:color w:val="auto"/>
                <w:sz w:val="20"/>
                <w:szCs w:val="20"/>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1A845117">
            <w:pPr>
              <w:pStyle w:val="18"/>
              <w:spacing w:before="251" w:line="242" w:lineRule="auto"/>
              <w:ind w:left="260" w:right="138" w:hanging="10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奖励标准</w:t>
            </w:r>
            <w:r>
              <w:rPr>
                <w:rFonts w:hint="eastAsia" w:ascii="仿宋" w:hAnsi="仿宋" w:eastAsia="仿宋" w:cs="仿宋"/>
                <w:color w:val="auto"/>
                <w:spacing w:val="-8"/>
                <w:kern w:val="0"/>
                <w:szCs w:val="24"/>
                <w:highlight w:val="none"/>
                <w:lang w:bidi="ar"/>
              </w:rPr>
              <w:t>（</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8"/>
                <w:kern w:val="0"/>
                <w:szCs w:val="24"/>
                <w:highlight w:val="none"/>
                <w:lang w:bidi="ar"/>
              </w:rPr>
              <w:t>元）</w:t>
            </w: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113251E8">
            <w:pPr>
              <w:pStyle w:val="18"/>
              <w:spacing w:before="253"/>
              <w:ind w:left="262" w:right="136" w:hanging="10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奖励数量</w:t>
            </w:r>
            <w:r>
              <w:rPr>
                <w:rFonts w:hint="eastAsia" w:ascii="仿宋" w:hAnsi="仿宋" w:eastAsia="仿宋" w:cs="仿宋"/>
                <w:color w:val="auto"/>
                <w:spacing w:val="8"/>
                <w:kern w:val="0"/>
                <w:szCs w:val="24"/>
                <w:highlight w:val="none"/>
                <w:lang w:bidi="ar"/>
              </w:rPr>
              <w:t>（项）</w:t>
            </w: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6BF46CCC">
            <w:pPr>
              <w:pStyle w:val="18"/>
              <w:spacing w:before="252"/>
              <w:ind w:left="121" w:firstLine="56"/>
              <w:rPr>
                <w:rFonts w:ascii="仿宋" w:hAnsi="仿宋" w:eastAsia="仿宋" w:cs="仿宋"/>
                <w:color w:val="auto"/>
                <w:szCs w:val="24"/>
                <w:highlight w:val="none"/>
              </w:rPr>
            </w:pPr>
            <w:r>
              <w:rPr>
                <w:rFonts w:hint="eastAsia" w:ascii="仿宋" w:hAnsi="仿宋" w:eastAsia="仿宋" w:cs="仿宋"/>
                <w:color w:val="auto"/>
                <w:spacing w:val="-11"/>
                <w:kern w:val="0"/>
                <w:szCs w:val="24"/>
                <w:highlight w:val="none"/>
                <w:lang w:bidi="ar"/>
              </w:rPr>
              <w:t>奖励金</w:t>
            </w:r>
            <w:r>
              <w:rPr>
                <w:rFonts w:hint="eastAsia" w:ascii="仿宋" w:hAnsi="仿宋" w:eastAsia="仿宋" w:cs="仿宋"/>
                <w:color w:val="auto"/>
                <w:spacing w:val="-27"/>
                <w:kern w:val="0"/>
                <w:szCs w:val="24"/>
                <w:highlight w:val="none"/>
                <w:lang w:bidi="ar"/>
              </w:rPr>
              <w:t>额（</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27"/>
                <w:kern w:val="0"/>
                <w:szCs w:val="24"/>
                <w:highlight w:val="none"/>
                <w:lang w:bidi="ar"/>
              </w:rPr>
              <w:t>元）</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D5B2432">
            <w:pPr>
              <w:pStyle w:val="18"/>
              <w:spacing w:before="253"/>
              <w:ind w:left="120" w:firstLine="22"/>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奖励标</w:t>
            </w:r>
            <w:r>
              <w:rPr>
                <w:rFonts w:hint="eastAsia" w:ascii="仿宋" w:hAnsi="仿宋" w:eastAsia="仿宋" w:cs="仿宋"/>
                <w:color w:val="auto"/>
                <w:spacing w:val="-44"/>
                <w:kern w:val="0"/>
                <w:szCs w:val="24"/>
                <w:highlight w:val="none"/>
                <w:lang w:bidi="ar"/>
              </w:rPr>
              <w:t>准（</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44"/>
                <w:kern w:val="0"/>
                <w:szCs w:val="24"/>
                <w:highlight w:val="none"/>
                <w:lang w:bidi="ar"/>
              </w:rPr>
              <w:t>元）</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798FA685">
            <w:pPr>
              <w:pStyle w:val="18"/>
              <w:spacing w:before="253"/>
              <w:ind w:left="121" w:firstLine="21"/>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奖励数</w:t>
            </w:r>
            <w:r>
              <w:rPr>
                <w:rFonts w:hint="eastAsia" w:ascii="仿宋" w:hAnsi="仿宋" w:eastAsia="仿宋" w:cs="仿宋"/>
                <w:color w:val="auto"/>
                <w:spacing w:val="-32"/>
                <w:kern w:val="0"/>
                <w:szCs w:val="24"/>
                <w:highlight w:val="none"/>
                <w:lang w:bidi="ar"/>
              </w:rPr>
              <w:t>量（项）</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32B7DD6">
            <w:pPr>
              <w:pStyle w:val="18"/>
              <w:spacing w:before="252"/>
              <w:ind w:left="121" w:firstLine="21"/>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奖励金</w:t>
            </w:r>
            <w:r>
              <w:rPr>
                <w:rFonts w:hint="eastAsia" w:ascii="仿宋" w:hAnsi="仿宋" w:eastAsia="仿宋" w:cs="仿宋"/>
                <w:color w:val="auto"/>
                <w:spacing w:val="-44"/>
                <w:kern w:val="0"/>
                <w:szCs w:val="24"/>
                <w:highlight w:val="none"/>
                <w:lang w:bidi="ar"/>
              </w:rPr>
              <w:t>额（</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44"/>
                <w:kern w:val="0"/>
                <w:szCs w:val="24"/>
                <w:highlight w:val="none"/>
                <w:lang w:bidi="ar"/>
              </w:rPr>
              <w:t>元）</w:t>
            </w: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4358435C">
            <w:pPr>
              <w:rPr>
                <w:color w:val="auto"/>
                <w:sz w:val="20"/>
                <w:szCs w:val="20"/>
                <w:highlight w:val="none"/>
              </w:rPr>
            </w:pPr>
          </w:p>
        </w:tc>
        <w:tc>
          <w:tcPr>
            <w:tcW w:w="964" w:type="dxa"/>
            <w:vMerge w:val="continue"/>
            <w:tcBorders>
              <w:top w:val="single" w:color="000000" w:sz="2" w:space="0"/>
              <w:left w:val="single" w:color="000000" w:sz="2" w:space="0"/>
              <w:bottom w:val="nil"/>
              <w:right w:val="single" w:color="000000" w:sz="2" w:space="0"/>
            </w:tcBorders>
            <w:shd w:val="clear" w:color="auto" w:fill="auto"/>
          </w:tcPr>
          <w:p w14:paraId="63FB63CE">
            <w:pPr>
              <w:rPr>
                <w:color w:val="auto"/>
                <w:sz w:val="20"/>
                <w:szCs w:val="20"/>
                <w:highlight w:val="none"/>
              </w:rPr>
            </w:pPr>
          </w:p>
        </w:tc>
      </w:tr>
      <w:tr w14:paraId="1C28A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30410C41">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52082BF0">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56689688">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BC37B6E">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768788C1">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5181CAF3">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7B2F578D">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3A4E628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206C3CB">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E88B23D">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59140E8D">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19638B35">
            <w:pPr>
              <w:rPr>
                <w:rFonts w:ascii="Arial" w:hAnsi="Calibri"/>
                <w:color w:val="auto"/>
                <w:szCs w:val="21"/>
                <w:highlight w:val="none"/>
              </w:rPr>
            </w:pPr>
          </w:p>
        </w:tc>
      </w:tr>
      <w:tr w14:paraId="70B90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263BAFB8">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111EBF4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CC98830">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4C4EEBC">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7AF3BC18">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1E426F1C">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40A7FCB9">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50CE383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42FD4C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5539418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4385BEC">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4BBD7F64">
            <w:pPr>
              <w:rPr>
                <w:rFonts w:ascii="Arial" w:hAnsi="Calibri"/>
                <w:color w:val="auto"/>
                <w:szCs w:val="21"/>
                <w:highlight w:val="none"/>
              </w:rPr>
            </w:pPr>
          </w:p>
        </w:tc>
      </w:tr>
      <w:tr w14:paraId="0BC3B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13E85441">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1D0E07F9">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07FBB2A">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419AA97">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5B21EB7C">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3B3E277A">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5DC8DF7F">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39D4963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CD7F010">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7811101C">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1992FC6">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3FFF44CD">
            <w:pPr>
              <w:rPr>
                <w:rFonts w:ascii="Arial" w:hAnsi="Calibri"/>
                <w:color w:val="auto"/>
                <w:szCs w:val="21"/>
                <w:highlight w:val="none"/>
              </w:rPr>
            </w:pPr>
          </w:p>
        </w:tc>
      </w:tr>
      <w:tr w14:paraId="096AC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6052" w:type="dxa"/>
            <w:gridSpan w:val="5"/>
            <w:tcBorders>
              <w:top w:val="single" w:color="000000" w:sz="2" w:space="0"/>
              <w:left w:val="single" w:color="000000" w:sz="2" w:space="0"/>
              <w:bottom w:val="single" w:color="000000" w:sz="2" w:space="0"/>
              <w:right w:val="single" w:color="000000" w:sz="2" w:space="0"/>
            </w:tcBorders>
            <w:shd w:val="clear" w:color="auto" w:fill="auto"/>
          </w:tcPr>
          <w:p w14:paraId="056237C4">
            <w:pPr>
              <w:spacing w:line="285" w:lineRule="auto"/>
              <w:rPr>
                <w:rFonts w:ascii="Arial" w:hAnsi="Calibri"/>
                <w:color w:val="auto"/>
                <w:szCs w:val="21"/>
                <w:highlight w:val="none"/>
              </w:rPr>
            </w:pPr>
          </w:p>
          <w:p w14:paraId="489211B9">
            <w:pPr>
              <w:pStyle w:val="18"/>
              <w:spacing w:before="78"/>
              <w:ind w:left="279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合计</w:t>
            </w: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0D05EB01">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58FB9F90">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67F90B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B01B1EA">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7F5777D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2ADCAA59">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5A7131D5">
            <w:pPr>
              <w:rPr>
                <w:rFonts w:ascii="Arial" w:hAnsi="Calibri"/>
                <w:color w:val="auto"/>
                <w:szCs w:val="21"/>
                <w:highlight w:val="none"/>
              </w:rPr>
            </w:pPr>
          </w:p>
        </w:tc>
      </w:tr>
    </w:tbl>
    <w:p w14:paraId="2EE3827F">
      <w:pPr>
        <w:pStyle w:val="18"/>
        <w:spacing w:before="38"/>
        <w:ind w:left="504"/>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填表说明：</w:t>
      </w:r>
    </w:p>
    <w:p w14:paraId="58D4DF70">
      <w:pPr>
        <w:pStyle w:val="18"/>
        <w:spacing w:before="29"/>
        <w:ind w:left="519"/>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1.本表用于统计承包商在其自身内部执行</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2"/>
          <w:kern w:val="0"/>
          <w:szCs w:val="24"/>
          <w:highlight w:val="none"/>
          <w:lang w:bidi="ar"/>
        </w:rPr>
        <w:t>“吹哨人”及隐患报告奖励制度的情况。</w:t>
      </w:r>
    </w:p>
    <w:p w14:paraId="0D0129F7">
      <w:pPr>
        <w:pStyle w:val="18"/>
        <w:spacing w:before="33"/>
        <w:ind w:left="513"/>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68"/>
          <w:kern w:val="0"/>
          <w:szCs w:val="24"/>
          <w:highlight w:val="none"/>
          <w:lang w:bidi="ar"/>
        </w:rPr>
        <w:t xml:space="preserve"> </w:t>
      </w:r>
      <w:r>
        <w:rPr>
          <w:rFonts w:hint="eastAsia" w:ascii="仿宋" w:hAnsi="仿宋" w:eastAsia="仿宋" w:cs="仿宋"/>
          <w:color w:val="auto"/>
          <w:spacing w:val="-3"/>
          <w:kern w:val="0"/>
          <w:szCs w:val="24"/>
          <w:highlight w:val="none"/>
          <w:lang w:bidi="ar"/>
        </w:rPr>
        <w:t>“奖励数量（项）”指获得奖励的隐患报告项数。</w:t>
      </w:r>
    </w:p>
    <w:p w14:paraId="2249453A">
      <w:pPr>
        <w:pStyle w:val="18"/>
        <w:spacing w:before="30"/>
        <w:ind w:left="522"/>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3.</w:t>
      </w:r>
      <w:r>
        <w:rPr>
          <w:rFonts w:hint="eastAsia" w:ascii="仿宋" w:hAnsi="仿宋" w:eastAsia="仿宋" w:cs="仿宋"/>
          <w:color w:val="auto"/>
          <w:spacing w:val="-86"/>
          <w:kern w:val="0"/>
          <w:szCs w:val="24"/>
          <w:highlight w:val="none"/>
          <w:lang w:bidi="ar"/>
        </w:rPr>
        <w:t xml:space="preserve"> </w:t>
      </w:r>
      <w:r>
        <w:rPr>
          <w:rFonts w:hint="eastAsia" w:ascii="仿宋" w:hAnsi="仿宋" w:eastAsia="仿宋" w:cs="仿宋"/>
          <w:color w:val="auto"/>
          <w:spacing w:val="-4"/>
          <w:kern w:val="0"/>
          <w:szCs w:val="24"/>
          <w:highlight w:val="none"/>
          <w:lang w:bidi="ar"/>
        </w:rPr>
        <w:t>“奖励费用出处”请填写如</w:t>
      </w:r>
      <w:r>
        <w:rPr>
          <w:rFonts w:hint="eastAsia" w:ascii="仿宋" w:hAnsi="仿宋" w:eastAsia="仿宋" w:cs="仿宋"/>
          <w:color w:val="auto"/>
          <w:spacing w:val="-85"/>
          <w:kern w:val="0"/>
          <w:szCs w:val="24"/>
          <w:highlight w:val="none"/>
          <w:lang w:bidi="ar"/>
        </w:rPr>
        <w:t xml:space="preserve"> </w:t>
      </w:r>
      <w:r>
        <w:rPr>
          <w:rFonts w:hint="eastAsia" w:ascii="仿宋" w:hAnsi="仿宋" w:eastAsia="仿宋" w:cs="仿宋"/>
          <w:color w:val="auto"/>
          <w:spacing w:val="-4"/>
          <w:kern w:val="0"/>
          <w:szCs w:val="24"/>
          <w:highlight w:val="none"/>
          <w:lang w:bidi="ar"/>
        </w:rPr>
        <w:t>“安全生产费用”</w:t>
      </w:r>
      <w:r>
        <w:rPr>
          <w:rFonts w:hint="eastAsia" w:ascii="仿宋" w:hAnsi="仿宋" w:eastAsia="仿宋" w:cs="仿宋"/>
          <w:color w:val="auto"/>
          <w:spacing w:val="-86"/>
          <w:kern w:val="0"/>
          <w:szCs w:val="24"/>
          <w:highlight w:val="none"/>
          <w:lang w:bidi="ar"/>
        </w:rPr>
        <w:t xml:space="preserve"> </w:t>
      </w:r>
      <w:r>
        <w:rPr>
          <w:rFonts w:hint="eastAsia" w:ascii="仿宋" w:hAnsi="仿宋" w:eastAsia="仿宋" w:cs="仿宋"/>
          <w:color w:val="auto"/>
          <w:spacing w:val="-4"/>
          <w:kern w:val="0"/>
          <w:szCs w:val="24"/>
          <w:highlight w:val="none"/>
          <w:lang w:bidi="ar"/>
        </w:rPr>
        <w:t>“专项奖励</w:t>
      </w:r>
      <w:r>
        <w:rPr>
          <w:rFonts w:hint="eastAsia" w:ascii="仿宋" w:hAnsi="仿宋" w:eastAsia="仿宋" w:cs="仿宋"/>
          <w:color w:val="auto"/>
          <w:spacing w:val="-5"/>
          <w:kern w:val="0"/>
          <w:szCs w:val="24"/>
          <w:highlight w:val="none"/>
          <w:lang w:bidi="ar"/>
        </w:rPr>
        <w:t>基金”等。</w:t>
      </w:r>
    </w:p>
    <w:p w14:paraId="56CC264A">
      <w:pPr>
        <w:widowControl/>
        <w:jc w:val="left"/>
        <w:rPr>
          <w:color w:val="auto"/>
          <w:highlight w:val="none"/>
        </w:rPr>
      </w:pPr>
      <w:r>
        <w:rPr>
          <w:rFonts w:ascii="Calibri" w:hAnsi="Calibri"/>
          <w:color w:val="auto"/>
          <w:spacing w:val="-1"/>
          <w:kern w:val="0"/>
          <w:sz w:val="24"/>
          <w:szCs w:val="24"/>
          <w:highlight w:val="none"/>
          <w:lang w:bidi="ar"/>
        </w:rPr>
        <w:t>4.</w:t>
      </w:r>
      <w:r>
        <w:rPr>
          <w:rFonts w:hint="eastAsia" w:ascii="宋体" w:hAnsi="宋体" w:cs="宋体"/>
          <w:color w:val="auto"/>
          <w:spacing w:val="-1"/>
          <w:kern w:val="0"/>
          <w:sz w:val="24"/>
          <w:szCs w:val="24"/>
          <w:highlight w:val="none"/>
          <w:lang w:bidi="ar"/>
        </w:rPr>
        <w:t>本表由发包人安全环保管理部门负责收集、审核并存档。</w:t>
      </w:r>
    </w:p>
    <w:p w14:paraId="23A4E517">
      <w:pPr>
        <w:pStyle w:val="8"/>
        <w:spacing w:before="33" w:line="214" w:lineRule="auto"/>
        <w:ind w:left="63" w:right="63"/>
        <w:rPr>
          <w:color w:val="auto"/>
          <w:sz w:val="24"/>
          <w:szCs w:val="24"/>
          <w:highlight w:val="none"/>
        </w:rPr>
      </w:pPr>
    </w:p>
    <w:p w14:paraId="6287ADB1">
      <w:pPr>
        <w:rPr>
          <w:color w:val="auto"/>
          <w:highlight w:val="none"/>
        </w:rPr>
      </w:pPr>
    </w:p>
    <w:p w14:paraId="05C80D30">
      <w:pPr>
        <w:pStyle w:val="71"/>
        <w:ind w:left="3600" w:hanging="3600" w:hangingChars="1200"/>
        <w:jc w:val="both"/>
        <w:rPr>
          <w:color w:val="auto"/>
          <w:highlight w:val="none"/>
        </w:rPr>
      </w:pPr>
      <w:r>
        <w:rPr>
          <w:rFonts w:ascii="Times New Roman" w:eastAsia="仿宋_GB2312"/>
          <w:color w:val="auto"/>
          <w:sz w:val="30"/>
          <w:szCs w:val="30"/>
          <w:highlight w:val="none"/>
        </w:rPr>
        <w:t>附件</w:t>
      </w:r>
      <w:r>
        <w:rPr>
          <w:rFonts w:hint="eastAsia" w:ascii="Times New Roman" w:eastAsia="仿宋_GB2312"/>
          <w:color w:val="auto"/>
          <w:sz w:val="30"/>
          <w:szCs w:val="30"/>
          <w:highlight w:val="none"/>
        </w:rPr>
        <w:t>5</w:t>
      </w:r>
      <w:r>
        <w:rPr>
          <w:rFonts w:ascii="Times New Roman" w:eastAsia="仿宋_GB2312"/>
          <w:color w:val="auto"/>
          <w:sz w:val="30"/>
          <w:szCs w:val="30"/>
          <w:highlight w:val="none"/>
        </w:rPr>
        <w:t>：</w:t>
      </w:r>
      <w:r>
        <w:rPr>
          <w:color w:val="auto"/>
          <w:highlight w:val="none"/>
        </w:rPr>
        <w:br w:type="textWrapping"/>
      </w:r>
      <w:r>
        <w:rPr>
          <w:rFonts w:hint="eastAsia"/>
          <w:color w:val="auto"/>
          <w:highlight w:val="none"/>
        </w:rPr>
        <w:t>工程经济资料管理办法</w:t>
      </w:r>
    </w:p>
    <w:p w14:paraId="5FA38A03">
      <w:pPr>
        <w:pStyle w:val="72"/>
        <w:spacing w:before="312" w:after="312"/>
        <w:ind w:left="3544"/>
        <w:rPr>
          <w:color w:val="auto"/>
          <w:highlight w:val="none"/>
        </w:rPr>
      </w:pPr>
      <w:r>
        <w:rPr>
          <w:rFonts w:hint="eastAsia"/>
          <w:color w:val="auto"/>
          <w:highlight w:val="none"/>
        </w:rPr>
        <w:t>目的</w:t>
      </w:r>
    </w:p>
    <w:p w14:paraId="2DB689ED">
      <w:pPr>
        <w:pStyle w:val="69"/>
        <w:rPr>
          <w:color w:val="auto"/>
          <w:highlight w:val="none"/>
        </w:rPr>
      </w:pPr>
      <w:r>
        <w:rPr>
          <w:color w:val="auto"/>
          <w:highlight w:val="none"/>
        </w:rPr>
        <w:t>为了规范工程项目中经济资料办理的程序和流程，确保经济资料的真实性、准确性、完整性、时效性，明确相关人员的责任和义务</w:t>
      </w:r>
      <w:r>
        <w:rPr>
          <w:rFonts w:hint="eastAsia"/>
          <w:color w:val="auto"/>
          <w:highlight w:val="none"/>
        </w:rPr>
        <w:t>。</w:t>
      </w:r>
    </w:p>
    <w:p w14:paraId="3A12D8CB">
      <w:pPr>
        <w:pStyle w:val="72"/>
        <w:spacing w:before="312" w:after="312"/>
        <w:ind w:left="3544"/>
        <w:rPr>
          <w:color w:val="auto"/>
          <w:highlight w:val="none"/>
        </w:rPr>
      </w:pPr>
      <w:r>
        <w:rPr>
          <w:rFonts w:hint="eastAsia"/>
          <w:color w:val="auto"/>
          <w:highlight w:val="none"/>
        </w:rPr>
        <w:t>范围</w:t>
      </w:r>
    </w:p>
    <w:p w14:paraId="7003CFCB">
      <w:pPr>
        <w:pStyle w:val="69"/>
        <w:rPr>
          <w:color w:val="auto"/>
          <w:highlight w:val="none"/>
        </w:rPr>
      </w:pPr>
      <w:r>
        <w:rPr>
          <w:rFonts w:hint="eastAsia"/>
          <w:color w:val="auto"/>
          <w:highlight w:val="none"/>
        </w:rPr>
        <w:t>本标准规定了工程建设过程中经济签证、技术联系的管理要求。</w:t>
      </w:r>
    </w:p>
    <w:p w14:paraId="010E3B0B">
      <w:pPr>
        <w:pStyle w:val="69"/>
        <w:rPr>
          <w:rFonts w:cs="宋体"/>
          <w:color w:val="auto"/>
          <w:highlight w:val="none"/>
        </w:rPr>
      </w:pPr>
      <w:r>
        <w:rPr>
          <w:rFonts w:hint="eastAsia"/>
          <w:color w:val="auto"/>
          <w:highlight w:val="none"/>
        </w:rPr>
        <w:t>本办法适用于国际复材、重庆庹展新材料科技有限公司、重庆天泽新材料有限公司的制度管理工作，其他分公司、全资子公司、控股子公司及相关单位的新建、扩建、改建、维修</w:t>
      </w:r>
      <w:r>
        <w:rPr>
          <w:rFonts w:hint="eastAsia" w:cs="宋体"/>
          <w:color w:val="auto"/>
          <w:highlight w:val="none"/>
        </w:rPr>
        <w:t>工程中发生的经济签证管理。</w:t>
      </w:r>
    </w:p>
    <w:p w14:paraId="7E217450">
      <w:pPr>
        <w:pStyle w:val="72"/>
        <w:spacing w:before="312" w:after="312"/>
        <w:ind w:left="3544"/>
        <w:rPr>
          <w:color w:val="auto"/>
          <w:highlight w:val="none"/>
        </w:rPr>
      </w:pPr>
      <w:r>
        <w:rPr>
          <w:rFonts w:hint="eastAsia"/>
          <w:color w:val="auto"/>
          <w:highlight w:val="none"/>
        </w:rPr>
        <w:t>规范性引用文件</w:t>
      </w:r>
    </w:p>
    <w:p w14:paraId="053C510D">
      <w:pPr>
        <w:pStyle w:val="69"/>
        <w:rPr>
          <w:color w:val="auto"/>
          <w:highlight w:val="none"/>
        </w:rPr>
      </w:pPr>
      <w:r>
        <w:rPr>
          <w:rFonts w:hint="eastAsia"/>
          <w:color w:val="auto"/>
          <w:highlight w:val="none"/>
        </w:rPr>
        <w:t>下列文件对于本文件的应用是必不可少的。凡是注日期的引用文件，仅所注日期的版本适用于本文件。凡是不注日期的引用文件，其最新版本（包括所有的修改单）适用于本文件。</w:t>
      </w:r>
    </w:p>
    <w:p w14:paraId="60FF4337">
      <w:pPr>
        <w:pStyle w:val="69"/>
        <w:rPr>
          <w:color w:val="auto"/>
          <w:highlight w:val="none"/>
        </w:rPr>
      </w:pPr>
      <w:r>
        <w:rPr>
          <w:rFonts w:hint="eastAsia"/>
          <w:color w:val="auto"/>
          <w:highlight w:val="none"/>
        </w:rPr>
        <w:t>建筑工程施工发包与承包计价管理办法</w:t>
      </w:r>
    </w:p>
    <w:p w14:paraId="256C2A80">
      <w:pPr>
        <w:pStyle w:val="69"/>
        <w:rPr>
          <w:color w:val="auto"/>
          <w:highlight w:val="none"/>
        </w:rPr>
      </w:pPr>
      <w:r>
        <w:rPr>
          <w:rFonts w:hint="eastAsia"/>
          <w:color w:val="auto"/>
          <w:highlight w:val="none"/>
        </w:rPr>
        <w:t>建设工程价款结算暂行办法</w:t>
      </w:r>
    </w:p>
    <w:p w14:paraId="783A8E69">
      <w:pPr>
        <w:pStyle w:val="69"/>
        <w:rPr>
          <w:rFonts w:cs="宋体"/>
          <w:color w:val="auto"/>
          <w:highlight w:val="none"/>
        </w:rPr>
      </w:pPr>
      <w:r>
        <w:rPr>
          <w:rFonts w:hint="eastAsia"/>
          <w:color w:val="auto"/>
          <w:highlight w:val="none"/>
        </w:rPr>
        <w:t>重庆市建设工程造价管理规定</w:t>
      </w:r>
    </w:p>
    <w:p w14:paraId="73E1241F">
      <w:pPr>
        <w:pStyle w:val="69"/>
        <w:rPr>
          <w:color w:val="auto"/>
          <w:highlight w:val="none"/>
        </w:rPr>
      </w:pPr>
      <w:r>
        <w:rPr>
          <w:rFonts w:hint="eastAsia"/>
          <w:color w:val="auto"/>
          <w:highlight w:val="none"/>
        </w:rPr>
        <w:t>云天化集团有限责任公司招标投标管理办法</w:t>
      </w:r>
    </w:p>
    <w:p w14:paraId="2E6D72FD">
      <w:pPr>
        <w:pStyle w:val="72"/>
        <w:spacing w:before="312" w:after="312"/>
        <w:ind w:left="3544"/>
        <w:rPr>
          <w:color w:val="auto"/>
          <w:highlight w:val="none"/>
        </w:rPr>
      </w:pPr>
      <w:r>
        <w:rPr>
          <w:rFonts w:hint="eastAsia"/>
          <w:color w:val="auto"/>
          <w:highlight w:val="none"/>
        </w:rPr>
        <w:t>经济签证单管理</w:t>
      </w:r>
    </w:p>
    <w:p w14:paraId="652FB7F8">
      <w:pPr>
        <w:pStyle w:val="73"/>
        <w:ind w:left="568"/>
        <w:rPr>
          <w:color w:val="auto"/>
          <w:highlight w:val="none"/>
        </w:rPr>
      </w:pPr>
      <w:r>
        <w:rPr>
          <w:rFonts w:hint="eastAsia"/>
          <w:color w:val="auto"/>
          <w:highlight w:val="none"/>
        </w:rPr>
        <w:t>原则：实事求是，办理与审查及时；谁参加谁签；一事一单，工完签完。</w:t>
      </w:r>
    </w:p>
    <w:p w14:paraId="3D01C415">
      <w:pPr>
        <w:pStyle w:val="73"/>
        <w:ind w:left="568"/>
        <w:rPr>
          <w:color w:val="auto"/>
          <w:highlight w:val="none"/>
        </w:rPr>
      </w:pPr>
      <w:r>
        <w:rPr>
          <w:rFonts w:hint="eastAsia"/>
          <w:color w:val="auto"/>
          <w:highlight w:val="none"/>
        </w:rPr>
        <w:t>范围：施工图纸、设计变更所确定的工程内容之外，施工图预算、工程量清单计费、消耗量定额或费用定额（计价规则）取费中未含有，而施工过程中又实际发生费用的施工内容所办理的签证。包含经济签证、清单计价工程的计日工，以及由设计变更、工程洽商记录、施工组织设计、施工方案和特殊技术措施等转换而成的经济签证。</w:t>
      </w:r>
    </w:p>
    <w:p w14:paraId="21E65BFA">
      <w:pPr>
        <w:pStyle w:val="73"/>
        <w:ind w:left="568"/>
        <w:rPr>
          <w:color w:val="auto"/>
          <w:highlight w:val="none"/>
        </w:rPr>
      </w:pPr>
      <w:r>
        <w:rPr>
          <w:rFonts w:hint="eastAsia"/>
          <w:color w:val="auto"/>
          <w:highlight w:val="none"/>
        </w:rPr>
        <w:t>签证事由：此栏应由应现场专业负责人负责手写，字迹应工整、清晰，须详细说明发生签证事由的原因、依据。</w:t>
      </w:r>
    </w:p>
    <w:p w14:paraId="36AFE348">
      <w:pPr>
        <w:pStyle w:val="73"/>
        <w:ind w:left="568"/>
        <w:rPr>
          <w:color w:val="auto"/>
          <w:highlight w:val="none"/>
        </w:rPr>
      </w:pPr>
      <w:r>
        <w:rPr>
          <w:rFonts w:hint="eastAsia"/>
          <w:color w:val="auto"/>
          <w:highlight w:val="none"/>
        </w:rPr>
        <w:t>方式：办理经济签证时，原则上应附施工简图，不能附图的应注明工程量计算式，工程量很小可以直接签认工程量。对无法套用定额的、或虽能套用定额但比较繁琐且量小的签证事由，方可签认人工工日数量或机械台班数量，但应明确所使用的甲供材明细。经济签证不得直接签认费用金额，确须签认的，须经</w:t>
      </w:r>
      <w:r>
        <w:rPr>
          <w:rFonts w:hint="eastAsia"/>
          <w:color w:val="auto"/>
          <w:szCs w:val="18"/>
          <w:highlight w:val="none"/>
        </w:rPr>
        <w:t>主管部门领导</w:t>
      </w:r>
      <w:r>
        <w:rPr>
          <w:rFonts w:hint="eastAsia"/>
          <w:color w:val="auto"/>
          <w:highlight w:val="none"/>
        </w:rPr>
        <w:t>(或公司分管领导）对费用金额签署审核意见。</w:t>
      </w:r>
    </w:p>
    <w:p w14:paraId="40340347">
      <w:pPr>
        <w:pStyle w:val="73"/>
        <w:ind w:left="568"/>
        <w:rPr>
          <w:color w:val="auto"/>
          <w:highlight w:val="none"/>
        </w:rPr>
      </w:pPr>
      <w:r>
        <w:rPr>
          <w:rFonts w:hint="eastAsia"/>
          <w:color w:val="auto"/>
          <w:highlight w:val="none"/>
        </w:rPr>
        <w:t>内容: 必须明确工程名称(与施工合同中名称一致)、单项工程名称、专业、施工部位、施工简图或工程量计算式、签证日期、参加单位(含建设单位、施工单位、监理单位)有关人员签名并加盖公章（或经授权的项目章）等。</w:t>
      </w:r>
    </w:p>
    <w:p w14:paraId="1EECAE32">
      <w:pPr>
        <w:pStyle w:val="74"/>
        <w:spacing w:before="156" w:after="156"/>
        <w:ind w:left="568"/>
        <w:rPr>
          <w:rFonts w:ascii="宋体" w:hAnsi="宋体" w:eastAsia="宋体"/>
          <w:color w:val="auto"/>
          <w:highlight w:val="none"/>
        </w:rPr>
      </w:pPr>
      <w:r>
        <w:rPr>
          <w:rFonts w:hint="eastAsia" w:ascii="宋体" w:hAnsi="宋体" w:eastAsia="宋体"/>
          <w:color w:val="auto"/>
          <w:highlight w:val="none"/>
        </w:rPr>
        <w:t>程序</w:t>
      </w:r>
      <w:r>
        <w:rPr>
          <w:rFonts w:ascii="宋体" w:hAnsi="宋体" w:eastAsia="宋体"/>
          <w:color w:val="auto"/>
          <w:highlight w:val="none"/>
        </w:rPr>
        <w:br w:type="textWrapping"/>
      </w:r>
      <w:r>
        <w:rPr>
          <w:rFonts w:ascii="宋体" w:hAnsi="宋体" w:eastAsia="宋体"/>
          <w:color w:val="auto"/>
          <w:highlight w:val="none"/>
        </w:rPr>
        <w:t xml:space="preserve">    1</w:t>
      </w:r>
      <w:r>
        <w:rPr>
          <w:rFonts w:hint="eastAsia" w:ascii="宋体" w:hAnsi="宋体" w:eastAsia="宋体"/>
          <w:color w:val="auto"/>
          <w:highlight w:val="none"/>
        </w:rPr>
        <w:t>、施工单位应于签证事由施工完毕后7日内向现场专业负责人提交经济签证单(签证事由施工时间较长的或签证事由施工完毕后不能准确确定签证内容的，施工单位应在施工过程中提请监理单位和现场专业负责人组织预勘验，需进行现场收方的应提前24小时通知监理单位、现场专业负责人、造价管理人员)，否则，超过规定时限的一律不予办理；</w:t>
      </w:r>
      <w:r>
        <w:rPr>
          <w:rFonts w:ascii="宋体" w:hAnsi="宋体" w:eastAsia="宋体"/>
          <w:color w:val="auto"/>
          <w:highlight w:val="none"/>
        </w:rPr>
        <w:br w:type="textWrapping"/>
      </w:r>
      <w:r>
        <w:rPr>
          <w:rFonts w:ascii="宋体" w:hAnsi="宋体" w:eastAsia="宋体"/>
          <w:color w:val="auto"/>
          <w:highlight w:val="none"/>
        </w:rPr>
        <w:t xml:space="preserve">    </w:t>
      </w:r>
      <w:r>
        <w:rPr>
          <w:rFonts w:hint="eastAsia" w:ascii="宋体" w:hAnsi="宋体" w:eastAsia="宋体"/>
          <w:color w:val="auto"/>
          <w:highlight w:val="none"/>
        </w:rPr>
        <w:t>2、现场专业负责人收到后72小时内组织造价管理人员、施工单位人员、监理人员及其他相关人员进行现场勘验；</w:t>
      </w:r>
      <w:r>
        <w:rPr>
          <w:rFonts w:ascii="宋体" w:hAnsi="宋体" w:eastAsia="宋体"/>
          <w:color w:val="auto"/>
          <w:highlight w:val="none"/>
        </w:rPr>
        <w:br w:type="textWrapping"/>
      </w:r>
      <w:r>
        <w:rPr>
          <w:rFonts w:ascii="宋体" w:hAnsi="宋体" w:eastAsia="宋体"/>
          <w:color w:val="auto"/>
          <w:highlight w:val="none"/>
        </w:rPr>
        <w:t xml:space="preserve">    </w:t>
      </w:r>
      <w:r>
        <w:rPr>
          <w:rFonts w:hint="eastAsia" w:ascii="宋体" w:hAnsi="宋体" w:eastAsia="宋体"/>
          <w:color w:val="auto"/>
          <w:highlight w:val="none"/>
        </w:rPr>
        <w:t>3、现场专业负责人在勘验后72小时内审核完毕后移交监理人员；</w:t>
      </w:r>
      <w:r>
        <w:rPr>
          <w:rFonts w:ascii="宋体" w:hAnsi="宋体" w:eastAsia="宋体"/>
          <w:color w:val="auto"/>
          <w:highlight w:val="none"/>
        </w:rPr>
        <w:br w:type="textWrapping"/>
      </w:r>
      <w:r>
        <w:rPr>
          <w:rFonts w:ascii="宋体" w:hAnsi="宋体" w:eastAsia="宋体"/>
          <w:color w:val="auto"/>
          <w:highlight w:val="none"/>
        </w:rPr>
        <w:t xml:space="preserve">    4</w:t>
      </w:r>
      <w:r>
        <w:rPr>
          <w:rFonts w:hint="eastAsia" w:ascii="宋体" w:hAnsi="宋体" w:eastAsia="宋体"/>
          <w:color w:val="auto"/>
          <w:highlight w:val="none"/>
        </w:rPr>
        <w:t>、监理人员在收到后72小时内审核完毕并移交造价管理人员；</w:t>
      </w:r>
      <w:r>
        <w:rPr>
          <w:rFonts w:ascii="宋体" w:hAnsi="宋体" w:eastAsia="宋体"/>
          <w:color w:val="auto"/>
          <w:highlight w:val="none"/>
        </w:rPr>
        <w:br w:type="textWrapping"/>
      </w:r>
      <w:r>
        <w:rPr>
          <w:rFonts w:ascii="宋体" w:hAnsi="宋体" w:eastAsia="宋体"/>
          <w:color w:val="auto"/>
          <w:highlight w:val="none"/>
        </w:rPr>
        <w:t xml:space="preserve">    5</w:t>
      </w:r>
      <w:r>
        <w:rPr>
          <w:rFonts w:hint="eastAsia" w:ascii="宋体" w:hAnsi="宋体" w:eastAsia="宋体"/>
          <w:color w:val="auto"/>
          <w:highlight w:val="none"/>
        </w:rPr>
        <w:t>、造价管理人员在收到后72小时内审核完毕并提交项目负责人、主管部门领导签字（超过5万元需公司分管领导签字）并于次日内分发给建设单位、监理公司、施工单位各一份，造价管理人员须做签证登记；</w:t>
      </w:r>
      <w:r>
        <w:rPr>
          <w:rFonts w:ascii="宋体" w:hAnsi="宋体" w:eastAsia="宋体"/>
          <w:color w:val="auto"/>
          <w:highlight w:val="none"/>
        </w:rPr>
        <w:br w:type="textWrapping"/>
      </w:r>
      <w:r>
        <w:rPr>
          <w:rFonts w:ascii="宋体" w:hAnsi="宋体" w:eastAsia="宋体"/>
          <w:color w:val="auto"/>
          <w:highlight w:val="none"/>
        </w:rPr>
        <w:t xml:space="preserve">    6、</w:t>
      </w:r>
      <w:r>
        <w:rPr>
          <w:rFonts w:hint="eastAsia" w:ascii="宋体" w:hAnsi="宋体" w:eastAsia="宋体"/>
          <w:color w:val="auto"/>
          <w:highlight w:val="none"/>
        </w:rPr>
        <w:t>现场专业负责人、造价管理人员（包含造价咨询公司审核时间）未分别在72小时内完成审核则由主管部门在对应人员当月绩效考核时减发绩效200元/人.次。</w:t>
      </w:r>
    </w:p>
    <w:p w14:paraId="5723784F">
      <w:pPr>
        <w:pStyle w:val="73"/>
        <w:ind w:left="568"/>
        <w:rPr>
          <w:color w:val="auto"/>
          <w:highlight w:val="none"/>
        </w:rPr>
      </w:pPr>
      <w:r>
        <w:rPr>
          <w:rFonts w:hint="eastAsia"/>
          <w:color w:val="auto"/>
          <w:highlight w:val="none"/>
        </w:rPr>
        <w:t>经济签证单办理流程</w:t>
      </w:r>
      <w:bookmarkStart w:id="530" w:name="OLE_LINK3"/>
      <w:bookmarkStart w:id="531" w:name="OLE_LINK2"/>
      <w:r>
        <w:rPr>
          <w:rFonts w:hint="eastAsia"/>
          <w:color w:val="auto"/>
          <w:highlight w:val="none"/>
        </w:rPr>
        <w:t>见附录C</w:t>
      </w:r>
      <w:bookmarkEnd w:id="530"/>
      <w:bookmarkEnd w:id="531"/>
    </w:p>
    <w:p w14:paraId="02E4060E">
      <w:pPr>
        <w:pStyle w:val="73"/>
        <w:ind w:left="568"/>
        <w:rPr>
          <w:color w:val="auto"/>
          <w:highlight w:val="none"/>
        </w:rPr>
      </w:pPr>
      <w:r>
        <w:rPr>
          <w:rFonts w:hint="eastAsia"/>
          <w:color w:val="auto"/>
          <w:highlight w:val="none"/>
        </w:rPr>
        <w:t>对于现场收方的情况，施工单位应先作原始记录单，在现场收方时根据参加人员商定的结果，在原始记录单上做好记录，所有参加人员必须签字认可，原件由造价管理人员保管。施工单位报送正式的经济签证单时，应提供该原始记录单。</w:t>
      </w:r>
    </w:p>
    <w:p w14:paraId="3747C3FC">
      <w:pPr>
        <w:pStyle w:val="73"/>
        <w:ind w:left="568"/>
        <w:rPr>
          <w:color w:val="auto"/>
          <w:highlight w:val="none"/>
        </w:rPr>
      </w:pPr>
      <w:r>
        <w:rPr>
          <w:rFonts w:hint="eastAsia"/>
          <w:color w:val="auto"/>
          <w:highlight w:val="none"/>
        </w:rPr>
        <w:t>办理经济签证时，建设单位及监理公司现场代表应认真、仔细确定签证内容的真实性、准确性、完整性，严禁虚增经济签证的内容；造价管理人员根据造价计算相关规定，结合工程建设的实际情况确定费用划分、是否单列计算或不计算等。</w:t>
      </w:r>
    </w:p>
    <w:p w14:paraId="2A59E879">
      <w:pPr>
        <w:pStyle w:val="73"/>
        <w:ind w:left="568"/>
        <w:rPr>
          <w:color w:val="auto"/>
          <w:highlight w:val="none"/>
        </w:rPr>
      </w:pPr>
      <w:r>
        <w:rPr>
          <w:rFonts w:hint="eastAsia"/>
          <w:color w:val="auto"/>
          <w:highlight w:val="none"/>
        </w:rPr>
        <w:t>在经济签证单中，设备、材料需要回收的，施工单位在工程结算时应出具回收单位(部门）的相关证明，否则，我公司将在工程结算中扣除应回收部分的价款。</w:t>
      </w:r>
    </w:p>
    <w:p w14:paraId="4DC6263B">
      <w:pPr>
        <w:pStyle w:val="73"/>
        <w:ind w:left="568"/>
        <w:rPr>
          <w:color w:val="auto"/>
          <w:highlight w:val="none"/>
        </w:rPr>
      </w:pPr>
      <w:r>
        <w:rPr>
          <w:rFonts w:hint="eastAsia"/>
          <w:color w:val="auto"/>
          <w:highlight w:val="none"/>
        </w:rPr>
        <w:t>建设单位有关人员因特殊原因不能参加的，由部门领导(或专业组负责人）安排其他人员参加，没有其他人员代为参加的，可在三天内补签。超过时限补签的应注明“补”，并签注补签日期。</w:t>
      </w:r>
    </w:p>
    <w:p w14:paraId="45AF4D92">
      <w:pPr>
        <w:pStyle w:val="73"/>
        <w:ind w:left="568"/>
        <w:rPr>
          <w:color w:val="auto"/>
          <w:highlight w:val="none"/>
        </w:rPr>
      </w:pPr>
      <w:r>
        <w:rPr>
          <w:rFonts w:hint="eastAsia"/>
          <w:color w:val="auto"/>
          <w:highlight w:val="none"/>
        </w:rPr>
        <w:t>工程竣工验收前的施工内容必须在工程竣工验收前办理完毕。</w:t>
      </w:r>
    </w:p>
    <w:p w14:paraId="67351156">
      <w:pPr>
        <w:pStyle w:val="74"/>
        <w:spacing w:before="156" w:after="156"/>
        <w:ind w:left="568"/>
        <w:rPr>
          <w:color w:val="auto"/>
          <w:highlight w:val="none"/>
        </w:rPr>
      </w:pPr>
      <w:r>
        <w:rPr>
          <w:rFonts w:hint="eastAsia" w:ascii="宋体" w:eastAsia="宋体"/>
          <w:color w:val="auto"/>
          <w:highlight w:val="none"/>
        </w:rPr>
        <w:t>经济签证单上必须具备建设单位的现场专业负责人员、造价管理人员、项目负责人和主管部门领导签字方为有效</w:t>
      </w:r>
      <w:r>
        <w:rPr>
          <w:rFonts w:hint="eastAsia"/>
          <w:color w:val="auto"/>
          <w:highlight w:val="none"/>
        </w:rPr>
        <w:t>。</w:t>
      </w:r>
    </w:p>
    <w:p w14:paraId="0F447D35">
      <w:pPr>
        <w:pStyle w:val="73"/>
        <w:ind w:left="568"/>
        <w:rPr>
          <w:color w:val="auto"/>
          <w:highlight w:val="none"/>
        </w:rPr>
      </w:pPr>
      <w:r>
        <w:rPr>
          <w:rFonts w:hint="eastAsia"/>
          <w:color w:val="auto"/>
          <w:highlight w:val="none"/>
        </w:rPr>
        <w:t>单份经济签证单涉及的变更金额在五万元以下（含五万元）的，须经</w:t>
      </w:r>
      <w:r>
        <w:rPr>
          <w:rFonts w:hint="eastAsia"/>
          <w:color w:val="auto"/>
          <w:szCs w:val="18"/>
          <w:highlight w:val="none"/>
        </w:rPr>
        <w:t>主管部门领导</w:t>
      </w:r>
      <w:r>
        <w:rPr>
          <w:rFonts w:hint="eastAsia"/>
          <w:color w:val="auto"/>
          <w:highlight w:val="none"/>
        </w:rPr>
        <w:t>审核认可；单份经济签证单涉及的变更金额在五万元以上的，须经公司分管领导审核认可。</w:t>
      </w:r>
    </w:p>
    <w:p w14:paraId="7C04F83D">
      <w:pPr>
        <w:pStyle w:val="73"/>
        <w:ind w:left="568"/>
        <w:rPr>
          <w:color w:val="auto"/>
          <w:highlight w:val="none"/>
        </w:rPr>
      </w:pPr>
      <w:r>
        <w:rPr>
          <w:rFonts w:hint="eastAsia"/>
          <w:color w:val="auto"/>
          <w:highlight w:val="none"/>
        </w:rPr>
        <w:t>施工单位提交的经济签证单不得有涂抹和更改，否则，一律不予受理；建设单位、监理单位的审核意见须及时反馈施工单位重新编制签证，不得以任何方式直接在签证单上进行修改。</w:t>
      </w:r>
    </w:p>
    <w:p w14:paraId="785FE249">
      <w:pPr>
        <w:pStyle w:val="73"/>
        <w:ind w:left="568"/>
        <w:rPr>
          <w:color w:val="auto"/>
          <w:highlight w:val="none"/>
        </w:rPr>
      </w:pPr>
      <w:r>
        <w:rPr>
          <w:rFonts w:hint="eastAsia"/>
          <w:color w:val="auto"/>
          <w:highlight w:val="none"/>
        </w:rPr>
        <w:t>经济签证单一式二份(原件）；</w:t>
      </w:r>
      <w:r>
        <w:rPr>
          <w:color w:val="auto"/>
          <w:highlight w:val="none"/>
        </w:rPr>
        <w:br w:type="textWrapping"/>
      </w:r>
      <w:r>
        <w:rPr>
          <w:color w:val="auto"/>
          <w:highlight w:val="none"/>
        </w:rPr>
        <w:t xml:space="preserve">    </w:t>
      </w:r>
      <w:r>
        <w:rPr>
          <w:rFonts w:hint="eastAsia"/>
          <w:color w:val="auto"/>
          <w:highlight w:val="none"/>
        </w:rPr>
        <w:t>编号：专业代码－××号；</w:t>
      </w:r>
      <w:r>
        <w:rPr>
          <w:color w:val="auto"/>
          <w:highlight w:val="none"/>
        </w:rPr>
        <w:br w:type="textWrapping"/>
      </w:r>
      <w:r>
        <w:rPr>
          <w:color w:val="auto"/>
          <w:highlight w:val="none"/>
        </w:rPr>
        <w:t xml:space="preserve">    </w:t>
      </w:r>
      <w:r>
        <w:rPr>
          <w:rFonts w:hint="eastAsia"/>
          <w:color w:val="auto"/>
          <w:highlight w:val="none"/>
        </w:rPr>
        <w:t>专业代码：土建－TJ；工艺管道－GD；设备－SB；仪表－YB；暖通—NT；电气－DQ；绝热防腐－FF；给排水－GPS；消防—XF；钢结构－GG；其它－QT；</w:t>
      </w:r>
      <w:r>
        <w:rPr>
          <w:color w:val="auto"/>
          <w:highlight w:val="none"/>
        </w:rPr>
        <w:br w:type="textWrapping"/>
      </w:r>
      <w:r>
        <w:rPr>
          <w:color w:val="auto"/>
          <w:highlight w:val="none"/>
        </w:rPr>
        <w:t xml:space="preserve">    </w:t>
      </w:r>
      <w:r>
        <w:rPr>
          <w:rFonts w:hint="eastAsia"/>
          <w:color w:val="auto"/>
          <w:highlight w:val="none"/>
        </w:rPr>
        <w:t>连续编号，不得重号、空号、跳号。对于审核后不予确认的，仍应保留该编号的签证单，结算时依据的签证单必须编号连续。</w:t>
      </w:r>
    </w:p>
    <w:p w14:paraId="01DE3CCC">
      <w:pPr>
        <w:pStyle w:val="73"/>
        <w:ind w:left="568"/>
        <w:rPr>
          <w:color w:val="auto"/>
          <w:highlight w:val="none"/>
        </w:rPr>
      </w:pPr>
      <w:r>
        <w:rPr>
          <w:rFonts w:hint="eastAsia"/>
          <w:color w:val="auto"/>
          <w:highlight w:val="none"/>
        </w:rPr>
        <w:t>主管部门应加强工程内容和工程量减少的签证管理。对工程内容和工程量减少的，现场专业人员或监理工程师应督促施工单位办理相关经济签证。对拒不办理的，由现场专业人员或监理工程师发出督办通知，督办通知发出后仍未办理的，按所减少工程费用的2倍在工程竣工结算时扣减。</w:t>
      </w:r>
    </w:p>
    <w:p w14:paraId="6D010219">
      <w:pPr>
        <w:pStyle w:val="74"/>
        <w:spacing w:before="156" w:after="156"/>
        <w:ind w:left="568"/>
        <w:rPr>
          <w:color w:val="auto"/>
          <w:highlight w:val="none"/>
        </w:rPr>
      </w:pPr>
      <w:r>
        <w:rPr>
          <w:rFonts w:hint="eastAsia" w:ascii="宋体" w:hAnsi="宋体" w:eastAsia="宋体"/>
          <w:color w:val="auto"/>
          <w:highlight w:val="none"/>
        </w:rPr>
        <w:t>签证抽查：</w:t>
      </w:r>
      <w:r>
        <w:rPr>
          <w:color w:val="auto"/>
          <w:highlight w:val="none"/>
        </w:rPr>
        <w:br w:type="textWrapping"/>
      </w:r>
      <w:r>
        <w:rPr>
          <w:rFonts w:hint="eastAsia"/>
          <w:color w:val="auto"/>
          <w:highlight w:val="none"/>
        </w:rPr>
        <w:t xml:space="preserve"> </w:t>
      </w:r>
      <w:r>
        <w:rPr>
          <w:color w:val="auto"/>
          <w:highlight w:val="none"/>
        </w:rPr>
        <w:t xml:space="preserve">   </w:t>
      </w:r>
      <w:r>
        <w:rPr>
          <w:rFonts w:hint="eastAsia" w:ascii="宋体" w:eastAsia="宋体"/>
          <w:color w:val="auto"/>
          <w:highlight w:val="none"/>
        </w:rPr>
        <w:t>主管部门派遣的其他专业负责人、造价管理人员每月对上月在建工程已完善签字盖章流程的签证中选取20%进行复核审查（抽查数量向上取整，当月完成签证不足10份的抽查2份，重点抽选金额较大的签证）。复核结果需形成现场抽查记录表（一式二份），如签证工程量与实际工程量不符或违背合同计价原则，则对相关签证经办专业负责人和造价管理人员进行考核。现场抽查记录表由参与抽查人员留底。</w:t>
      </w:r>
    </w:p>
    <w:p w14:paraId="7C6DB0CE">
      <w:pPr>
        <w:pStyle w:val="73"/>
        <w:ind w:left="568"/>
        <w:rPr>
          <w:color w:val="auto"/>
          <w:highlight w:val="none"/>
        </w:rPr>
      </w:pPr>
      <w:r>
        <w:rPr>
          <w:rFonts w:hint="eastAsia"/>
          <w:color w:val="auto"/>
          <w:highlight w:val="none"/>
        </w:rPr>
        <w:t>签证考核：</w:t>
      </w:r>
      <w:r>
        <w:rPr>
          <w:color w:val="auto"/>
          <w:highlight w:val="none"/>
        </w:rPr>
        <w:br w:type="textWrapping"/>
      </w:r>
      <w:r>
        <w:rPr>
          <w:rFonts w:hint="eastAsia"/>
          <w:color w:val="auto"/>
          <w:highlight w:val="none"/>
        </w:rPr>
        <w:t xml:space="preserve"> </w:t>
      </w:r>
      <w:r>
        <w:rPr>
          <w:color w:val="auto"/>
          <w:highlight w:val="none"/>
        </w:rPr>
        <w:t xml:space="preserve">   </w:t>
      </w:r>
      <w:r>
        <w:rPr>
          <w:rFonts w:hint="eastAsia"/>
          <w:color w:val="auto"/>
          <w:highlight w:val="none"/>
        </w:rPr>
        <w:t>当签证工程量与实际工程量不符或违背合同计价原则时，签证单按实进行修正；正偏差在3%以内不考核，正偏差大于3%时且单张签证金额偏差在5000元以内，对负责该签证的专业负责人、造价管理人员按250元/份签证进行绩效考核；正偏差大于3%时且单张签证金额偏差在5000元以上，对负责该签证的专业负责人、造价管理人员按500元/份签证进行绩效考核,当年次数达到3次,暂停工程管理相关工作，如发现恶意弄虚作假，按公司《员工违规行为处理规定》执行。</w:t>
      </w:r>
    </w:p>
    <w:p w14:paraId="333F70A3">
      <w:pPr>
        <w:pStyle w:val="72"/>
        <w:spacing w:before="312" w:after="312"/>
        <w:ind w:left="3544"/>
        <w:rPr>
          <w:color w:val="auto"/>
          <w:highlight w:val="none"/>
        </w:rPr>
      </w:pPr>
      <w:r>
        <w:rPr>
          <w:rFonts w:hint="eastAsia"/>
          <w:color w:val="auto"/>
          <w:highlight w:val="none"/>
        </w:rPr>
        <w:t>施工组织设计、专项施工方案和特殊技术措施管理</w:t>
      </w:r>
    </w:p>
    <w:p w14:paraId="2191B2AB">
      <w:pPr>
        <w:pStyle w:val="73"/>
        <w:ind w:left="568"/>
        <w:rPr>
          <w:color w:val="auto"/>
          <w:highlight w:val="none"/>
        </w:rPr>
      </w:pPr>
      <w:r>
        <w:rPr>
          <w:color w:val="auto"/>
          <w:highlight w:val="none"/>
        </w:rPr>
        <w:t>施工组织设计、施工方案和特殊技术措施的</w:t>
      </w:r>
      <w:r>
        <w:rPr>
          <w:rFonts w:hint="eastAsia"/>
          <w:color w:val="auto"/>
          <w:highlight w:val="none"/>
        </w:rPr>
        <w:t>书面批复意见内</w:t>
      </w:r>
      <w:r>
        <w:rPr>
          <w:color w:val="auto"/>
          <w:highlight w:val="none"/>
        </w:rPr>
        <w:t>明确</w:t>
      </w:r>
      <w:r>
        <w:rPr>
          <w:rFonts w:hint="eastAsia"/>
          <w:color w:val="auto"/>
          <w:highlight w:val="none"/>
        </w:rPr>
        <w:t>而具体的</w:t>
      </w:r>
      <w:r>
        <w:rPr>
          <w:color w:val="auto"/>
          <w:highlight w:val="none"/>
        </w:rPr>
        <w:t>批复内容</w:t>
      </w:r>
      <w:r>
        <w:rPr>
          <w:rFonts w:hint="eastAsia"/>
          <w:color w:val="auto"/>
          <w:highlight w:val="none"/>
        </w:rPr>
        <w:t>可</w:t>
      </w:r>
      <w:r>
        <w:rPr>
          <w:color w:val="auto"/>
          <w:highlight w:val="none"/>
        </w:rPr>
        <w:t>作为工程竣工结算依据</w:t>
      </w:r>
      <w:r>
        <w:rPr>
          <w:rFonts w:hint="eastAsia"/>
          <w:color w:val="auto"/>
          <w:highlight w:val="none"/>
        </w:rPr>
        <w:t>。而</w:t>
      </w:r>
      <w:r>
        <w:rPr>
          <w:color w:val="auto"/>
          <w:highlight w:val="none"/>
        </w:rPr>
        <w:t>批复</w:t>
      </w:r>
      <w:r>
        <w:rPr>
          <w:rFonts w:hint="eastAsia"/>
          <w:color w:val="auto"/>
          <w:highlight w:val="none"/>
        </w:rPr>
        <w:t>意见</w:t>
      </w:r>
      <w:r>
        <w:rPr>
          <w:color w:val="auto"/>
          <w:highlight w:val="none"/>
        </w:rPr>
        <w:t>内未明确的</w:t>
      </w:r>
      <w:r>
        <w:rPr>
          <w:rFonts w:hint="eastAsia"/>
          <w:color w:val="auto"/>
          <w:highlight w:val="none"/>
        </w:rPr>
        <w:t>，或概括性描述的，或对</w:t>
      </w:r>
      <w:r>
        <w:rPr>
          <w:color w:val="auto"/>
          <w:highlight w:val="none"/>
        </w:rPr>
        <w:t>明确的内容有更改的</w:t>
      </w:r>
      <w:r>
        <w:rPr>
          <w:rFonts w:hint="eastAsia"/>
          <w:color w:val="auto"/>
          <w:highlight w:val="none"/>
        </w:rPr>
        <w:t>，</w:t>
      </w:r>
      <w:r>
        <w:rPr>
          <w:color w:val="auto"/>
          <w:highlight w:val="none"/>
        </w:rPr>
        <w:t>应</w:t>
      </w:r>
      <w:r>
        <w:rPr>
          <w:rFonts w:hint="eastAsia"/>
          <w:color w:val="auto"/>
          <w:highlight w:val="none"/>
        </w:rPr>
        <w:t>根据工程实际实施情况</w:t>
      </w:r>
      <w:r>
        <w:rPr>
          <w:color w:val="auto"/>
          <w:highlight w:val="none"/>
        </w:rPr>
        <w:t>办理工程经济签证单后方可作为结算依据。</w:t>
      </w:r>
    </w:p>
    <w:p w14:paraId="64DA43ED">
      <w:pPr>
        <w:pStyle w:val="73"/>
        <w:ind w:left="568"/>
        <w:rPr>
          <w:color w:val="auto"/>
          <w:highlight w:val="none"/>
        </w:rPr>
      </w:pPr>
      <w:r>
        <w:rPr>
          <w:color w:val="auto"/>
          <w:highlight w:val="none"/>
        </w:rPr>
        <w:t>对于大型工程，</w:t>
      </w:r>
      <w:r>
        <w:rPr>
          <w:rFonts w:hint="eastAsia"/>
          <w:color w:val="auto"/>
          <w:highlight w:val="none"/>
        </w:rPr>
        <w:t>为便于造价管理，</w:t>
      </w:r>
      <w:r>
        <w:rPr>
          <w:color w:val="auto"/>
          <w:highlight w:val="none"/>
        </w:rPr>
        <w:t>可不</w:t>
      </w:r>
      <w:r>
        <w:rPr>
          <w:rFonts w:hint="eastAsia"/>
          <w:color w:val="auto"/>
          <w:highlight w:val="none"/>
        </w:rPr>
        <w:t>以</w:t>
      </w:r>
      <w:r>
        <w:rPr>
          <w:color w:val="auto"/>
          <w:highlight w:val="none"/>
        </w:rPr>
        <w:t>施工组织设计、施工方案和特殊技术措施的</w:t>
      </w:r>
      <w:r>
        <w:rPr>
          <w:rFonts w:hint="eastAsia"/>
          <w:color w:val="auto"/>
          <w:highlight w:val="none"/>
        </w:rPr>
        <w:t>书面批复意见</w:t>
      </w:r>
      <w:r>
        <w:rPr>
          <w:color w:val="auto"/>
          <w:highlight w:val="none"/>
        </w:rPr>
        <w:t>作为结算依据，而</w:t>
      </w:r>
      <w:r>
        <w:rPr>
          <w:rFonts w:hint="eastAsia"/>
          <w:color w:val="auto"/>
          <w:highlight w:val="none"/>
        </w:rPr>
        <w:t>是根据实际实施情况转化为</w:t>
      </w:r>
      <w:r>
        <w:rPr>
          <w:color w:val="auto"/>
          <w:highlight w:val="none"/>
        </w:rPr>
        <w:t>经济签证单</w:t>
      </w:r>
      <w:r>
        <w:rPr>
          <w:rFonts w:hint="eastAsia"/>
          <w:color w:val="auto"/>
          <w:highlight w:val="none"/>
        </w:rPr>
        <w:t>后</w:t>
      </w:r>
      <w:r>
        <w:rPr>
          <w:color w:val="auto"/>
          <w:highlight w:val="none"/>
        </w:rPr>
        <w:t>作为依据。</w:t>
      </w:r>
    </w:p>
    <w:p w14:paraId="55061B25">
      <w:pPr>
        <w:pStyle w:val="73"/>
        <w:ind w:left="568"/>
        <w:rPr>
          <w:color w:val="auto"/>
          <w:highlight w:val="none"/>
        </w:rPr>
      </w:pPr>
      <w:r>
        <w:rPr>
          <w:color w:val="auto"/>
          <w:highlight w:val="none"/>
        </w:rPr>
        <w:t>未实行会审和会签的施工组织设计、施工方案和特殊技术措施，</w:t>
      </w:r>
      <w:r>
        <w:rPr>
          <w:rFonts w:hint="eastAsia"/>
          <w:color w:val="auto"/>
          <w:highlight w:val="none"/>
        </w:rPr>
        <w:t>为无效的技术经济文件，</w:t>
      </w:r>
      <w:r>
        <w:rPr>
          <w:color w:val="auto"/>
          <w:highlight w:val="none"/>
        </w:rPr>
        <w:t>一律不得作为工程施工和工程竣工结算的依据。</w:t>
      </w:r>
    </w:p>
    <w:p w14:paraId="31D063A9">
      <w:pPr>
        <w:pStyle w:val="72"/>
        <w:spacing w:before="312" w:after="312"/>
        <w:ind w:left="3544"/>
        <w:rPr>
          <w:color w:val="auto"/>
          <w:highlight w:val="none"/>
        </w:rPr>
      </w:pPr>
      <w:r>
        <w:rPr>
          <w:rFonts w:hint="eastAsia"/>
          <w:color w:val="auto"/>
          <w:highlight w:val="none"/>
        </w:rPr>
        <w:t>附则</w:t>
      </w:r>
    </w:p>
    <w:p w14:paraId="5911FA43">
      <w:pPr>
        <w:pStyle w:val="73"/>
        <w:ind w:left="568"/>
        <w:rPr>
          <w:color w:val="auto"/>
          <w:highlight w:val="none"/>
        </w:rPr>
      </w:pPr>
      <w:r>
        <w:rPr>
          <w:rFonts w:hint="eastAsia"/>
          <w:color w:val="auto"/>
          <w:highlight w:val="none"/>
        </w:rPr>
        <w:t>未按上述要求办理的，均为无效的技术经济文件。</w:t>
      </w:r>
    </w:p>
    <w:p w14:paraId="2FAAD989">
      <w:pPr>
        <w:pStyle w:val="73"/>
        <w:ind w:left="568"/>
        <w:rPr>
          <w:color w:val="auto"/>
          <w:highlight w:val="none"/>
        </w:rPr>
      </w:pPr>
      <w:r>
        <w:rPr>
          <w:rFonts w:hint="eastAsia"/>
          <w:color w:val="auto"/>
          <w:highlight w:val="none"/>
        </w:rPr>
        <w:t>凡施工单位不提交费用减少的经济签证单，一经发现，由监理公司或建设单位发出通知，若通知后仍未提交的，我公司将在工程结算中双倍扣回所减少部分的费用。同时建设单位及监理公司现场代表应特别督促施工单位对涉及费用减少的项目办理经济签证。</w:t>
      </w:r>
    </w:p>
    <w:p w14:paraId="72E0C3B3">
      <w:pPr>
        <w:pStyle w:val="73"/>
        <w:ind w:left="568"/>
        <w:rPr>
          <w:color w:val="auto"/>
          <w:highlight w:val="none"/>
        </w:rPr>
      </w:pPr>
      <w:r>
        <w:rPr>
          <w:color w:val="auto"/>
          <w:highlight w:val="none"/>
        </w:rPr>
        <w:t>其他部门业务涉及需要办理经济签证单可参照本管理办法执行。</w:t>
      </w:r>
      <w:r>
        <w:rPr>
          <w:color w:val="auto"/>
          <w:highlight w:val="none"/>
        </w:rPr>
        <w:br w:type="textWrapping"/>
      </w:r>
    </w:p>
    <w:p w14:paraId="6C58B8C5">
      <w:pPr>
        <w:widowControl/>
        <w:jc w:val="left"/>
        <w:rPr>
          <w:rFonts w:ascii="宋体"/>
          <w:color w:val="auto"/>
          <w:kern w:val="0"/>
          <w:szCs w:val="21"/>
          <w:highlight w:val="none"/>
        </w:rPr>
      </w:pPr>
      <w:r>
        <w:rPr>
          <w:color w:val="auto"/>
          <w:highlight w:val="none"/>
        </w:rPr>
        <w:br w:type="page"/>
      </w:r>
    </w:p>
    <w:p w14:paraId="6269B511">
      <w:pPr>
        <w:pStyle w:val="73"/>
        <w:jc w:val="center"/>
        <w:rPr>
          <w:color w:val="auto"/>
          <w:highlight w:val="none"/>
        </w:rPr>
      </w:pPr>
      <w:r>
        <w:rPr>
          <w:rFonts w:hint="eastAsia"/>
          <w:color w:val="auto"/>
          <w:highlight w:val="none"/>
        </w:rPr>
        <w:t>附录A</w:t>
      </w:r>
      <w:r>
        <w:rPr>
          <w:color w:val="auto"/>
          <w:highlight w:val="none"/>
        </w:rPr>
        <w:br w:type="textWrapping"/>
      </w:r>
      <w:r>
        <w:rPr>
          <w:rFonts w:hint="eastAsia"/>
          <w:color w:val="auto"/>
          <w:highlight w:val="none"/>
        </w:rPr>
        <w:t>（规范性附录）</w:t>
      </w:r>
    </w:p>
    <w:p w14:paraId="15436DAA">
      <w:pPr>
        <w:autoSpaceDE w:val="0"/>
        <w:autoSpaceDN w:val="0"/>
        <w:adjustRightInd w:val="0"/>
        <w:spacing w:line="360" w:lineRule="auto"/>
        <w:jc w:val="center"/>
        <w:rPr>
          <w:rFonts w:ascii="宋体" w:hAnsi="宋体"/>
          <w:b/>
          <w:color w:val="auto"/>
          <w:sz w:val="24"/>
          <w:highlight w:val="none"/>
        </w:rPr>
      </w:pPr>
      <w:r>
        <w:rPr>
          <w:rFonts w:hint="eastAsia" w:ascii="宋体" w:hAnsi="宋体"/>
          <w:b/>
          <w:color w:val="auto"/>
          <w:sz w:val="24"/>
          <w:highlight w:val="none"/>
        </w:rPr>
        <w:t>经济签证单</w:t>
      </w:r>
    </w:p>
    <w:p w14:paraId="725DEC68">
      <w:pPr>
        <w:autoSpaceDE w:val="0"/>
        <w:autoSpaceDN w:val="0"/>
        <w:adjustRightInd w:val="0"/>
        <w:spacing w:line="360" w:lineRule="auto"/>
        <w:jc w:val="center"/>
        <w:rPr>
          <w:rFonts w:ascii="宋体" w:hAnsi="宋体"/>
          <w:b/>
          <w:color w:val="auto"/>
          <w:sz w:val="18"/>
          <w:szCs w:val="18"/>
          <w:highlight w:val="none"/>
        </w:rPr>
      </w:pPr>
      <w:r>
        <w:rPr>
          <w:rFonts w:hint="eastAsia" w:ascii="宋体" w:hAnsi="宋体"/>
          <w:color w:val="auto"/>
          <w:sz w:val="18"/>
          <w:szCs w:val="18"/>
          <w:highlight w:val="none"/>
        </w:rPr>
        <w:t>（五万元以下适用）</w:t>
      </w:r>
    </w:p>
    <w:tbl>
      <w:tblPr>
        <w:tblStyle w:val="20"/>
        <w:tblW w:w="0" w:type="auto"/>
        <w:jc w:val="center"/>
        <w:tblLayout w:type="fixed"/>
        <w:tblCellMar>
          <w:top w:w="0" w:type="dxa"/>
          <w:left w:w="108" w:type="dxa"/>
          <w:bottom w:w="0" w:type="dxa"/>
          <w:right w:w="108" w:type="dxa"/>
        </w:tblCellMar>
      </w:tblPr>
      <w:tblGrid>
        <w:gridCol w:w="1694"/>
        <w:gridCol w:w="1843"/>
        <w:gridCol w:w="1760"/>
        <w:gridCol w:w="83"/>
        <w:gridCol w:w="1283"/>
        <w:gridCol w:w="559"/>
        <w:gridCol w:w="1834"/>
      </w:tblGrid>
      <w:tr w14:paraId="78DAA0BD">
        <w:tblPrEx>
          <w:tblCellMar>
            <w:top w:w="0" w:type="dxa"/>
            <w:left w:w="108" w:type="dxa"/>
            <w:bottom w:w="0" w:type="dxa"/>
            <w:right w:w="108" w:type="dxa"/>
          </w:tblCellMar>
        </w:tblPrEx>
        <w:trPr>
          <w:trHeight w:val="356" w:hRule="atLeast"/>
          <w:jc w:val="center"/>
        </w:trPr>
        <w:tc>
          <w:tcPr>
            <w:tcW w:w="5297" w:type="dxa"/>
            <w:gridSpan w:val="3"/>
            <w:tcBorders>
              <w:top w:val="nil"/>
              <w:left w:val="nil"/>
              <w:bottom w:val="nil"/>
              <w:right w:val="nil"/>
            </w:tcBorders>
            <w:vAlign w:val="center"/>
          </w:tcPr>
          <w:p w14:paraId="49390D12">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工程名称：                  分部工程：</w:t>
            </w:r>
          </w:p>
        </w:tc>
        <w:tc>
          <w:tcPr>
            <w:tcW w:w="3759" w:type="dxa"/>
            <w:gridSpan w:val="4"/>
            <w:tcBorders>
              <w:top w:val="nil"/>
              <w:left w:val="nil"/>
              <w:bottom w:val="nil"/>
              <w:right w:val="nil"/>
            </w:tcBorders>
            <w:vAlign w:val="center"/>
          </w:tcPr>
          <w:p w14:paraId="5765397A">
            <w:pPr>
              <w:widowControl/>
              <w:rPr>
                <w:rFonts w:ascii="宋体" w:hAnsi="宋体" w:cs="宋体"/>
                <w:color w:val="auto"/>
                <w:kern w:val="0"/>
                <w:sz w:val="24"/>
                <w:highlight w:val="none"/>
              </w:rPr>
            </w:pPr>
            <w:r>
              <w:rPr>
                <w:rFonts w:hint="eastAsia" w:ascii="宋体" w:hAnsi="宋体" w:cs="宋体"/>
                <w:color w:val="auto"/>
                <w:kern w:val="0"/>
                <w:sz w:val="24"/>
                <w:highlight w:val="none"/>
              </w:rPr>
              <w:t xml:space="preserve">日期：            </w:t>
            </w:r>
          </w:p>
        </w:tc>
      </w:tr>
      <w:tr w14:paraId="59B85142">
        <w:tblPrEx>
          <w:tblCellMar>
            <w:top w:w="0" w:type="dxa"/>
            <w:left w:w="108" w:type="dxa"/>
            <w:bottom w:w="0" w:type="dxa"/>
            <w:right w:w="108" w:type="dxa"/>
          </w:tblCellMar>
        </w:tblPrEx>
        <w:trPr>
          <w:trHeight w:val="634" w:hRule="atLeast"/>
          <w:jc w:val="center"/>
        </w:trPr>
        <w:tc>
          <w:tcPr>
            <w:tcW w:w="5380" w:type="dxa"/>
            <w:gridSpan w:val="4"/>
            <w:tcBorders>
              <w:top w:val="single" w:color="auto" w:sz="4" w:space="0"/>
              <w:left w:val="single" w:color="auto" w:sz="4" w:space="0"/>
              <w:bottom w:val="single" w:color="auto" w:sz="4" w:space="0"/>
              <w:right w:val="single" w:color="auto" w:sz="4" w:space="0"/>
            </w:tcBorders>
            <w:vAlign w:val="center"/>
          </w:tcPr>
          <w:p w14:paraId="37FBDB54">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施工单位：</w:t>
            </w:r>
          </w:p>
        </w:tc>
        <w:tc>
          <w:tcPr>
            <w:tcW w:w="1283" w:type="dxa"/>
            <w:tcBorders>
              <w:top w:val="single" w:color="auto" w:sz="4" w:space="0"/>
              <w:left w:val="nil"/>
              <w:bottom w:val="single" w:color="auto" w:sz="4" w:space="0"/>
              <w:right w:val="single" w:color="auto" w:sz="4" w:space="0"/>
            </w:tcBorders>
            <w:vAlign w:val="center"/>
          </w:tcPr>
          <w:p w14:paraId="16AC561D">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专业：</w:t>
            </w:r>
          </w:p>
        </w:tc>
        <w:tc>
          <w:tcPr>
            <w:tcW w:w="2393" w:type="dxa"/>
            <w:gridSpan w:val="2"/>
            <w:tcBorders>
              <w:top w:val="single" w:color="auto" w:sz="4" w:space="0"/>
              <w:left w:val="nil"/>
              <w:bottom w:val="single" w:color="auto" w:sz="4" w:space="0"/>
              <w:right w:val="single" w:color="auto" w:sz="4" w:space="0"/>
            </w:tcBorders>
            <w:vAlign w:val="center"/>
          </w:tcPr>
          <w:p w14:paraId="424768F6">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编号：</w:t>
            </w:r>
          </w:p>
        </w:tc>
      </w:tr>
      <w:tr w14:paraId="37BE5C34">
        <w:tblPrEx>
          <w:tblCellMar>
            <w:top w:w="0" w:type="dxa"/>
            <w:left w:w="108" w:type="dxa"/>
            <w:bottom w:w="0" w:type="dxa"/>
            <w:right w:w="108" w:type="dxa"/>
          </w:tblCellMar>
        </w:tblPrEx>
        <w:trPr>
          <w:trHeight w:val="1656" w:hRule="atLeast"/>
          <w:jc w:val="center"/>
        </w:trPr>
        <w:tc>
          <w:tcPr>
            <w:tcW w:w="9056" w:type="dxa"/>
            <w:gridSpan w:val="7"/>
            <w:vMerge w:val="restart"/>
            <w:tcBorders>
              <w:top w:val="single" w:color="auto" w:sz="4" w:space="0"/>
              <w:left w:val="single" w:color="auto" w:sz="4" w:space="0"/>
              <w:bottom w:val="nil"/>
              <w:right w:val="single" w:color="000000" w:sz="4" w:space="0"/>
            </w:tcBorders>
          </w:tcPr>
          <w:p w14:paraId="11C3E490">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签证事由：</w:t>
            </w:r>
          </w:p>
        </w:tc>
      </w:tr>
      <w:tr w14:paraId="12D2AE00">
        <w:tblPrEx>
          <w:tblCellMar>
            <w:top w:w="0" w:type="dxa"/>
            <w:left w:w="108" w:type="dxa"/>
            <w:bottom w:w="0" w:type="dxa"/>
            <w:right w:w="108" w:type="dxa"/>
          </w:tblCellMar>
        </w:tblPrEx>
        <w:trPr>
          <w:trHeight w:val="312" w:hRule="atLeast"/>
          <w:jc w:val="center"/>
        </w:trPr>
        <w:tc>
          <w:tcPr>
            <w:tcW w:w="9056" w:type="dxa"/>
            <w:gridSpan w:val="7"/>
            <w:vMerge w:val="continue"/>
            <w:tcBorders>
              <w:top w:val="single" w:color="auto" w:sz="4" w:space="0"/>
              <w:left w:val="single" w:color="auto" w:sz="4" w:space="0"/>
              <w:bottom w:val="single" w:color="auto" w:sz="4" w:space="0"/>
              <w:right w:val="single" w:color="000000" w:sz="4" w:space="0"/>
            </w:tcBorders>
            <w:vAlign w:val="center"/>
          </w:tcPr>
          <w:p w14:paraId="0A75D86B">
            <w:pPr>
              <w:widowControl/>
              <w:jc w:val="left"/>
              <w:rPr>
                <w:rFonts w:ascii="宋体" w:hAnsi="宋体" w:cs="宋体"/>
                <w:color w:val="auto"/>
                <w:kern w:val="0"/>
                <w:sz w:val="22"/>
                <w:highlight w:val="none"/>
              </w:rPr>
            </w:pPr>
          </w:p>
        </w:tc>
      </w:tr>
      <w:tr w14:paraId="2F633810">
        <w:tblPrEx>
          <w:tblCellMar>
            <w:top w:w="0" w:type="dxa"/>
            <w:left w:w="108" w:type="dxa"/>
            <w:bottom w:w="0" w:type="dxa"/>
            <w:right w:w="108" w:type="dxa"/>
          </w:tblCellMar>
        </w:tblPrEx>
        <w:trPr>
          <w:trHeight w:val="4175" w:hRule="atLeast"/>
          <w:jc w:val="center"/>
        </w:trPr>
        <w:tc>
          <w:tcPr>
            <w:tcW w:w="9056" w:type="dxa"/>
            <w:gridSpan w:val="7"/>
            <w:tcBorders>
              <w:top w:val="single" w:color="auto" w:sz="4" w:space="0"/>
              <w:left w:val="single" w:color="auto" w:sz="4" w:space="0"/>
              <w:bottom w:val="single" w:color="auto" w:sz="4" w:space="0"/>
              <w:right w:val="single" w:color="000000" w:sz="4" w:space="0"/>
            </w:tcBorders>
            <w:vAlign w:val="center"/>
          </w:tcPr>
          <w:p w14:paraId="0D3819C9">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内容（部位、数量、草图、说明、相片）：</w:t>
            </w:r>
          </w:p>
          <w:p w14:paraId="1304ED7E">
            <w:pPr>
              <w:widowControl/>
              <w:jc w:val="left"/>
              <w:rPr>
                <w:rFonts w:ascii="宋体" w:hAnsi="宋体" w:cs="宋体"/>
                <w:color w:val="auto"/>
                <w:kern w:val="0"/>
                <w:sz w:val="22"/>
                <w:highlight w:val="none"/>
              </w:rPr>
            </w:pPr>
          </w:p>
          <w:p w14:paraId="75420561">
            <w:pPr>
              <w:widowControl/>
              <w:jc w:val="left"/>
              <w:rPr>
                <w:rFonts w:ascii="宋体" w:hAnsi="宋体" w:cs="宋体"/>
                <w:color w:val="auto"/>
                <w:kern w:val="0"/>
                <w:sz w:val="22"/>
                <w:highlight w:val="none"/>
              </w:rPr>
            </w:pPr>
          </w:p>
          <w:p w14:paraId="36AF292E">
            <w:pPr>
              <w:widowControl/>
              <w:jc w:val="left"/>
              <w:rPr>
                <w:rFonts w:ascii="宋体" w:hAnsi="宋体" w:cs="宋体"/>
                <w:color w:val="auto"/>
                <w:kern w:val="0"/>
                <w:sz w:val="22"/>
                <w:highlight w:val="none"/>
              </w:rPr>
            </w:pPr>
          </w:p>
          <w:p w14:paraId="54F28542">
            <w:pPr>
              <w:widowControl/>
              <w:jc w:val="left"/>
              <w:rPr>
                <w:rFonts w:ascii="宋体" w:hAnsi="宋体" w:cs="宋体"/>
                <w:color w:val="auto"/>
                <w:kern w:val="0"/>
                <w:sz w:val="22"/>
                <w:highlight w:val="none"/>
              </w:rPr>
            </w:pPr>
          </w:p>
          <w:p w14:paraId="04B687F5">
            <w:pPr>
              <w:widowControl/>
              <w:jc w:val="left"/>
              <w:rPr>
                <w:rFonts w:ascii="宋体" w:hAnsi="宋体" w:cs="宋体"/>
                <w:color w:val="auto"/>
                <w:kern w:val="0"/>
                <w:sz w:val="22"/>
                <w:highlight w:val="none"/>
              </w:rPr>
            </w:pPr>
          </w:p>
          <w:p w14:paraId="78D857DC">
            <w:pPr>
              <w:widowControl/>
              <w:jc w:val="left"/>
              <w:rPr>
                <w:rFonts w:ascii="宋体" w:hAnsi="宋体" w:cs="宋体"/>
                <w:color w:val="auto"/>
                <w:kern w:val="0"/>
                <w:sz w:val="22"/>
                <w:highlight w:val="none"/>
              </w:rPr>
            </w:pPr>
          </w:p>
          <w:p w14:paraId="275ECF88">
            <w:pPr>
              <w:widowControl/>
              <w:jc w:val="left"/>
              <w:rPr>
                <w:rFonts w:ascii="宋体" w:hAnsi="宋体" w:cs="宋体"/>
                <w:color w:val="auto"/>
                <w:kern w:val="0"/>
                <w:sz w:val="22"/>
                <w:highlight w:val="none"/>
              </w:rPr>
            </w:pPr>
          </w:p>
          <w:p w14:paraId="01A28AAC">
            <w:pPr>
              <w:widowControl/>
              <w:jc w:val="left"/>
              <w:rPr>
                <w:rFonts w:ascii="宋体" w:hAnsi="宋体" w:cs="宋体"/>
                <w:color w:val="auto"/>
                <w:kern w:val="0"/>
                <w:sz w:val="22"/>
                <w:highlight w:val="none"/>
              </w:rPr>
            </w:pPr>
          </w:p>
          <w:p w14:paraId="0B3E625F">
            <w:pPr>
              <w:widowControl/>
              <w:jc w:val="left"/>
              <w:rPr>
                <w:rFonts w:ascii="宋体" w:hAnsi="宋体" w:cs="宋体"/>
                <w:color w:val="auto"/>
                <w:kern w:val="0"/>
                <w:sz w:val="22"/>
                <w:highlight w:val="none"/>
              </w:rPr>
            </w:pPr>
          </w:p>
          <w:p w14:paraId="77FDD07E">
            <w:pPr>
              <w:widowControl/>
              <w:jc w:val="left"/>
              <w:rPr>
                <w:rFonts w:ascii="宋体" w:hAnsi="宋体" w:cs="宋体"/>
                <w:color w:val="auto"/>
                <w:kern w:val="0"/>
                <w:sz w:val="22"/>
                <w:highlight w:val="none"/>
              </w:rPr>
            </w:pPr>
          </w:p>
          <w:p w14:paraId="6F737998">
            <w:pPr>
              <w:widowControl/>
              <w:spacing w:before="100" w:beforeAutospacing="1"/>
              <w:jc w:val="left"/>
              <w:rPr>
                <w:rFonts w:ascii="宋体" w:hAnsi="宋体" w:cs="宋体"/>
                <w:color w:val="auto"/>
                <w:kern w:val="0"/>
                <w:sz w:val="22"/>
                <w:highlight w:val="none"/>
              </w:rPr>
            </w:pPr>
          </w:p>
        </w:tc>
      </w:tr>
      <w:tr w14:paraId="7EEE1222">
        <w:tblPrEx>
          <w:tblCellMar>
            <w:top w:w="0" w:type="dxa"/>
            <w:left w:w="108" w:type="dxa"/>
            <w:bottom w:w="0" w:type="dxa"/>
            <w:right w:w="108" w:type="dxa"/>
          </w:tblCellMar>
        </w:tblPrEx>
        <w:trPr>
          <w:trHeight w:val="906" w:hRule="atLeast"/>
          <w:jc w:val="center"/>
        </w:trPr>
        <w:tc>
          <w:tcPr>
            <w:tcW w:w="9056" w:type="dxa"/>
            <w:gridSpan w:val="7"/>
            <w:vMerge w:val="restart"/>
            <w:tcBorders>
              <w:top w:val="single" w:color="auto" w:sz="4" w:space="0"/>
              <w:left w:val="single" w:color="auto" w:sz="4" w:space="0"/>
              <w:bottom w:val="nil"/>
              <w:right w:val="single" w:color="000000" w:sz="4" w:space="0"/>
            </w:tcBorders>
          </w:tcPr>
          <w:p w14:paraId="73293573">
            <w:pPr>
              <w:rPr>
                <w:rFonts w:ascii="宋体" w:hAnsi="宋体" w:cs="宋体"/>
                <w:color w:val="auto"/>
                <w:kern w:val="0"/>
                <w:sz w:val="22"/>
                <w:highlight w:val="none"/>
              </w:rPr>
            </w:pPr>
            <w:r>
              <w:rPr>
                <w:rFonts w:hint="eastAsia" w:ascii="宋体" w:hAnsi="宋体" w:cs="宋体"/>
                <w:color w:val="auto"/>
                <w:kern w:val="0"/>
                <w:sz w:val="22"/>
                <w:highlight w:val="none"/>
              </w:rPr>
              <w:t>审核人员意见：</w:t>
            </w:r>
          </w:p>
        </w:tc>
      </w:tr>
      <w:tr w14:paraId="47B42E48">
        <w:tblPrEx>
          <w:tblCellMar>
            <w:top w:w="0" w:type="dxa"/>
            <w:left w:w="108" w:type="dxa"/>
            <w:bottom w:w="0" w:type="dxa"/>
            <w:right w:w="108" w:type="dxa"/>
          </w:tblCellMar>
        </w:tblPrEx>
        <w:trPr>
          <w:trHeight w:val="496" w:hRule="atLeast"/>
          <w:jc w:val="center"/>
        </w:trPr>
        <w:tc>
          <w:tcPr>
            <w:tcW w:w="9056" w:type="dxa"/>
            <w:gridSpan w:val="7"/>
            <w:vMerge w:val="continue"/>
            <w:tcBorders>
              <w:top w:val="single" w:color="auto" w:sz="4" w:space="0"/>
              <w:left w:val="single" w:color="auto" w:sz="4" w:space="0"/>
              <w:bottom w:val="nil"/>
              <w:right w:val="single" w:color="000000" w:sz="4" w:space="0"/>
            </w:tcBorders>
            <w:vAlign w:val="center"/>
          </w:tcPr>
          <w:p w14:paraId="2DE02EF6">
            <w:pPr>
              <w:widowControl/>
              <w:jc w:val="left"/>
              <w:rPr>
                <w:rFonts w:ascii="宋体" w:hAnsi="宋体" w:cs="宋体"/>
                <w:color w:val="auto"/>
                <w:kern w:val="0"/>
                <w:sz w:val="22"/>
                <w:highlight w:val="none"/>
              </w:rPr>
            </w:pPr>
          </w:p>
        </w:tc>
      </w:tr>
      <w:tr w14:paraId="7AF2BF3A">
        <w:tblPrEx>
          <w:tblCellMar>
            <w:top w:w="0" w:type="dxa"/>
            <w:left w:w="108" w:type="dxa"/>
            <w:bottom w:w="0" w:type="dxa"/>
            <w:right w:w="108" w:type="dxa"/>
          </w:tblCellMar>
        </w:tblPrEx>
        <w:trPr>
          <w:trHeight w:val="1248" w:hRule="atLeast"/>
          <w:jc w:val="center"/>
        </w:trPr>
        <w:tc>
          <w:tcPr>
            <w:tcW w:w="1694" w:type="dxa"/>
            <w:tcBorders>
              <w:top w:val="single" w:color="auto" w:sz="4" w:space="0"/>
              <w:left w:val="single" w:color="auto" w:sz="4" w:space="0"/>
              <w:bottom w:val="single" w:color="auto" w:sz="4" w:space="0"/>
              <w:right w:val="single" w:color="auto" w:sz="4" w:space="0"/>
            </w:tcBorders>
          </w:tcPr>
          <w:p w14:paraId="735D7AD6">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 xml:space="preserve">施工单位签章                           </w:t>
            </w:r>
          </w:p>
        </w:tc>
        <w:tc>
          <w:tcPr>
            <w:tcW w:w="1843" w:type="dxa"/>
            <w:tcBorders>
              <w:top w:val="single" w:color="auto" w:sz="4" w:space="0"/>
              <w:left w:val="single" w:color="auto" w:sz="4" w:space="0"/>
              <w:bottom w:val="single" w:color="auto" w:sz="4" w:space="0"/>
              <w:right w:val="single" w:color="auto" w:sz="4" w:space="0"/>
            </w:tcBorders>
          </w:tcPr>
          <w:p w14:paraId="61F8496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监理公司签章</w:t>
            </w:r>
          </w:p>
        </w:tc>
        <w:tc>
          <w:tcPr>
            <w:tcW w:w="1843" w:type="dxa"/>
            <w:gridSpan w:val="2"/>
            <w:tcBorders>
              <w:top w:val="single" w:color="auto" w:sz="4" w:space="0"/>
              <w:left w:val="single" w:color="auto" w:sz="4" w:space="0"/>
              <w:bottom w:val="single" w:color="auto" w:sz="4" w:space="0"/>
              <w:right w:val="single" w:color="auto" w:sz="4" w:space="0"/>
            </w:tcBorders>
          </w:tcPr>
          <w:p w14:paraId="484190C9">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现场专业负责人（项目负责人）</w:t>
            </w:r>
          </w:p>
          <w:p w14:paraId="64EB4901">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部门签章</w:t>
            </w:r>
          </w:p>
        </w:tc>
        <w:tc>
          <w:tcPr>
            <w:tcW w:w="1842" w:type="dxa"/>
            <w:gridSpan w:val="2"/>
            <w:tcBorders>
              <w:top w:val="single" w:color="auto" w:sz="4" w:space="0"/>
              <w:left w:val="single" w:color="auto" w:sz="4" w:space="0"/>
              <w:bottom w:val="single" w:color="auto" w:sz="4" w:space="0"/>
              <w:right w:val="single" w:color="auto" w:sz="4" w:space="0"/>
            </w:tcBorders>
          </w:tcPr>
          <w:p w14:paraId="20F425E5">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造价管理人员</w:t>
            </w:r>
          </w:p>
        </w:tc>
        <w:tc>
          <w:tcPr>
            <w:tcW w:w="1834" w:type="dxa"/>
            <w:tcBorders>
              <w:top w:val="single" w:color="auto" w:sz="4" w:space="0"/>
              <w:left w:val="single" w:color="auto" w:sz="4" w:space="0"/>
              <w:right w:val="single" w:color="auto" w:sz="4" w:space="0"/>
            </w:tcBorders>
          </w:tcPr>
          <w:p w14:paraId="1B665CF1">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部门领导</w:t>
            </w:r>
          </w:p>
        </w:tc>
      </w:tr>
      <w:tr w14:paraId="01C02127">
        <w:tblPrEx>
          <w:tblCellMar>
            <w:top w:w="0" w:type="dxa"/>
            <w:left w:w="108" w:type="dxa"/>
            <w:bottom w:w="0" w:type="dxa"/>
            <w:right w:w="108" w:type="dxa"/>
          </w:tblCellMar>
        </w:tblPrEx>
        <w:trPr>
          <w:trHeight w:val="1273" w:hRule="atLeast"/>
          <w:jc w:val="center"/>
        </w:trPr>
        <w:tc>
          <w:tcPr>
            <w:tcW w:w="1694" w:type="dxa"/>
            <w:tcBorders>
              <w:top w:val="single" w:color="auto" w:sz="4" w:space="0"/>
              <w:left w:val="single" w:color="auto" w:sz="4" w:space="0"/>
              <w:bottom w:val="single" w:color="auto" w:sz="4" w:space="0"/>
              <w:right w:val="single" w:color="auto" w:sz="4" w:space="0"/>
            </w:tcBorders>
          </w:tcPr>
          <w:p w14:paraId="14B77C5C">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3" w:type="dxa"/>
            <w:tcBorders>
              <w:top w:val="single" w:color="auto" w:sz="4" w:space="0"/>
              <w:left w:val="nil"/>
              <w:bottom w:val="single" w:color="auto" w:sz="4" w:space="0"/>
              <w:right w:val="single" w:color="auto" w:sz="4" w:space="0"/>
            </w:tcBorders>
          </w:tcPr>
          <w:p w14:paraId="15AAC994">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3" w:type="dxa"/>
            <w:gridSpan w:val="2"/>
            <w:tcBorders>
              <w:top w:val="single" w:color="auto" w:sz="4" w:space="0"/>
              <w:left w:val="nil"/>
              <w:bottom w:val="single" w:color="auto" w:sz="4" w:space="0"/>
              <w:right w:val="single" w:color="auto" w:sz="4" w:space="0"/>
            </w:tcBorders>
          </w:tcPr>
          <w:p w14:paraId="176FF498">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2" w:type="dxa"/>
            <w:gridSpan w:val="2"/>
            <w:tcBorders>
              <w:top w:val="single" w:color="auto" w:sz="4" w:space="0"/>
              <w:left w:val="nil"/>
              <w:bottom w:val="single" w:color="auto" w:sz="4" w:space="0"/>
              <w:right w:val="single" w:color="auto" w:sz="4" w:space="0"/>
            </w:tcBorders>
          </w:tcPr>
          <w:p w14:paraId="764F2A1C">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34" w:type="dxa"/>
            <w:tcBorders>
              <w:top w:val="single" w:color="auto" w:sz="4" w:space="0"/>
              <w:left w:val="nil"/>
              <w:bottom w:val="single" w:color="auto" w:sz="4" w:space="0"/>
              <w:right w:val="single" w:color="auto" w:sz="4" w:space="0"/>
            </w:tcBorders>
          </w:tcPr>
          <w:p w14:paraId="29097122">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r>
    </w:tbl>
    <w:p w14:paraId="30ABC9C3">
      <w:pPr>
        <w:autoSpaceDE w:val="0"/>
        <w:autoSpaceDN w:val="0"/>
        <w:adjustRightInd w:val="0"/>
        <w:spacing w:line="360" w:lineRule="auto"/>
        <w:ind w:left="201" w:leftChars="96"/>
        <w:rPr>
          <w:rFonts w:ascii="宋体" w:hAnsi="宋体"/>
          <w:color w:val="auto"/>
          <w:szCs w:val="21"/>
          <w:highlight w:val="none"/>
        </w:rPr>
      </w:pPr>
      <w:r>
        <w:rPr>
          <w:rFonts w:hint="eastAsia" w:ascii="宋体" w:hAnsi="宋体"/>
          <w:color w:val="auto"/>
          <w:szCs w:val="21"/>
          <w:highlight w:val="none"/>
        </w:rPr>
        <w:t>注：1、本记录表二份原件，施工单位、建设单位工程管理部各执一份原件；</w:t>
      </w:r>
    </w:p>
    <w:p w14:paraId="12D20E71">
      <w:pPr>
        <w:rPr>
          <w:color w:val="auto"/>
          <w:highlight w:val="none"/>
        </w:rPr>
      </w:pPr>
      <w:r>
        <w:rPr>
          <w:color w:val="auto"/>
          <w:highlight w:val="none"/>
        </w:rPr>
        <w:br w:type="page"/>
      </w:r>
    </w:p>
    <w:p w14:paraId="40EFDA7E">
      <w:pPr>
        <w:jc w:val="center"/>
        <w:rPr>
          <w:color w:val="auto"/>
          <w:highlight w:val="none"/>
        </w:rPr>
      </w:pPr>
      <w:r>
        <w:rPr>
          <w:rFonts w:hint="eastAsia"/>
          <w:color w:val="auto"/>
          <w:highlight w:val="none"/>
        </w:rPr>
        <w:t>附录B</w:t>
      </w:r>
      <w:r>
        <w:rPr>
          <w:color w:val="auto"/>
          <w:highlight w:val="none"/>
        </w:rPr>
        <w:br w:type="textWrapping"/>
      </w:r>
      <w:r>
        <w:rPr>
          <w:rFonts w:hint="eastAsia"/>
          <w:color w:val="auto"/>
          <w:highlight w:val="none"/>
        </w:rPr>
        <w:t>（规范性附录）</w:t>
      </w:r>
    </w:p>
    <w:p w14:paraId="7B14EB83">
      <w:pPr>
        <w:autoSpaceDE w:val="0"/>
        <w:autoSpaceDN w:val="0"/>
        <w:adjustRightInd w:val="0"/>
        <w:spacing w:line="360" w:lineRule="auto"/>
        <w:jc w:val="center"/>
        <w:rPr>
          <w:rFonts w:ascii="宋体" w:hAnsi="宋体"/>
          <w:b/>
          <w:color w:val="auto"/>
          <w:sz w:val="24"/>
          <w:highlight w:val="none"/>
        </w:rPr>
      </w:pPr>
      <w:r>
        <w:rPr>
          <w:rFonts w:hint="eastAsia" w:ascii="宋体" w:hAnsi="宋体"/>
          <w:b/>
          <w:color w:val="auto"/>
          <w:sz w:val="24"/>
          <w:highlight w:val="none"/>
        </w:rPr>
        <w:t>经济签证单</w:t>
      </w:r>
    </w:p>
    <w:p w14:paraId="1302D054">
      <w:pPr>
        <w:autoSpaceDE w:val="0"/>
        <w:autoSpaceDN w:val="0"/>
        <w:adjustRightInd w:val="0"/>
        <w:spacing w:line="360" w:lineRule="auto"/>
        <w:jc w:val="center"/>
        <w:rPr>
          <w:rFonts w:ascii="宋体" w:hAnsi="宋体"/>
          <w:b/>
          <w:color w:val="auto"/>
          <w:sz w:val="18"/>
          <w:szCs w:val="18"/>
          <w:highlight w:val="none"/>
        </w:rPr>
      </w:pPr>
      <w:r>
        <w:rPr>
          <w:rFonts w:hint="eastAsia" w:ascii="宋体" w:hAnsi="宋体"/>
          <w:color w:val="auto"/>
          <w:sz w:val="18"/>
          <w:szCs w:val="18"/>
          <w:highlight w:val="none"/>
        </w:rPr>
        <w:t>（五万元以上适用）</w:t>
      </w:r>
    </w:p>
    <w:tbl>
      <w:tblPr>
        <w:tblStyle w:val="20"/>
        <w:tblW w:w="0" w:type="auto"/>
        <w:jc w:val="center"/>
        <w:tblLayout w:type="fixed"/>
        <w:tblCellMar>
          <w:top w:w="0" w:type="dxa"/>
          <w:left w:w="108" w:type="dxa"/>
          <w:bottom w:w="0" w:type="dxa"/>
          <w:right w:w="108" w:type="dxa"/>
        </w:tblCellMar>
      </w:tblPr>
      <w:tblGrid>
        <w:gridCol w:w="1411"/>
        <w:gridCol w:w="1417"/>
        <w:gridCol w:w="1559"/>
        <w:gridCol w:w="8"/>
        <w:gridCol w:w="902"/>
        <w:gridCol w:w="650"/>
        <w:gridCol w:w="716"/>
        <w:gridCol w:w="843"/>
        <w:gridCol w:w="1550"/>
      </w:tblGrid>
      <w:tr w14:paraId="5C626073">
        <w:tblPrEx>
          <w:tblCellMar>
            <w:top w:w="0" w:type="dxa"/>
            <w:left w:w="108" w:type="dxa"/>
            <w:bottom w:w="0" w:type="dxa"/>
            <w:right w:w="108" w:type="dxa"/>
          </w:tblCellMar>
        </w:tblPrEx>
        <w:trPr>
          <w:trHeight w:val="356" w:hRule="atLeast"/>
          <w:jc w:val="center"/>
        </w:trPr>
        <w:tc>
          <w:tcPr>
            <w:tcW w:w="5297" w:type="dxa"/>
            <w:gridSpan w:val="5"/>
            <w:tcBorders>
              <w:top w:val="nil"/>
              <w:left w:val="nil"/>
              <w:bottom w:val="nil"/>
              <w:right w:val="nil"/>
            </w:tcBorders>
            <w:vAlign w:val="center"/>
          </w:tcPr>
          <w:p w14:paraId="5AFC453A">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工程名称：                  分部工程：</w:t>
            </w:r>
          </w:p>
        </w:tc>
        <w:tc>
          <w:tcPr>
            <w:tcW w:w="3759" w:type="dxa"/>
            <w:gridSpan w:val="4"/>
            <w:tcBorders>
              <w:top w:val="nil"/>
              <w:left w:val="nil"/>
              <w:bottom w:val="nil"/>
              <w:right w:val="nil"/>
            </w:tcBorders>
            <w:vAlign w:val="center"/>
          </w:tcPr>
          <w:p w14:paraId="08E29E90">
            <w:pPr>
              <w:widowControl/>
              <w:rPr>
                <w:rFonts w:ascii="宋体" w:hAnsi="宋体" w:cs="宋体"/>
                <w:color w:val="auto"/>
                <w:kern w:val="0"/>
                <w:sz w:val="24"/>
                <w:highlight w:val="none"/>
              </w:rPr>
            </w:pPr>
            <w:r>
              <w:rPr>
                <w:rFonts w:hint="eastAsia" w:ascii="宋体" w:hAnsi="宋体" w:cs="宋体"/>
                <w:color w:val="auto"/>
                <w:kern w:val="0"/>
                <w:sz w:val="24"/>
                <w:highlight w:val="none"/>
              </w:rPr>
              <w:t xml:space="preserve">日期：            </w:t>
            </w:r>
          </w:p>
        </w:tc>
      </w:tr>
      <w:tr w14:paraId="7A7AD91F">
        <w:tblPrEx>
          <w:tblCellMar>
            <w:top w:w="0" w:type="dxa"/>
            <w:left w:w="108" w:type="dxa"/>
            <w:bottom w:w="0" w:type="dxa"/>
            <w:right w:w="108" w:type="dxa"/>
          </w:tblCellMar>
        </w:tblPrEx>
        <w:trPr>
          <w:trHeight w:val="634" w:hRule="atLeast"/>
          <w:jc w:val="center"/>
        </w:trPr>
        <w:tc>
          <w:tcPr>
            <w:tcW w:w="4395" w:type="dxa"/>
            <w:gridSpan w:val="4"/>
            <w:tcBorders>
              <w:top w:val="single" w:color="auto" w:sz="4" w:space="0"/>
              <w:left w:val="single" w:color="auto" w:sz="4" w:space="0"/>
              <w:bottom w:val="single" w:color="auto" w:sz="4" w:space="0"/>
              <w:right w:val="single" w:color="auto" w:sz="4" w:space="0"/>
            </w:tcBorders>
            <w:vAlign w:val="center"/>
          </w:tcPr>
          <w:p w14:paraId="41297D12">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施工单位：</w:t>
            </w:r>
          </w:p>
        </w:tc>
        <w:tc>
          <w:tcPr>
            <w:tcW w:w="2268" w:type="dxa"/>
            <w:gridSpan w:val="3"/>
            <w:tcBorders>
              <w:top w:val="single" w:color="auto" w:sz="4" w:space="0"/>
              <w:left w:val="nil"/>
              <w:bottom w:val="single" w:color="auto" w:sz="4" w:space="0"/>
              <w:right w:val="single" w:color="auto" w:sz="4" w:space="0"/>
            </w:tcBorders>
            <w:vAlign w:val="center"/>
          </w:tcPr>
          <w:p w14:paraId="77E5588A">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专业：</w:t>
            </w:r>
          </w:p>
        </w:tc>
        <w:tc>
          <w:tcPr>
            <w:tcW w:w="2393" w:type="dxa"/>
            <w:gridSpan w:val="2"/>
            <w:tcBorders>
              <w:top w:val="single" w:color="auto" w:sz="4" w:space="0"/>
              <w:left w:val="nil"/>
              <w:bottom w:val="single" w:color="auto" w:sz="4" w:space="0"/>
              <w:right w:val="single" w:color="auto" w:sz="4" w:space="0"/>
            </w:tcBorders>
            <w:vAlign w:val="center"/>
          </w:tcPr>
          <w:p w14:paraId="14FB7B06">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编号：</w:t>
            </w:r>
          </w:p>
        </w:tc>
      </w:tr>
      <w:tr w14:paraId="015EAA6E">
        <w:tblPrEx>
          <w:tblCellMar>
            <w:top w:w="0" w:type="dxa"/>
            <w:left w:w="108" w:type="dxa"/>
            <w:bottom w:w="0" w:type="dxa"/>
            <w:right w:w="108" w:type="dxa"/>
          </w:tblCellMar>
        </w:tblPrEx>
        <w:trPr>
          <w:trHeight w:val="1883" w:hRule="atLeast"/>
          <w:jc w:val="center"/>
        </w:trPr>
        <w:tc>
          <w:tcPr>
            <w:tcW w:w="9056" w:type="dxa"/>
            <w:gridSpan w:val="9"/>
            <w:tcBorders>
              <w:top w:val="single" w:color="auto" w:sz="4" w:space="0"/>
              <w:left w:val="single" w:color="auto" w:sz="4" w:space="0"/>
              <w:bottom w:val="single" w:color="auto" w:sz="4" w:space="0"/>
              <w:right w:val="single" w:color="auto" w:sz="4" w:space="0"/>
            </w:tcBorders>
            <w:vAlign w:val="center"/>
          </w:tcPr>
          <w:p w14:paraId="6EE51E31">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签证事由：</w:t>
            </w:r>
          </w:p>
          <w:p w14:paraId="2AC09245">
            <w:pPr>
              <w:widowControl/>
              <w:jc w:val="left"/>
              <w:rPr>
                <w:rFonts w:ascii="宋体" w:hAnsi="宋体" w:cs="宋体"/>
                <w:color w:val="auto"/>
                <w:kern w:val="0"/>
                <w:sz w:val="22"/>
                <w:highlight w:val="none"/>
              </w:rPr>
            </w:pPr>
          </w:p>
          <w:p w14:paraId="640C91FA">
            <w:pPr>
              <w:widowControl/>
              <w:jc w:val="left"/>
              <w:rPr>
                <w:rFonts w:ascii="宋体" w:hAnsi="宋体" w:cs="宋体"/>
                <w:color w:val="auto"/>
                <w:kern w:val="0"/>
                <w:sz w:val="22"/>
                <w:highlight w:val="none"/>
              </w:rPr>
            </w:pPr>
          </w:p>
          <w:p w14:paraId="1FEC2C4C">
            <w:pPr>
              <w:widowControl/>
              <w:jc w:val="left"/>
              <w:rPr>
                <w:rFonts w:ascii="宋体" w:hAnsi="宋体" w:cs="宋体"/>
                <w:color w:val="auto"/>
                <w:kern w:val="0"/>
                <w:sz w:val="22"/>
                <w:highlight w:val="none"/>
              </w:rPr>
            </w:pPr>
          </w:p>
          <w:p w14:paraId="279B1694">
            <w:pPr>
              <w:widowControl/>
              <w:jc w:val="left"/>
              <w:rPr>
                <w:rFonts w:ascii="宋体" w:hAnsi="宋体" w:cs="宋体"/>
                <w:color w:val="auto"/>
                <w:kern w:val="0"/>
                <w:sz w:val="22"/>
                <w:highlight w:val="none"/>
              </w:rPr>
            </w:pPr>
          </w:p>
          <w:p w14:paraId="02270F77">
            <w:pPr>
              <w:widowControl/>
              <w:jc w:val="left"/>
              <w:rPr>
                <w:rFonts w:ascii="宋体" w:hAnsi="宋体" w:cs="宋体"/>
                <w:color w:val="auto"/>
                <w:kern w:val="0"/>
                <w:sz w:val="24"/>
                <w:highlight w:val="none"/>
              </w:rPr>
            </w:pPr>
          </w:p>
        </w:tc>
      </w:tr>
      <w:tr w14:paraId="14A4C839">
        <w:tblPrEx>
          <w:tblCellMar>
            <w:top w:w="0" w:type="dxa"/>
            <w:left w:w="108" w:type="dxa"/>
            <w:bottom w:w="0" w:type="dxa"/>
            <w:right w:w="108" w:type="dxa"/>
          </w:tblCellMar>
        </w:tblPrEx>
        <w:trPr>
          <w:trHeight w:val="1656" w:hRule="atLeast"/>
          <w:jc w:val="center"/>
        </w:trPr>
        <w:tc>
          <w:tcPr>
            <w:tcW w:w="9056" w:type="dxa"/>
            <w:gridSpan w:val="9"/>
            <w:vMerge w:val="restart"/>
            <w:tcBorders>
              <w:top w:val="single" w:color="auto" w:sz="4" w:space="0"/>
              <w:left w:val="single" w:color="auto" w:sz="4" w:space="0"/>
              <w:bottom w:val="nil"/>
              <w:right w:val="single" w:color="000000" w:sz="4" w:space="0"/>
            </w:tcBorders>
          </w:tcPr>
          <w:p w14:paraId="62CDA6B4">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内容（部位、数量、草图、说明、相片）：</w:t>
            </w:r>
          </w:p>
        </w:tc>
      </w:tr>
      <w:tr w14:paraId="58389CD6">
        <w:tblPrEx>
          <w:tblCellMar>
            <w:top w:w="0" w:type="dxa"/>
            <w:left w:w="108" w:type="dxa"/>
            <w:bottom w:w="0" w:type="dxa"/>
            <w:right w:w="108" w:type="dxa"/>
          </w:tblCellMar>
        </w:tblPrEx>
        <w:trPr>
          <w:trHeight w:val="1753"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63102504">
            <w:pPr>
              <w:widowControl/>
              <w:jc w:val="left"/>
              <w:rPr>
                <w:rFonts w:ascii="宋体" w:hAnsi="宋体" w:cs="宋体"/>
                <w:color w:val="auto"/>
                <w:kern w:val="0"/>
                <w:sz w:val="22"/>
                <w:highlight w:val="none"/>
              </w:rPr>
            </w:pPr>
          </w:p>
        </w:tc>
      </w:tr>
      <w:tr w14:paraId="16334CEE">
        <w:tblPrEx>
          <w:tblCellMar>
            <w:top w:w="0" w:type="dxa"/>
            <w:left w:w="108" w:type="dxa"/>
            <w:bottom w:w="0" w:type="dxa"/>
            <w:right w:w="108" w:type="dxa"/>
          </w:tblCellMar>
        </w:tblPrEx>
        <w:trPr>
          <w:trHeight w:val="433"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11ECF89E">
            <w:pPr>
              <w:widowControl/>
              <w:jc w:val="left"/>
              <w:rPr>
                <w:rFonts w:ascii="宋体" w:hAnsi="宋体" w:cs="宋体"/>
                <w:color w:val="auto"/>
                <w:kern w:val="0"/>
                <w:sz w:val="22"/>
                <w:highlight w:val="none"/>
              </w:rPr>
            </w:pPr>
          </w:p>
        </w:tc>
      </w:tr>
      <w:tr w14:paraId="22DBFBDA">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single" w:color="auto" w:sz="4" w:space="0"/>
              <w:right w:val="single" w:color="000000" w:sz="4" w:space="0"/>
            </w:tcBorders>
            <w:vAlign w:val="center"/>
          </w:tcPr>
          <w:p w14:paraId="0DE6EEB9">
            <w:pPr>
              <w:widowControl/>
              <w:jc w:val="left"/>
              <w:rPr>
                <w:rFonts w:ascii="宋体" w:hAnsi="宋体" w:cs="宋体"/>
                <w:color w:val="auto"/>
                <w:kern w:val="0"/>
                <w:sz w:val="22"/>
                <w:highlight w:val="none"/>
              </w:rPr>
            </w:pPr>
          </w:p>
        </w:tc>
      </w:tr>
      <w:tr w14:paraId="52422F47">
        <w:tblPrEx>
          <w:tblCellMar>
            <w:top w:w="0" w:type="dxa"/>
            <w:left w:w="108" w:type="dxa"/>
            <w:bottom w:w="0" w:type="dxa"/>
            <w:right w:w="108" w:type="dxa"/>
          </w:tblCellMar>
        </w:tblPrEx>
        <w:trPr>
          <w:trHeight w:val="906" w:hRule="atLeast"/>
          <w:jc w:val="center"/>
        </w:trPr>
        <w:tc>
          <w:tcPr>
            <w:tcW w:w="9056" w:type="dxa"/>
            <w:gridSpan w:val="9"/>
            <w:vMerge w:val="restart"/>
            <w:tcBorders>
              <w:top w:val="single" w:color="auto" w:sz="4" w:space="0"/>
              <w:left w:val="single" w:color="auto" w:sz="4" w:space="0"/>
              <w:bottom w:val="nil"/>
              <w:right w:val="single" w:color="000000" w:sz="4" w:space="0"/>
            </w:tcBorders>
          </w:tcPr>
          <w:p w14:paraId="6EF34CFA">
            <w:pPr>
              <w:rPr>
                <w:rFonts w:ascii="宋体" w:hAnsi="宋体" w:cs="宋体"/>
                <w:color w:val="auto"/>
                <w:kern w:val="0"/>
                <w:sz w:val="22"/>
                <w:highlight w:val="none"/>
              </w:rPr>
            </w:pPr>
            <w:r>
              <w:rPr>
                <w:rFonts w:hint="eastAsia" w:ascii="宋体" w:hAnsi="宋体" w:cs="宋体"/>
                <w:color w:val="auto"/>
                <w:kern w:val="0"/>
                <w:sz w:val="22"/>
                <w:highlight w:val="none"/>
              </w:rPr>
              <w:t>审核人员意见：</w:t>
            </w:r>
          </w:p>
        </w:tc>
      </w:tr>
      <w:tr w14:paraId="77842C98">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597E6CB3">
            <w:pPr>
              <w:widowControl/>
              <w:jc w:val="left"/>
              <w:rPr>
                <w:rFonts w:ascii="宋体" w:hAnsi="宋体" w:cs="宋体"/>
                <w:color w:val="auto"/>
                <w:kern w:val="0"/>
                <w:sz w:val="22"/>
                <w:highlight w:val="none"/>
              </w:rPr>
            </w:pPr>
          </w:p>
        </w:tc>
      </w:tr>
      <w:tr w14:paraId="6DE0F32B">
        <w:tblPrEx>
          <w:tblCellMar>
            <w:top w:w="0" w:type="dxa"/>
            <w:left w:w="108" w:type="dxa"/>
            <w:bottom w:w="0" w:type="dxa"/>
            <w:right w:w="108" w:type="dxa"/>
          </w:tblCellMar>
        </w:tblPrEx>
        <w:trPr>
          <w:trHeight w:val="415" w:hRule="atLeast"/>
          <w:jc w:val="center"/>
        </w:trPr>
        <w:tc>
          <w:tcPr>
            <w:tcW w:w="1411" w:type="dxa"/>
            <w:vMerge w:val="restart"/>
            <w:tcBorders>
              <w:top w:val="single" w:color="auto" w:sz="4" w:space="0"/>
              <w:left w:val="single" w:color="auto" w:sz="4" w:space="0"/>
              <w:bottom w:val="single" w:color="auto" w:sz="4" w:space="0"/>
              <w:right w:val="single" w:color="auto" w:sz="4" w:space="0"/>
            </w:tcBorders>
          </w:tcPr>
          <w:p w14:paraId="1378897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 xml:space="preserve">施工单位签章                           </w:t>
            </w:r>
          </w:p>
        </w:tc>
        <w:tc>
          <w:tcPr>
            <w:tcW w:w="1417" w:type="dxa"/>
            <w:vMerge w:val="restart"/>
            <w:tcBorders>
              <w:top w:val="single" w:color="auto" w:sz="4" w:space="0"/>
              <w:left w:val="single" w:color="auto" w:sz="4" w:space="0"/>
              <w:bottom w:val="single" w:color="auto" w:sz="4" w:space="0"/>
              <w:right w:val="single" w:color="auto" w:sz="4" w:space="0"/>
            </w:tcBorders>
          </w:tcPr>
          <w:p w14:paraId="2639DFAC">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监理公司签章</w:t>
            </w:r>
          </w:p>
        </w:tc>
        <w:tc>
          <w:tcPr>
            <w:tcW w:w="1559" w:type="dxa"/>
            <w:vMerge w:val="restart"/>
            <w:tcBorders>
              <w:top w:val="single" w:color="auto" w:sz="4" w:space="0"/>
              <w:left w:val="single" w:color="auto" w:sz="4" w:space="0"/>
              <w:bottom w:val="single" w:color="auto" w:sz="4" w:space="0"/>
              <w:right w:val="single" w:color="auto" w:sz="4" w:space="0"/>
            </w:tcBorders>
          </w:tcPr>
          <w:p w14:paraId="0B7E883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现场专业负责人（项目负责人）</w:t>
            </w:r>
          </w:p>
          <w:p w14:paraId="01F62B7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部门签章</w:t>
            </w:r>
          </w:p>
        </w:tc>
        <w:tc>
          <w:tcPr>
            <w:tcW w:w="1560" w:type="dxa"/>
            <w:gridSpan w:val="3"/>
            <w:vMerge w:val="restart"/>
            <w:tcBorders>
              <w:top w:val="single" w:color="auto" w:sz="4" w:space="0"/>
              <w:left w:val="single" w:color="auto" w:sz="4" w:space="0"/>
              <w:bottom w:val="single" w:color="auto" w:sz="4" w:space="0"/>
              <w:right w:val="single" w:color="auto" w:sz="4" w:space="0"/>
            </w:tcBorders>
          </w:tcPr>
          <w:p w14:paraId="36D67533">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造价管理人员</w:t>
            </w:r>
          </w:p>
        </w:tc>
        <w:tc>
          <w:tcPr>
            <w:tcW w:w="1559" w:type="dxa"/>
            <w:gridSpan w:val="2"/>
            <w:vMerge w:val="restart"/>
            <w:tcBorders>
              <w:top w:val="single" w:color="auto" w:sz="4" w:space="0"/>
              <w:left w:val="single" w:color="auto" w:sz="4" w:space="0"/>
              <w:bottom w:val="single" w:color="auto" w:sz="4" w:space="0"/>
              <w:right w:val="single" w:color="auto" w:sz="4" w:space="0"/>
            </w:tcBorders>
          </w:tcPr>
          <w:p w14:paraId="01396CA7">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部门领导</w:t>
            </w:r>
          </w:p>
        </w:tc>
        <w:tc>
          <w:tcPr>
            <w:tcW w:w="1550" w:type="dxa"/>
            <w:vMerge w:val="restart"/>
            <w:tcBorders>
              <w:top w:val="single" w:color="auto" w:sz="4" w:space="0"/>
              <w:left w:val="single" w:color="auto" w:sz="4" w:space="0"/>
              <w:bottom w:val="single" w:color="auto" w:sz="4" w:space="0"/>
              <w:right w:val="single" w:color="auto" w:sz="4" w:space="0"/>
            </w:tcBorders>
          </w:tcPr>
          <w:p w14:paraId="3D44AB4C">
            <w:pPr>
              <w:widowControl/>
              <w:jc w:val="center"/>
              <w:rPr>
                <w:rFonts w:ascii="宋体" w:hAnsi="宋体" w:cs="宋体"/>
                <w:color w:val="auto"/>
                <w:kern w:val="0"/>
                <w:sz w:val="22"/>
                <w:highlight w:val="none"/>
              </w:rPr>
            </w:pPr>
            <w:r>
              <w:rPr>
                <w:rFonts w:hint="eastAsia" w:ascii="宋体" w:hAnsi="宋体" w:cs="宋体"/>
                <w:color w:val="auto"/>
                <w:kern w:val="0"/>
                <w:sz w:val="22"/>
                <w:highlight w:val="none"/>
              </w:rPr>
              <w:t>公司分管领导</w:t>
            </w:r>
          </w:p>
        </w:tc>
      </w:tr>
      <w:tr w14:paraId="06EDAD2D">
        <w:tblPrEx>
          <w:tblCellMar>
            <w:top w:w="0" w:type="dxa"/>
            <w:left w:w="108" w:type="dxa"/>
            <w:bottom w:w="0" w:type="dxa"/>
            <w:right w:w="108" w:type="dxa"/>
          </w:tblCellMar>
        </w:tblPrEx>
        <w:trPr>
          <w:trHeight w:val="767" w:hRule="atLeast"/>
          <w:jc w:val="center"/>
        </w:trPr>
        <w:tc>
          <w:tcPr>
            <w:tcW w:w="1411" w:type="dxa"/>
            <w:vMerge w:val="continue"/>
            <w:tcBorders>
              <w:top w:val="single" w:color="auto" w:sz="4" w:space="0"/>
              <w:left w:val="single" w:color="auto" w:sz="4" w:space="0"/>
              <w:bottom w:val="single" w:color="auto" w:sz="4" w:space="0"/>
              <w:right w:val="single" w:color="auto" w:sz="4" w:space="0"/>
            </w:tcBorders>
            <w:vAlign w:val="center"/>
          </w:tcPr>
          <w:p w14:paraId="1CEA412E">
            <w:pPr>
              <w:widowControl/>
              <w:jc w:val="left"/>
              <w:rPr>
                <w:rFonts w:ascii="宋体" w:hAnsi="宋体" w:cs="宋体"/>
                <w:color w:val="auto"/>
                <w:kern w:val="0"/>
                <w:sz w:val="22"/>
                <w:highlight w:val="none"/>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0E5BF1CE">
            <w:pPr>
              <w:widowControl/>
              <w:jc w:val="left"/>
              <w:rPr>
                <w:rFonts w:ascii="宋体" w:hAnsi="宋体" w:cs="宋体"/>
                <w:color w:val="auto"/>
                <w:kern w:val="0"/>
                <w:sz w:val="22"/>
                <w:highlight w:val="none"/>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347833F6">
            <w:pPr>
              <w:widowControl/>
              <w:jc w:val="left"/>
              <w:rPr>
                <w:rFonts w:ascii="宋体" w:hAnsi="宋体" w:cs="宋体"/>
                <w:color w:val="auto"/>
                <w:kern w:val="0"/>
                <w:sz w:val="22"/>
                <w:highlight w:val="none"/>
              </w:rPr>
            </w:pPr>
          </w:p>
        </w:tc>
        <w:tc>
          <w:tcPr>
            <w:tcW w:w="1560" w:type="dxa"/>
            <w:gridSpan w:val="3"/>
            <w:vMerge w:val="continue"/>
            <w:tcBorders>
              <w:top w:val="single" w:color="auto" w:sz="4" w:space="0"/>
              <w:left w:val="single" w:color="auto" w:sz="4" w:space="0"/>
              <w:bottom w:val="single" w:color="auto" w:sz="4" w:space="0"/>
              <w:right w:val="single" w:color="auto" w:sz="4" w:space="0"/>
            </w:tcBorders>
            <w:vAlign w:val="center"/>
          </w:tcPr>
          <w:p w14:paraId="3681C316">
            <w:pPr>
              <w:widowControl/>
              <w:jc w:val="left"/>
              <w:rPr>
                <w:rFonts w:ascii="宋体" w:hAnsi="宋体" w:cs="宋体"/>
                <w:color w:val="auto"/>
                <w:kern w:val="0"/>
                <w:sz w:val="22"/>
                <w:highlight w:val="none"/>
              </w:rPr>
            </w:pPr>
          </w:p>
        </w:tc>
        <w:tc>
          <w:tcPr>
            <w:tcW w:w="1559" w:type="dxa"/>
            <w:gridSpan w:val="2"/>
            <w:vMerge w:val="continue"/>
            <w:tcBorders>
              <w:top w:val="single" w:color="auto" w:sz="4" w:space="0"/>
              <w:left w:val="single" w:color="auto" w:sz="4" w:space="0"/>
              <w:bottom w:val="single" w:color="auto" w:sz="4" w:space="0"/>
              <w:right w:val="single" w:color="auto" w:sz="4" w:space="0"/>
            </w:tcBorders>
            <w:vAlign w:val="center"/>
          </w:tcPr>
          <w:p w14:paraId="58F21A73">
            <w:pPr>
              <w:widowControl/>
              <w:jc w:val="left"/>
              <w:rPr>
                <w:rFonts w:ascii="宋体" w:hAnsi="宋体" w:cs="宋体"/>
                <w:color w:val="auto"/>
                <w:kern w:val="0"/>
                <w:sz w:val="22"/>
                <w:highlight w:val="none"/>
              </w:rPr>
            </w:pPr>
          </w:p>
        </w:tc>
        <w:tc>
          <w:tcPr>
            <w:tcW w:w="1550" w:type="dxa"/>
            <w:vMerge w:val="continue"/>
            <w:tcBorders>
              <w:top w:val="single" w:color="auto" w:sz="4" w:space="0"/>
              <w:left w:val="single" w:color="auto" w:sz="4" w:space="0"/>
              <w:bottom w:val="single" w:color="auto" w:sz="4" w:space="0"/>
              <w:right w:val="single" w:color="auto" w:sz="4" w:space="0"/>
            </w:tcBorders>
            <w:vAlign w:val="center"/>
          </w:tcPr>
          <w:p w14:paraId="1122D7F8">
            <w:pPr>
              <w:widowControl/>
              <w:jc w:val="left"/>
              <w:rPr>
                <w:rFonts w:ascii="宋体" w:hAnsi="宋体" w:cs="宋体"/>
                <w:color w:val="auto"/>
                <w:kern w:val="0"/>
                <w:sz w:val="22"/>
                <w:highlight w:val="none"/>
              </w:rPr>
            </w:pPr>
          </w:p>
        </w:tc>
      </w:tr>
      <w:tr w14:paraId="43C49918">
        <w:tblPrEx>
          <w:tblCellMar>
            <w:top w:w="0" w:type="dxa"/>
            <w:left w:w="108" w:type="dxa"/>
            <w:bottom w:w="0" w:type="dxa"/>
            <w:right w:w="108" w:type="dxa"/>
          </w:tblCellMar>
        </w:tblPrEx>
        <w:trPr>
          <w:trHeight w:val="1118" w:hRule="atLeast"/>
          <w:jc w:val="center"/>
        </w:trPr>
        <w:tc>
          <w:tcPr>
            <w:tcW w:w="1411" w:type="dxa"/>
            <w:tcBorders>
              <w:top w:val="single" w:color="auto" w:sz="4" w:space="0"/>
              <w:left w:val="single" w:color="auto" w:sz="4" w:space="0"/>
              <w:bottom w:val="single" w:color="auto" w:sz="4" w:space="0"/>
              <w:right w:val="single" w:color="auto" w:sz="4" w:space="0"/>
            </w:tcBorders>
          </w:tcPr>
          <w:p w14:paraId="7556D962">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417" w:type="dxa"/>
            <w:tcBorders>
              <w:top w:val="single" w:color="auto" w:sz="4" w:space="0"/>
              <w:left w:val="nil"/>
              <w:bottom w:val="single" w:color="auto" w:sz="4" w:space="0"/>
              <w:right w:val="single" w:color="auto" w:sz="4" w:space="0"/>
            </w:tcBorders>
          </w:tcPr>
          <w:p w14:paraId="6B77E6D0">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59" w:type="dxa"/>
            <w:tcBorders>
              <w:top w:val="single" w:color="auto" w:sz="4" w:space="0"/>
              <w:left w:val="nil"/>
              <w:bottom w:val="single" w:color="auto" w:sz="4" w:space="0"/>
              <w:right w:val="single" w:color="auto" w:sz="4" w:space="0"/>
            </w:tcBorders>
          </w:tcPr>
          <w:p w14:paraId="7C27AAE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60" w:type="dxa"/>
            <w:gridSpan w:val="3"/>
            <w:tcBorders>
              <w:top w:val="single" w:color="auto" w:sz="4" w:space="0"/>
              <w:left w:val="nil"/>
              <w:bottom w:val="single" w:color="auto" w:sz="4" w:space="0"/>
              <w:right w:val="single" w:color="auto" w:sz="4" w:space="0"/>
            </w:tcBorders>
          </w:tcPr>
          <w:p w14:paraId="1795A5A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59" w:type="dxa"/>
            <w:gridSpan w:val="2"/>
            <w:tcBorders>
              <w:top w:val="single" w:color="auto" w:sz="4" w:space="0"/>
              <w:left w:val="nil"/>
              <w:bottom w:val="single" w:color="auto" w:sz="4" w:space="0"/>
              <w:right w:val="single" w:color="auto" w:sz="4" w:space="0"/>
            </w:tcBorders>
          </w:tcPr>
          <w:p w14:paraId="7224DE75">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c>
          <w:tcPr>
            <w:tcW w:w="1550" w:type="dxa"/>
            <w:tcBorders>
              <w:top w:val="single" w:color="auto" w:sz="4" w:space="0"/>
              <w:left w:val="nil"/>
              <w:bottom w:val="single" w:color="auto" w:sz="4" w:space="0"/>
              <w:right w:val="single" w:color="auto" w:sz="4" w:space="0"/>
            </w:tcBorders>
          </w:tcPr>
          <w:p w14:paraId="4B25580F">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r>
    </w:tbl>
    <w:p w14:paraId="76C27677">
      <w:pPr>
        <w:autoSpaceDE w:val="0"/>
        <w:autoSpaceDN w:val="0"/>
        <w:adjustRightInd w:val="0"/>
        <w:spacing w:line="360" w:lineRule="auto"/>
        <w:ind w:left="201" w:leftChars="96"/>
        <w:rPr>
          <w:rFonts w:ascii="宋体" w:hAnsi="宋体"/>
          <w:color w:val="auto"/>
          <w:szCs w:val="21"/>
          <w:highlight w:val="none"/>
        </w:rPr>
      </w:pPr>
      <w:r>
        <w:rPr>
          <w:rFonts w:hint="eastAsia" w:ascii="宋体" w:hAnsi="宋体"/>
          <w:color w:val="auto"/>
          <w:szCs w:val="21"/>
          <w:highlight w:val="none"/>
        </w:rPr>
        <w:t>注：1、本记录表二份原件，施工单位、建设单位工程管理部各执一份原件；</w:t>
      </w:r>
    </w:p>
    <w:p w14:paraId="39931D05">
      <w:pPr>
        <w:autoSpaceDE w:val="0"/>
        <w:autoSpaceDN w:val="0"/>
        <w:adjustRightInd w:val="0"/>
        <w:spacing w:line="360" w:lineRule="auto"/>
        <w:ind w:left="201" w:leftChars="96"/>
        <w:rPr>
          <w:rFonts w:ascii="宋体" w:hAnsi="宋体"/>
          <w:color w:val="auto"/>
          <w:szCs w:val="21"/>
          <w:highlight w:val="none"/>
        </w:rPr>
      </w:pPr>
    </w:p>
    <w:p w14:paraId="43DA1A12">
      <w:pPr>
        <w:autoSpaceDE w:val="0"/>
        <w:autoSpaceDN w:val="0"/>
        <w:adjustRightInd w:val="0"/>
        <w:spacing w:line="360" w:lineRule="auto"/>
        <w:ind w:left="201" w:leftChars="96"/>
        <w:rPr>
          <w:rFonts w:ascii="宋体" w:hAnsi="宋体"/>
          <w:color w:val="auto"/>
          <w:szCs w:val="21"/>
          <w:highlight w:val="none"/>
        </w:rPr>
        <w:sectPr>
          <w:type w:val="continuous"/>
          <w:pgSz w:w="11906" w:h="16838"/>
          <w:pgMar w:top="720" w:right="720" w:bottom="720" w:left="720" w:header="1418" w:footer="1134" w:gutter="0"/>
          <w:cols w:space="720" w:num="1"/>
          <w:formProt w:val="0"/>
          <w:docGrid w:type="linesAndChars" w:linePitch="312" w:charSpace="0"/>
        </w:sectPr>
      </w:pPr>
    </w:p>
    <w:p w14:paraId="6FCA8387">
      <w:pPr>
        <w:jc w:val="center"/>
        <w:rPr>
          <w:color w:val="auto"/>
          <w:highlight w:val="none"/>
        </w:rPr>
      </w:pPr>
      <w:r>
        <w:rPr>
          <w:rFonts w:hint="eastAsia"/>
          <w:color w:val="auto"/>
          <w:highlight w:val="none"/>
        </w:rPr>
        <w:t>附录</w:t>
      </w:r>
      <w:r>
        <w:rPr>
          <w:color w:val="auto"/>
          <w:highlight w:val="none"/>
        </w:rPr>
        <w:t>C</w:t>
      </w:r>
      <w:r>
        <w:rPr>
          <w:color w:val="auto"/>
          <w:highlight w:val="none"/>
        </w:rPr>
        <w:br w:type="textWrapping"/>
      </w:r>
      <w:r>
        <w:rPr>
          <w:rFonts w:hint="eastAsia"/>
          <w:color w:val="auto"/>
          <w:highlight w:val="none"/>
        </w:rPr>
        <w:t>（规范性附录）</w:t>
      </w:r>
    </w:p>
    <w:p w14:paraId="09E82686">
      <w:pPr>
        <w:pStyle w:val="75"/>
        <w:spacing w:before="156" w:after="156"/>
        <w:rPr>
          <w:color w:val="auto"/>
          <w:highlight w:val="none"/>
          <w:lang w:val="zh-CN"/>
        </w:rPr>
      </w:pPr>
      <w:r>
        <w:rPr>
          <w:rFonts w:hint="eastAsia"/>
          <w:color w:val="auto"/>
          <w:highlight w:val="none"/>
        </w:rPr>
        <w:t>经济签证单办理程序</w:t>
      </w:r>
    </w:p>
    <w:p w14:paraId="5096A454">
      <w:pPr>
        <w:autoSpaceDE w:val="0"/>
        <w:autoSpaceDN w:val="0"/>
        <w:adjustRightInd w:val="0"/>
        <w:spacing w:line="360" w:lineRule="auto"/>
        <w:jc w:val="center"/>
        <w:rPr>
          <w:rFonts w:ascii="宋体" w:hAnsi="宋体"/>
          <w:color w:val="auto"/>
          <w:szCs w:val="21"/>
          <w:highlight w:val="none"/>
        </w:rPr>
      </w:pPr>
      <w:r>
        <w:rPr>
          <w:color w:val="auto"/>
          <w:highlight w:val="none"/>
        </w:rPr>
        <w:drawing>
          <wp:inline distT="0" distB="0" distL="114300" distR="114300">
            <wp:extent cx="5704205" cy="4178935"/>
            <wp:effectExtent l="0" t="0" r="10795" b="12065"/>
            <wp:docPr id="4" name="图片 3" descr="F:\360MoveData\Users\shixiaoli\Documents\Tencent Files\1149962068\nt_qq\nt_data\Pic\2024-10\Ori\b411cad96a6021b6a8d88e7b3603f7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F:\360MoveData\Users\shixiaoli\Documents\Tencent Files\1149962068\nt_qq\nt_data\Pic\2024-10\Ori\b411cad96a6021b6a8d88e7b3603f759.png"/>
                    <pic:cNvPicPr>
                      <a:picLocks noChangeAspect="1"/>
                    </pic:cNvPicPr>
                  </pic:nvPicPr>
                  <pic:blipFill>
                    <a:blip r:embed="rId14"/>
                    <a:stretch>
                      <a:fillRect/>
                    </a:stretch>
                  </pic:blipFill>
                  <pic:spPr>
                    <a:xfrm>
                      <a:off x="0" y="0"/>
                      <a:ext cx="5704205" cy="4178935"/>
                    </a:xfrm>
                    <a:prstGeom prst="rect">
                      <a:avLst/>
                    </a:prstGeom>
                    <a:noFill/>
                    <a:ln>
                      <a:noFill/>
                    </a:ln>
                  </pic:spPr>
                </pic:pic>
              </a:graphicData>
            </a:graphic>
          </wp:inline>
        </w:drawing>
      </w:r>
    </w:p>
    <w:p w14:paraId="0E0C518C">
      <w:pPr>
        <w:pStyle w:val="8"/>
        <w:ind w:left="63" w:right="63"/>
        <w:jc w:val="left"/>
        <w:rPr>
          <w:rFonts w:ascii="宋体" w:hAnsi="宋体"/>
          <w:color w:val="auto"/>
          <w:szCs w:val="21"/>
          <w:highlight w:val="none"/>
        </w:rPr>
      </w:pPr>
    </w:p>
    <w:p w14:paraId="2B142774">
      <w:pPr>
        <w:pStyle w:val="71"/>
        <w:jc w:val="both"/>
        <w:rPr>
          <w:color w:val="auto"/>
          <w:highlight w:val="none"/>
        </w:rPr>
      </w:pPr>
      <w:r>
        <w:rPr>
          <w:rFonts w:ascii="Times New Roman" w:eastAsia="仿宋_GB2312"/>
          <w:color w:val="auto"/>
          <w:sz w:val="30"/>
          <w:szCs w:val="30"/>
          <w:highlight w:val="none"/>
        </w:rPr>
        <w:t>附件5：</w:t>
      </w:r>
    </w:p>
    <w:p w14:paraId="28A68C02">
      <w:pPr>
        <w:jc w:val="center"/>
        <w:rPr>
          <w:rFonts w:ascii="方正小标宋简体" w:eastAsia="方正小标宋简体"/>
          <w:b/>
          <w:bCs/>
          <w:color w:val="auto"/>
          <w:kern w:val="44"/>
          <w:sz w:val="32"/>
          <w:szCs w:val="32"/>
          <w:highlight w:val="none"/>
        </w:rPr>
      </w:pPr>
      <w:r>
        <w:rPr>
          <w:rFonts w:hint="eastAsia" w:ascii="方正小标宋简体" w:eastAsia="方正小标宋简体"/>
          <w:b/>
          <w:bCs/>
          <w:color w:val="auto"/>
          <w:kern w:val="44"/>
          <w:sz w:val="32"/>
          <w:szCs w:val="32"/>
          <w:highlight w:val="none"/>
        </w:rPr>
        <w:t>工程项目质量管理考核细则</w:t>
      </w:r>
    </w:p>
    <w:p w14:paraId="524EE91B">
      <w:pPr>
        <w:pStyle w:val="59"/>
        <w:numPr>
          <w:ilvl w:val="0"/>
          <w:numId w:val="7"/>
        </w:numPr>
        <w:ind w:firstLineChars="0"/>
        <w:rPr>
          <w:b/>
          <w:color w:val="auto"/>
          <w:szCs w:val="21"/>
          <w:highlight w:val="none"/>
        </w:rPr>
      </w:pPr>
      <w:r>
        <w:rPr>
          <w:rFonts w:hint="eastAsia"/>
          <w:b/>
          <w:color w:val="auto"/>
          <w:szCs w:val="21"/>
          <w:highlight w:val="none"/>
        </w:rPr>
        <w:t>目的</w:t>
      </w:r>
    </w:p>
    <w:p w14:paraId="307D48CC">
      <w:pPr>
        <w:ind w:firstLine="420" w:firstLineChars="200"/>
        <w:rPr>
          <w:color w:val="auto"/>
          <w:szCs w:val="21"/>
          <w:highlight w:val="none"/>
        </w:rPr>
      </w:pPr>
      <w:r>
        <w:rPr>
          <w:rFonts w:hint="eastAsia"/>
          <w:color w:val="auto"/>
          <w:szCs w:val="21"/>
          <w:highlight w:val="none"/>
        </w:rPr>
        <w:t>为了加强对工程质量的管理，保证工程质量，进一步明确质量责任和责任追究办法，特制定本制度。</w:t>
      </w:r>
    </w:p>
    <w:p w14:paraId="0C0E10D1">
      <w:pPr>
        <w:pStyle w:val="59"/>
        <w:numPr>
          <w:ilvl w:val="0"/>
          <w:numId w:val="7"/>
        </w:numPr>
        <w:ind w:firstLineChars="0"/>
        <w:rPr>
          <w:b/>
          <w:color w:val="auto"/>
          <w:szCs w:val="21"/>
          <w:highlight w:val="none"/>
        </w:rPr>
      </w:pPr>
      <w:bookmarkStart w:id="532" w:name="_Toc122791548"/>
      <w:r>
        <w:rPr>
          <w:rFonts w:hint="eastAsia"/>
          <w:b/>
          <w:color w:val="auto"/>
          <w:szCs w:val="21"/>
          <w:highlight w:val="none"/>
        </w:rPr>
        <w:t>适用范围</w:t>
      </w:r>
      <w:bookmarkEnd w:id="532"/>
    </w:p>
    <w:p w14:paraId="7CFFB19C">
      <w:pPr>
        <w:ind w:firstLine="420" w:firstLineChars="200"/>
        <w:rPr>
          <w:color w:val="auto"/>
          <w:szCs w:val="21"/>
          <w:highlight w:val="none"/>
        </w:rPr>
      </w:pPr>
      <w:r>
        <w:rPr>
          <w:rFonts w:hint="eastAsia"/>
          <w:color w:val="auto"/>
          <w:szCs w:val="21"/>
          <w:highlight w:val="none"/>
        </w:rPr>
        <w:t>本规定的适用于重庆国际复合材料股份有限公司工程项目的施工质量管理，适用对象为承担本工程的各个承包商，适用期为整个工程建设期。</w:t>
      </w:r>
    </w:p>
    <w:p w14:paraId="49B20780">
      <w:pPr>
        <w:pStyle w:val="59"/>
        <w:numPr>
          <w:ilvl w:val="0"/>
          <w:numId w:val="7"/>
        </w:numPr>
        <w:ind w:firstLineChars="0"/>
        <w:rPr>
          <w:b/>
          <w:color w:val="auto"/>
          <w:szCs w:val="21"/>
          <w:highlight w:val="none"/>
        </w:rPr>
      </w:pPr>
      <w:bookmarkStart w:id="533" w:name="_Toc122791549"/>
      <w:r>
        <w:rPr>
          <w:rFonts w:hint="eastAsia"/>
          <w:b/>
          <w:color w:val="auto"/>
          <w:szCs w:val="21"/>
          <w:highlight w:val="none"/>
        </w:rPr>
        <w:t>制定依据</w:t>
      </w:r>
      <w:bookmarkEnd w:id="533"/>
    </w:p>
    <w:p w14:paraId="08F22ADC">
      <w:pPr>
        <w:ind w:firstLine="420" w:firstLineChars="200"/>
        <w:rPr>
          <w:color w:val="auto"/>
          <w:szCs w:val="21"/>
          <w:highlight w:val="none"/>
        </w:rPr>
      </w:pPr>
      <w:r>
        <w:rPr>
          <w:rFonts w:hint="eastAsia"/>
          <w:color w:val="auto"/>
          <w:szCs w:val="21"/>
          <w:highlight w:val="none"/>
        </w:rPr>
        <w:t>本规定的制定依据为《中华人民共和国建筑法》、《建设工程质量管理条例》、国家标准和行业规范、施工承包商签订的《施工承包合同》。</w:t>
      </w:r>
    </w:p>
    <w:p w14:paraId="38862C67">
      <w:pPr>
        <w:pStyle w:val="59"/>
        <w:numPr>
          <w:ilvl w:val="0"/>
          <w:numId w:val="7"/>
        </w:numPr>
        <w:ind w:firstLineChars="0"/>
        <w:rPr>
          <w:b/>
          <w:color w:val="auto"/>
          <w:szCs w:val="21"/>
          <w:highlight w:val="none"/>
        </w:rPr>
      </w:pPr>
      <w:bookmarkStart w:id="534" w:name="_Toc122791550"/>
      <w:r>
        <w:rPr>
          <w:rFonts w:hint="eastAsia"/>
          <w:b/>
          <w:color w:val="auto"/>
          <w:szCs w:val="21"/>
          <w:highlight w:val="none"/>
        </w:rPr>
        <w:t>《建设工程质量管理条例》相关条文</w:t>
      </w:r>
      <w:bookmarkEnd w:id="534"/>
    </w:p>
    <w:p w14:paraId="614718AB">
      <w:pPr>
        <w:ind w:firstLine="420" w:firstLineChars="200"/>
        <w:rPr>
          <w:color w:val="auto"/>
          <w:szCs w:val="21"/>
          <w:highlight w:val="none"/>
        </w:rPr>
      </w:pPr>
      <w:r>
        <w:rPr>
          <w:rFonts w:hint="eastAsia"/>
          <w:color w:val="auto"/>
          <w:szCs w:val="21"/>
          <w:highlight w:val="none"/>
        </w:rPr>
        <w:t>本部分引用《建设工程质量管理条例》关于施工承包商的质量责任和义务部分的原条文。</w:t>
      </w:r>
    </w:p>
    <w:p w14:paraId="721F9F16">
      <w:pPr>
        <w:rPr>
          <w:color w:val="auto"/>
          <w:szCs w:val="21"/>
          <w:highlight w:val="none"/>
        </w:rPr>
      </w:pPr>
      <w:r>
        <w:rPr>
          <w:rFonts w:hint="eastAsia"/>
          <w:color w:val="auto"/>
          <w:szCs w:val="21"/>
          <w:highlight w:val="none"/>
        </w:rPr>
        <w:t>4.1 施工单位不得转包或者违法分包工程。</w:t>
      </w:r>
    </w:p>
    <w:p w14:paraId="42DA1619">
      <w:pPr>
        <w:rPr>
          <w:color w:val="auto"/>
          <w:szCs w:val="21"/>
          <w:highlight w:val="none"/>
        </w:rPr>
      </w:pPr>
      <w:r>
        <w:rPr>
          <w:rFonts w:hint="eastAsia"/>
          <w:color w:val="auto"/>
          <w:szCs w:val="21"/>
          <w:highlight w:val="none"/>
        </w:rPr>
        <w:t>4.2施工单位必须按照工程设计图纸和施工技术标准施工，不得擅自修改工程设计，不得偷工减料。</w:t>
      </w:r>
    </w:p>
    <w:p w14:paraId="6334B34C">
      <w:pPr>
        <w:rPr>
          <w:color w:val="auto"/>
          <w:szCs w:val="21"/>
          <w:highlight w:val="none"/>
        </w:rPr>
      </w:pPr>
      <w:r>
        <w:rPr>
          <w:rFonts w:hint="eastAsia"/>
          <w:color w:val="auto"/>
          <w:szCs w:val="21"/>
          <w:highlight w:val="none"/>
        </w:rPr>
        <w:t>4.3施工单位在施工过程中发现设计文件和图纸有差错的，应当及时提出意见和建议。</w:t>
      </w:r>
    </w:p>
    <w:p w14:paraId="6306C671">
      <w:pPr>
        <w:rPr>
          <w:color w:val="auto"/>
          <w:szCs w:val="21"/>
          <w:highlight w:val="none"/>
        </w:rPr>
      </w:pPr>
      <w:r>
        <w:rPr>
          <w:rFonts w:hint="eastAsia"/>
          <w:color w:val="auto"/>
          <w:szCs w:val="21"/>
          <w:highlight w:val="none"/>
        </w:rPr>
        <w:t>4.4施工单位必须按照工程设计要求、施工技术标准和合同约定，对建筑材料、建筑构配件、 设备和自拌混凝土进行检验、检验应当有书面记录和专人签字；未经检验和检验不合格的，不得使用。</w:t>
      </w:r>
    </w:p>
    <w:p w14:paraId="67A68FE6">
      <w:pPr>
        <w:rPr>
          <w:color w:val="auto"/>
          <w:szCs w:val="21"/>
          <w:highlight w:val="none"/>
        </w:rPr>
      </w:pPr>
      <w:r>
        <w:rPr>
          <w:rFonts w:hint="eastAsia"/>
          <w:color w:val="auto"/>
          <w:szCs w:val="21"/>
          <w:highlight w:val="none"/>
        </w:rPr>
        <w:t>4.5施工单位必须建立、健全施工质量检验制度，严格工序管理，作好隐蔽工程的质量检查和记录。隐蔽工程在隐蔽前，施工单位应当通知监理单位、建设单位。</w:t>
      </w:r>
    </w:p>
    <w:p w14:paraId="146D99F7">
      <w:pPr>
        <w:rPr>
          <w:color w:val="auto"/>
          <w:szCs w:val="21"/>
          <w:highlight w:val="none"/>
        </w:rPr>
      </w:pPr>
      <w:r>
        <w:rPr>
          <w:rFonts w:hint="eastAsia"/>
          <w:color w:val="auto"/>
          <w:szCs w:val="21"/>
          <w:highlight w:val="none"/>
        </w:rPr>
        <w:t>4.6施工人员对涉及结构安全的试块、试件以及有关材料，应当在建设单位或者工程监理单位监督下现场取样，并送具有相应资质等级的质量检测单位进行检测。</w:t>
      </w:r>
    </w:p>
    <w:p w14:paraId="79A1831F">
      <w:pPr>
        <w:rPr>
          <w:color w:val="auto"/>
          <w:szCs w:val="21"/>
          <w:highlight w:val="none"/>
        </w:rPr>
      </w:pPr>
      <w:r>
        <w:rPr>
          <w:rFonts w:hint="eastAsia"/>
          <w:color w:val="auto"/>
          <w:szCs w:val="21"/>
          <w:highlight w:val="none"/>
        </w:rPr>
        <w:t>4.7施工单位对施工中出现质量问题的建设工程或者竣工验收不合格的建设工程，应当负责返修。</w:t>
      </w:r>
    </w:p>
    <w:p w14:paraId="0932AB4F">
      <w:pPr>
        <w:rPr>
          <w:color w:val="auto"/>
          <w:szCs w:val="21"/>
          <w:highlight w:val="none"/>
        </w:rPr>
      </w:pPr>
      <w:r>
        <w:rPr>
          <w:rFonts w:hint="eastAsia"/>
          <w:color w:val="auto"/>
          <w:szCs w:val="21"/>
          <w:highlight w:val="none"/>
        </w:rPr>
        <w:t>4.8施工单位应当建立、健全质量教育培训制度，坚持对职工的质量教育培训；未经质量教育培训或者考核不合格的人员，不得上岗作业。</w:t>
      </w:r>
    </w:p>
    <w:p w14:paraId="337D23C8">
      <w:pPr>
        <w:pStyle w:val="59"/>
        <w:numPr>
          <w:ilvl w:val="0"/>
          <w:numId w:val="7"/>
        </w:numPr>
        <w:ind w:firstLineChars="0"/>
        <w:rPr>
          <w:b/>
          <w:color w:val="auto"/>
          <w:szCs w:val="21"/>
          <w:highlight w:val="none"/>
        </w:rPr>
      </w:pPr>
      <w:bookmarkStart w:id="535" w:name="_Toc122791551"/>
      <w:r>
        <w:rPr>
          <w:rFonts w:hint="eastAsia"/>
          <w:b/>
          <w:color w:val="auto"/>
          <w:szCs w:val="21"/>
          <w:highlight w:val="none"/>
        </w:rPr>
        <w:t>对施工承包商的质量责任和义务的解释和扩充</w:t>
      </w:r>
      <w:bookmarkEnd w:id="535"/>
    </w:p>
    <w:p w14:paraId="035138BE">
      <w:pPr>
        <w:rPr>
          <w:color w:val="auto"/>
          <w:szCs w:val="21"/>
          <w:highlight w:val="none"/>
        </w:rPr>
      </w:pPr>
      <w:r>
        <w:rPr>
          <w:rFonts w:hint="eastAsia"/>
          <w:color w:val="auto"/>
          <w:szCs w:val="21"/>
          <w:highlight w:val="none"/>
        </w:rPr>
        <w:t>5.1  施工分包商在隐蔽工程隐蔽前应提前48小时通监理单位（或建设单位）。</w:t>
      </w:r>
    </w:p>
    <w:p w14:paraId="7D3516AC">
      <w:pPr>
        <w:rPr>
          <w:color w:val="auto"/>
          <w:szCs w:val="21"/>
          <w:highlight w:val="none"/>
        </w:rPr>
      </w:pPr>
      <w:r>
        <w:rPr>
          <w:rFonts w:hint="eastAsia"/>
          <w:color w:val="auto"/>
          <w:szCs w:val="21"/>
          <w:highlight w:val="none"/>
        </w:rPr>
        <w:t>5.2  施工分包商必须健全质量管理组织机构，每个专业都必须配备足够的专职质量监督人员，管理人员要持证上岗，要切实保证各专业人员到位。</w:t>
      </w:r>
    </w:p>
    <w:p w14:paraId="6B9BA503">
      <w:pPr>
        <w:rPr>
          <w:color w:val="auto"/>
          <w:szCs w:val="21"/>
          <w:highlight w:val="none"/>
        </w:rPr>
      </w:pPr>
      <w:r>
        <w:rPr>
          <w:rFonts w:hint="eastAsia"/>
          <w:color w:val="auto"/>
          <w:szCs w:val="21"/>
          <w:highlight w:val="none"/>
        </w:rPr>
        <w:t>5.3  针对4.8条的扩充为，本工程现场施工人员必须经过质量培训并通过考试，才能上岗。特殊作业人员要持政府部门颁发的有效上岗证才能上岗。</w:t>
      </w:r>
    </w:p>
    <w:p w14:paraId="4C4629A9">
      <w:pPr>
        <w:rPr>
          <w:color w:val="auto"/>
          <w:szCs w:val="21"/>
          <w:highlight w:val="none"/>
        </w:rPr>
      </w:pPr>
      <w:r>
        <w:rPr>
          <w:rFonts w:hint="eastAsia"/>
          <w:color w:val="auto"/>
          <w:szCs w:val="21"/>
          <w:highlight w:val="none"/>
        </w:rPr>
        <w:t>5.4  在每个专业的施工准备阶段，各承包商都要将测量仪器送有校验资质的单位进行校验，保证测量仪器准确。并将校验证书报监理部备案。</w:t>
      </w:r>
    </w:p>
    <w:p w14:paraId="49776987">
      <w:pPr>
        <w:rPr>
          <w:color w:val="auto"/>
          <w:szCs w:val="21"/>
          <w:highlight w:val="none"/>
        </w:rPr>
      </w:pPr>
      <w:r>
        <w:rPr>
          <w:rFonts w:hint="eastAsia"/>
          <w:color w:val="auto"/>
          <w:szCs w:val="21"/>
          <w:highlight w:val="none"/>
        </w:rPr>
        <w:t xml:space="preserve">5.5  凡由施工承包商采购的材料、设备等，在采购订货前应向建设单位、监理单位申报，在建设单位确认后方可进行采购。 </w:t>
      </w:r>
    </w:p>
    <w:p w14:paraId="702D4E85">
      <w:pPr>
        <w:rPr>
          <w:color w:val="auto"/>
          <w:szCs w:val="21"/>
          <w:highlight w:val="none"/>
        </w:rPr>
      </w:pPr>
      <w:r>
        <w:rPr>
          <w:rFonts w:hint="eastAsia"/>
          <w:color w:val="auto"/>
          <w:szCs w:val="21"/>
          <w:highlight w:val="none"/>
        </w:rPr>
        <w:t>5.6  凡运到施工现场的原材料、半成品或构配件，应有产品合格证或技术说明书、试验报告，并由施工单位按规范要求进行检验，向建设单位、监理工程师提出检验或试验报告，确认质量合格后，方可使用。</w:t>
      </w:r>
    </w:p>
    <w:p w14:paraId="4AD91A98">
      <w:pPr>
        <w:rPr>
          <w:color w:val="auto"/>
          <w:szCs w:val="21"/>
          <w:highlight w:val="none"/>
        </w:rPr>
      </w:pPr>
      <w:r>
        <w:rPr>
          <w:rFonts w:hint="eastAsia"/>
          <w:color w:val="auto"/>
          <w:szCs w:val="21"/>
          <w:highlight w:val="none"/>
        </w:rPr>
        <w:t>5.7  设备、材料的存放必须进行可靠保护，要保证设备和材料不受损坏。</w:t>
      </w:r>
    </w:p>
    <w:p w14:paraId="7B3C3729">
      <w:pPr>
        <w:rPr>
          <w:color w:val="auto"/>
          <w:szCs w:val="21"/>
          <w:highlight w:val="none"/>
        </w:rPr>
      </w:pPr>
      <w:r>
        <w:rPr>
          <w:rFonts w:hint="eastAsia"/>
          <w:color w:val="auto"/>
          <w:szCs w:val="21"/>
          <w:highlight w:val="none"/>
        </w:rPr>
        <w:t>5.8  重大施工作业前，施工单位必须编制作业指导书（或施工方案），并提前7天上报建设或监理方审核，作业指导书或施工方案未经批准前不得进行该部分的施工，批准后的作业指导书在施工前要进行技术交底，并有技术交底记录。</w:t>
      </w:r>
    </w:p>
    <w:p w14:paraId="2F31B7F9">
      <w:pPr>
        <w:rPr>
          <w:color w:val="auto"/>
          <w:szCs w:val="21"/>
          <w:highlight w:val="none"/>
        </w:rPr>
      </w:pPr>
      <w:r>
        <w:rPr>
          <w:rFonts w:hint="eastAsia"/>
          <w:color w:val="auto"/>
          <w:szCs w:val="21"/>
          <w:highlight w:val="none"/>
        </w:rPr>
        <w:t>5.9  《施工方案》经审核、审批、正式出版后，作为建设单位、监理单位监督管理的依据，现场施工必须按照施工方案中描述的措施和工艺进行施工。</w:t>
      </w:r>
    </w:p>
    <w:p w14:paraId="78021550">
      <w:pPr>
        <w:rPr>
          <w:color w:val="auto"/>
          <w:szCs w:val="21"/>
          <w:highlight w:val="none"/>
        </w:rPr>
      </w:pPr>
      <w:r>
        <w:rPr>
          <w:rFonts w:hint="eastAsia"/>
          <w:color w:val="auto"/>
          <w:szCs w:val="21"/>
          <w:highlight w:val="none"/>
        </w:rPr>
        <w:t>5.10  单位工程开工前，施工单位必须按开工报告要求完成准备工作，向建设单位或监理单位提交开工申请。单位工程完工且自检查合格达到报验条件后，施工单位必须提前24小时准备好相关材料，向建设单位提交单位工程验收申请。</w:t>
      </w:r>
    </w:p>
    <w:p w14:paraId="405D25E1">
      <w:pPr>
        <w:rPr>
          <w:color w:val="auto"/>
          <w:szCs w:val="21"/>
          <w:highlight w:val="none"/>
        </w:rPr>
      </w:pPr>
      <w:r>
        <w:rPr>
          <w:rFonts w:hint="eastAsia"/>
          <w:color w:val="auto"/>
          <w:szCs w:val="21"/>
          <w:highlight w:val="none"/>
        </w:rPr>
        <w:t>5.11  对主要的工序交接作业，办理工序交接签证，不得在未办理工序交接手续前进行下道工序。施工过程的的检查验收要严格按照各专业的“验评项目划分表执行”，施工单位要严格执行质量验收制度，上一级质检员未自检，无施工记录、自检记录，不得通知下一级质检。</w:t>
      </w:r>
    </w:p>
    <w:p w14:paraId="54EABD1E">
      <w:pPr>
        <w:rPr>
          <w:color w:val="auto"/>
          <w:szCs w:val="21"/>
          <w:highlight w:val="none"/>
        </w:rPr>
      </w:pPr>
      <w:r>
        <w:rPr>
          <w:rFonts w:hint="eastAsia"/>
          <w:color w:val="auto"/>
          <w:szCs w:val="21"/>
          <w:highlight w:val="none"/>
        </w:rPr>
        <w:t>5.1</w:t>
      </w:r>
      <w:r>
        <w:rPr>
          <w:color w:val="auto"/>
          <w:szCs w:val="21"/>
          <w:highlight w:val="none"/>
        </w:rPr>
        <w:t>2</w:t>
      </w:r>
      <w:r>
        <w:rPr>
          <w:rFonts w:hint="eastAsia"/>
          <w:color w:val="auto"/>
          <w:szCs w:val="21"/>
          <w:highlight w:val="none"/>
        </w:rPr>
        <w:t>成品保护措施</w:t>
      </w:r>
    </w:p>
    <w:p w14:paraId="1BF53654">
      <w:pPr>
        <w:pStyle w:val="59"/>
        <w:ind w:firstLine="0" w:firstLineChars="0"/>
        <w:rPr>
          <w:color w:val="auto"/>
          <w:szCs w:val="21"/>
          <w:highlight w:val="none"/>
        </w:rPr>
      </w:pPr>
      <w:r>
        <w:rPr>
          <w:rFonts w:hint="eastAsia"/>
          <w:color w:val="auto"/>
          <w:szCs w:val="21"/>
          <w:highlight w:val="none"/>
        </w:rPr>
        <w:t>5.12.1施工单位在成品保护管理上应实行项目经理负责制，各班组、各技术专业组、各职能人员应明确职责，分工负责，各专业队或作业班组必须配备认真负责的专职或兼职的成品保护专管员。</w:t>
      </w:r>
    </w:p>
    <w:p w14:paraId="271567DF">
      <w:pPr>
        <w:pStyle w:val="59"/>
        <w:ind w:firstLine="0" w:firstLineChars="0"/>
        <w:rPr>
          <w:color w:val="auto"/>
          <w:szCs w:val="21"/>
          <w:highlight w:val="none"/>
        </w:rPr>
      </w:pPr>
      <w:r>
        <w:rPr>
          <w:rFonts w:hint="eastAsia"/>
          <w:color w:val="auto"/>
          <w:szCs w:val="21"/>
          <w:highlight w:val="none"/>
        </w:rPr>
        <w:t>5.12.2各施工单位应建立健全成品保护工作体系，严格执行本单位的工程施工安装产品保护程序，在安排施工生产的同时明确成品保护的基本要求和重点，对成品保护措施纳入技术交底。</w:t>
      </w:r>
    </w:p>
    <w:p w14:paraId="3D169B0F">
      <w:pPr>
        <w:pStyle w:val="59"/>
        <w:ind w:firstLine="0" w:firstLineChars="0"/>
        <w:rPr>
          <w:color w:val="auto"/>
          <w:szCs w:val="21"/>
          <w:highlight w:val="none"/>
        </w:rPr>
      </w:pPr>
      <w:r>
        <w:rPr>
          <w:rFonts w:hint="eastAsia"/>
          <w:color w:val="auto"/>
          <w:szCs w:val="21"/>
          <w:highlight w:val="none"/>
        </w:rPr>
        <w:t>5.12.3各施工单位应加强成品保护的宣传教育，使有关人员明白做好成品保护是满足施工正常进行的必要条件和维护职业道德的基本要求。</w:t>
      </w:r>
    </w:p>
    <w:p w14:paraId="1125026F">
      <w:pPr>
        <w:pStyle w:val="59"/>
        <w:ind w:firstLine="0" w:firstLineChars="0"/>
        <w:rPr>
          <w:color w:val="auto"/>
          <w:szCs w:val="21"/>
          <w:highlight w:val="none"/>
        </w:rPr>
      </w:pPr>
      <w:r>
        <w:rPr>
          <w:rFonts w:hint="eastAsia"/>
          <w:color w:val="auto"/>
          <w:szCs w:val="21"/>
          <w:highlight w:val="none"/>
        </w:rPr>
        <w:t>5.12.4工序全部或部分完成后，本工序施工责任单位应设立醒目明确的标识，警戒、围挡等措施，涉及安全风险的还应做好安全防护。</w:t>
      </w:r>
    </w:p>
    <w:p w14:paraId="7EA6CFE4">
      <w:pPr>
        <w:pStyle w:val="59"/>
        <w:ind w:firstLine="0" w:firstLineChars="0"/>
        <w:rPr>
          <w:color w:val="auto"/>
          <w:szCs w:val="21"/>
          <w:highlight w:val="none"/>
        </w:rPr>
      </w:pPr>
      <w:r>
        <w:rPr>
          <w:rFonts w:hint="eastAsia"/>
          <w:color w:val="auto"/>
          <w:szCs w:val="21"/>
          <w:highlight w:val="none"/>
        </w:rPr>
        <w:t>5.12.5其他相邻施工单位不得随意拆除、破坏成品保护标识、警戒、围挡，应严格按照设置标识妥善保护已完工程。</w:t>
      </w:r>
    </w:p>
    <w:p w14:paraId="27C7AE88">
      <w:pPr>
        <w:pStyle w:val="59"/>
        <w:ind w:firstLine="0" w:firstLineChars="0"/>
        <w:rPr>
          <w:color w:val="auto"/>
          <w:szCs w:val="21"/>
          <w:highlight w:val="none"/>
        </w:rPr>
      </w:pPr>
      <w:r>
        <w:rPr>
          <w:rFonts w:hint="eastAsia"/>
          <w:color w:val="auto"/>
          <w:szCs w:val="21"/>
          <w:highlight w:val="none"/>
        </w:rPr>
        <w:t>5.12.6已完工程施工单位应加大成品保护工作的监督力度，落实好成品保护措施的有效性，及时发现和制止成品损坏的行为。</w:t>
      </w:r>
    </w:p>
    <w:p w14:paraId="41EA8BE4">
      <w:pPr>
        <w:pStyle w:val="59"/>
        <w:ind w:firstLine="0" w:firstLineChars="0"/>
        <w:rPr>
          <w:color w:val="auto"/>
          <w:szCs w:val="21"/>
          <w:highlight w:val="none"/>
        </w:rPr>
      </w:pPr>
      <w:r>
        <w:rPr>
          <w:rFonts w:hint="eastAsia"/>
          <w:color w:val="auto"/>
          <w:szCs w:val="21"/>
          <w:highlight w:val="none"/>
        </w:rPr>
        <w:t>5.12.7施工单位内部和各施工单位存在工序交接时，应组织办理书面的成品保护交接手续。</w:t>
      </w:r>
    </w:p>
    <w:p w14:paraId="1EC82666">
      <w:pPr>
        <w:pStyle w:val="59"/>
        <w:numPr>
          <w:ilvl w:val="0"/>
          <w:numId w:val="7"/>
        </w:numPr>
        <w:ind w:firstLineChars="0"/>
        <w:rPr>
          <w:b/>
          <w:color w:val="auto"/>
          <w:szCs w:val="21"/>
          <w:highlight w:val="none"/>
        </w:rPr>
      </w:pPr>
      <w:bookmarkStart w:id="536" w:name="_Toc122791553"/>
      <w:r>
        <w:rPr>
          <w:rFonts w:hint="eastAsia"/>
          <w:b/>
          <w:color w:val="auto"/>
          <w:szCs w:val="21"/>
          <w:highlight w:val="none"/>
        </w:rPr>
        <w:t>质量问题（事故）处理程序</w:t>
      </w:r>
      <w:bookmarkEnd w:id="536"/>
    </w:p>
    <w:p w14:paraId="3850587B">
      <w:pPr>
        <w:pStyle w:val="59"/>
        <w:numPr>
          <w:ilvl w:val="1"/>
          <w:numId w:val="7"/>
        </w:numPr>
        <w:ind w:firstLineChars="0"/>
        <w:rPr>
          <w:color w:val="auto"/>
          <w:szCs w:val="21"/>
          <w:highlight w:val="none"/>
        </w:rPr>
      </w:pPr>
      <w:r>
        <w:rPr>
          <w:rFonts w:hint="eastAsia"/>
          <w:color w:val="auto"/>
          <w:szCs w:val="21"/>
          <w:highlight w:val="none"/>
        </w:rPr>
        <w:t>施工单位在施工过程，如模板拆除等工作中，如果发现质量缺陷（包括甲供材料、构配件、设备等等），必须立刻报建设或监理方，不许私自隐蔽。</w:t>
      </w:r>
    </w:p>
    <w:p w14:paraId="5C24F5FE">
      <w:pPr>
        <w:pStyle w:val="59"/>
        <w:numPr>
          <w:ilvl w:val="1"/>
          <w:numId w:val="7"/>
        </w:numPr>
        <w:ind w:firstLineChars="0"/>
        <w:rPr>
          <w:color w:val="auto"/>
          <w:szCs w:val="21"/>
          <w:highlight w:val="none"/>
        </w:rPr>
      </w:pPr>
      <w:r>
        <w:rPr>
          <w:rFonts w:hint="eastAsia"/>
          <w:color w:val="auto"/>
          <w:szCs w:val="21"/>
          <w:highlight w:val="none"/>
        </w:rPr>
        <w:t>质量缺陷、质量问题、质量事故发生后，施工单位应停止与其有关部位的施工，并通知建设或监理单位。施工承包商立即进行质量事故的调查，写出调查分析报告并制定出处理方案。</w:t>
      </w:r>
    </w:p>
    <w:p w14:paraId="372FCB02">
      <w:pPr>
        <w:pStyle w:val="59"/>
        <w:numPr>
          <w:ilvl w:val="1"/>
          <w:numId w:val="7"/>
        </w:numPr>
        <w:ind w:firstLineChars="0"/>
        <w:rPr>
          <w:color w:val="auto"/>
          <w:szCs w:val="21"/>
          <w:highlight w:val="none"/>
        </w:rPr>
      </w:pPr>
      <w:r>
        <w:rPr>
          <w:rFonts w:hint="eastAsia"/>
          <w:color w:val="auto"/>
          <w:szCs w:val="21"/>
          <w:highlight w:val="none"/>
        </w:rPr>
        <w:t>质量缺陷处理完毕后，施工单位应组织监理和建设单位人员对处理的结果进行严格的鉴定和验收，写出事故处理报告，提交建设单位。</w:t>
      </w:r>
    </w:p>
    <w:p w14:paraId="5B9B291F">
      <w:pPr>
        <w:pStyle w:val="59"/>
        <w:numPr>
          <w:ilvl w:val="0"/>
          <w:numId w:val="7"/>
        </w:numPr>
        <w:ind w:firstLineChars="0"/>
        <w:rPr>
          <w:b/>
          <w:color w:val="auto"/>
          <w:szCs w:val="21"/>
          <w:highlight w:val="none"/>
        </w:rPr>
      </w:pPr>
      <w:r>
        <w:rPr>
          <w:rFonts w:hint="eastAsia"/>
          <w:b/>
          <w:color w:val="auto"/>
          <w:szCs w:val="21"/>
          <w:highlight w:val="none"/>
        </w:rPr>
        <w:t>考核的实施</w:t>
      </w:r>
    </w:p>
    <w:p w14:paraId="399B3935">
      <w:pPr>
        <w:ind w:firstLine="420" w:firstLineChars="200"/>
        <w:rPr>
          <w:color w:val="auto"/>
          <w:szCs w:val="21"/>
          <w:highlight w:val="none"/>
        </w:rPr>
      </w:pPr>
      <w:r>
        <w:rPr>
          <w:rFonts w:hint="eastAsia"/>
          <w:color w:val="auto"/>
          <w:szCs w:val="21"/>
          <w:highlight w:val="none"/>
        </w:rPr>
        <w:t>承包商违反相应的质量管理程序和规范要求，建设单位根据本规定作出考核的，由建设单位指定人员将违约通知单以书面的形式（纸质或电子邮件均可）通知到承包商，承包商在收到违约单起五个工作日内如有异议可书面回复，建设单位根据回复判定是否撤销原违约单。承包商有异议的根据合同争议条款进行处理。</w:t>
      </w:r>
    </w:p>
    <w:p w14:paraId="71E17E4F">
      <w:pPr>
        <w:ind w:firstLine="420" w:firstLineChars="200"/>
        <w:rPr>
          <w:color w:val="auto"/>
          <w:szCs w:val="21"/>
          <w:highlight w:val="none"/>
        </w:rPr>
      </w:pPr>
      <w:r>
        <w:rPr>
          <w:rFonts w:hint="eastAsia"/>
          <w:color w:val="auto"/>
          <w:szCs w:val="21"/>
          <w:highlight w:val="none"/>
        </w:rPr>
        <w:t xml:space="preserve">生效的工程质量考核单由施工单位签字盖章后由工程造价管理人员在当期工程进度款中扣除， </w:t>
      </w:r>
    </w:p>
    <w:p w14:paraId="212BA600">
      <w:pPr>
        <w:pStyle w:val="59"/>
        <w:numPr>
          <w:ilvl w:val="0"/>
          <w:numId w:val="7"/>
        </w:numPr>
        <w:ind w:firstLineChars="0"/>
        <w:rPr>
          <w:b/>
          <w:color w:val="auto"/>
          <w:szCs w:val="21"/>
          <w:highlight w:val="none"/>
        </w:rPr>
      </w:pPr>
      <w:r>
        <w:rPr>
          <w:rFonts w:hint="eastAsia"/>
          <w:b/>
          <w:color w:val="auto"/>
          <w:szCs w:val="21"/>
          <w:highlight w:val="none"/>
        </w:rPr>
        <w:t>工程质量考核标准见附表1</w:t>
      </w:r>
    </w:p>
    <w:tbl>
      <w:tblPr>
        <w:tblStyle w:val="20"/>
        <w:tblW w:w="0" w:type="auto"/>
        <w:tblInd w:w="108" w:type="dxa"/>
        <w:tblLayout w:type="fixed"/>
        <w:tblCellMar>
          <w:top w:w="0" w:type="dxa"/>
          <w:left w:w="108" w:type="dxa"/>
          <w:bottom w:w="0" w:type="dxa"/>
          <w:right w:w="108" w:type="dxa"/>
        </w:tblCellMar>
      </w:tblPr>
      <w:tblGrid>
        <w:gridCol w:w="851"/>
        <w:gridCol w:w="1069"/>
        <w:gridCol w:w="4459"/>
        <w:gridCol w:w="1985"/>
      </w:tblGrid>
      <w:tr w14:paraId="78511776">
        <w:tblPrEx>
          <w:tblCellMar>
            <w:top w:w="0" w:type="dxa"/>
            <w:left w:w="108" w:type="dxa"/>
            <w:bottom w:w="0" w:type="dxa"/>
            <w:right w:w="108" w:type="dxa"/>
          </w:tblCellMar>
        </w:tblPrEx>
        <w:trPr>
          <w:trHeight w:val="996" w:hRule="atLeast"/>
        </w:trPr>
        <w:tc>
          <w:tcPr>
            <w:tcW w:w="8364" w:type="dxa"/>
            <w:gridSpan w:val="4"/>
            <w:tcBorders>
              <w:top w:val="nil"/>
              <w:left w:val="nil"/>
              <w:bottom w:val="nil"/>
              <w:right w:val="nil"/>
            </w:tcBorders>
            <w:vAlign w:val="bottom"/>
          </w:tcPr>
          <w:p w14:paraId="251CD72C">
            <w:pPr>
              <w:pStyle w:val="59"/>
              <w:numPr>
                <w:ilvl w:val="0"/>
                <w:numId w:val="7"/>
              </w:numPr>
              <w:ind w:firstLineChars="0"/>
              <w:rPr>
                <w:b/>
                <w:color w:val="auto"/>
                <w:szCs w:val="21"/>
                <w:highlight w:val="none"/>
              </w:rPr>
            </w:pPr>
            <w:r>
              <w:rPr>
                <w:rFonts w:hint="eastAsia"/>
                <w:b/>
                <w:color w:val="auto"/>
                <w:szCs w:val="21"/>
                <w:highlight w:val="none"/>
              </w:rPr>
              <w:t>违约单见附表2</w:t>
            </w:r>
          </w:p>
          <w:p w14:paraId="1FCAC0F0">
            <w:pPr>
              <w:widowControl/>
              <w:jc w:val="left"/>
              <w:rPr>
                <w:rFonts w:ascii="等线" w:hAnsi="等线" w:eastAsia="等线" w:cs="宋体"/>
                <w:color w:val="auto"/>
                <w:kern w:val="0"/>
                <w:sz w:val="22"/>
                <w:highlight w:val="none"/>
              </w:rPr>
            </w:pPr>
          </w:p>
          <w:p w14:paraId="0AC31254">
            <w:pPr>
              <w:widowControl/>
              <w:jc w:val="left"/>
              <w:rPr>
                <w:rFonts w:ascii="等线" w:hAnsi="等线" w:eastAsia="等线" w:cs="宋体"/>
                <w:color w:val="auto"/>
                <w:kern w:val="0"/>
                <w:sz w:val="22"/>
                <w:highlight w:val="none"/>
              </w:rPr>
            </w:pPr>
          </w:p>
          <w:p w14:paraId="747F6943">
            <w:pPr>
              <w:widowControl/>
              <w:ind w:firstLine="440" w:firstLineChars="200"/>
              <w:jc w:val="left"/>
              <w:rPr>
                <w:rFonts w:ascii="等线" w:hAnsi="等线" w:eastAsia="等线" w:cs="宋体"/>
                <w:color w:val="auto"/>
                <w:kern w:val="0"/>
                <w:sz w:val="22"/>
                <w:highlight w:val="none"/>
              </w:rPr>
            </w:pPr>
            <w:r>
              <w:rPr>
                <w:rFonts w:hint="eastAsia" w:ascii="等线" w:hAnsi="等线" w:eastAsia="等线" w:cs="宋体"/>
                <w:color w:val="auto"/>
                <w:kern w:val="0"/>
                <w:sz w:val="22"/>
                <w:highlight w:val="none"/>
              </w:rPr>
              <w:t>附表1</w:t>
            </w:r>
          </w:p>
          <w:p w14:paraId="3F5138C8">
            <w:pPr>
              <w:widowControl/>
              <w:ind w:firstLine="560" w:firstLineChars="200"/>
              <w:jc w:val="center"/>
              <w:rPr>
                <w:rFonts w:ascii="等线" w:hAnsi="等线" w:eastAsia="等线" w:cs="宋体"/>
                <w:color w:val="auto"/>
                <w:kern w:val="0"/>
                <w:sz w:val="28"/>
                <w:szCs w:val="28"/>
                <w:highlight w:val="none"/>
              </w:rPr>
            </w:pPr>
            <w:r>
              <w:rPr>
                <w:rFonts w:hint="eastAsia"/>
                <w:color w:val="auto"/>
                <w:sz w:val="28"/>
                <w:szCs w:val="28"/>
                <w:highlight w:val="none"/>
              </w:rPr>
              <w:t>工程质量考核标准</w:t>
            </w:r>
          </w:p>
          <w:p w14:paraId="0AD180AF">
            <w:pPr>
              <w:widowControl/>
              <w:ind w:firstLine="440" w:firstLineChars="200"/>
              <w:jc w:val="left"/>
              <w:rPr>
                <w:rFonts w:ascii="等线" w:hAnsi="等线" w:eastAsia="等线" w:cs="宋体"/>
                <w:color w:val="auto"/>
                <w:kern w:val="0"/>
                <w:sz w:val="22"/>
                <w:highlight w:val="none"/>
              </w:rPr>
            </w:pPr>
            <w:r>
              <w:rPr>
                <w:rFonts w:hint="eastAsia" w:ascii="等线" w:hAnsi="等线" w:eastAsia="等线" w:cs="宋体"/>
                <w:color w:val="auto"/>
                <w:kern w:val="0"/>
                <w:sz w:val="22"/>
                <w:highlight w:val="none"/>
              </w:rPr>
              <w:t xml:space="preserve"> 说明：考核标准为每次或每项扣罚标准，单位为人民币。扣罚不能免除施工单位修复、施工至合格以及由此造成的直接损失和工期延误而带来的间接损失。</w:t>
            </w:r>
          </w:p>
        </w:tc>
      </w:tr>
      <w:tr w14:paraId="310F5808">
        <w:tblPrEx>
          <w:tblCellMar>
            <w:top w:w="0" w:type="dxa"/>
            <w:left w:w="108" w:type="dxa"/>
            <w:bottom w:w="0" w:type="dxa"/>
            <w:right w:w="108" w:type="dxa"/>
          </w:tblCellMar>
        </w:tblPrEx>
        <w:trPr>
          <w:trHeight w:val="276" w:hRule="atLeast"/>
        </w:trPr>
        <w:tc>
          <w:tcPr>
            <w:tcW w:w="851" w:type="dxa"/>
            <w:tcBorders>
              <w:top w:val="single" w:color="auto" w:sz="4" w:space="0"/>
              <w:left w:val="single" w:color="auto" w:sz="4" w:space="0"/>
              <w:bottom w:val="single" w:color="auto" w:sz="4" w:space="0"/>
              <w:right w:val="single" w:color="auto" w:sz="4" w:space="0"/>
            </w:tcBorders>
            <w:vAlign w:val="center"/>
          </w:tcPr>
          <w:p w14:paraId="6F864F90">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序号</w:t>
            </w:r>
          </w:p>
        </w:tc>
        <w:tc>
          <w:tcPr>
            <w:tcW w:w="1069" w:type="dxa"/>
            <w:tcBorders>
              <w:top w:val="single" w:color="auto" w:sz="4" w:space="0"/>
              <w:left w:val="nil"/>
              <w:bottom w:val="single" w:color="auto" w:sz="4" w:space="0"/>
              <w:right w:val="single" w:color="auto" w:sz="4" w:space="0"/>
            </w:tcBorders>
            <w:vAlign w:val="center"/>
          </w:tcPr>
          <w:p w14:paraId="7A765AD9">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类别</w:t>
            </w:r>
          </w:p>
        </w:tc>
        <w:tc>
          <w:tcPr>
            <w:tcW w:w="4459" w:type="dxa"/>
            <w:tcBorders>
              <w:top w:val="single" w:color="auto" w:sz="4" w:space="0"/>
              <w:left w:val="nil"/>
              <w:bottom w:val="single" w:color="auto" w:sz="4" w:space="0"/>
              <w:right w:val="single" w:color="auto" w:sz="4" w:space="0"/>
            </w:tcBorders>
            <w:vAlign w:val="center"/>
          </w:tcPr>
          <w:p w14:paraId="14ECD132">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考核指标</w:t>
            </w:r>
          </w:p>
        </w:tc>
        <w:tc>
          <w:tcPr>
            <w:tcW w:w="1985" w:type="dxa"/>
            <w:tcBorders>
              <w:top w:val="single" w:color="auto" w:sz="4" w:space="0"/>
              <w:left w:val="nil"/>
              <w:bottom w:val="single" w:color="auto" w:sz="4" w:space="0"/>
              <w:right w:val="single" w:color="auto" w:sz="4" w:space="0"/>
            </w:tcBorders>
            <w:vAlign w:val="center"/>
          </w:tcPr>
          <w:p w14:paraId="1EED6DFE">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违约金</w:t>
            </w:r>
          </w:p>
        </w:tc>
      </w:tr>
      <w:tr w14:paraId="4D0406FB">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16E2034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w:t>
            </w:r>
          </w:p>
        </w:tc>
        <w:tc>
          <w:tcPr>
            <w:tcW w:w="1069" w:type="dxa"/>
            <w:vMerge w:val="restart"/>
            <w:tcBorders>
              <w:top w:val="nil"/>
              <w:left w:val="single" w:color="auto" w:sz="4" w:space="0"/>
              <w:bottom w:val="single" w:color="auto" w:sz="4" w:space="0"/>
              <w:right w:val="single" w:color="auto" w:sz="4" w:space="0"/>
            </w:tcBorders>
            <w:vAlign w:val="center"/>
          </w:tcPr>
          <w:p w14:paraId="05935B9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质量保证措施</w:t>
            </w:r>
          </w:p>
        </w:tc>
        <w:tc>
          <w:tcPr>
            <w:tcW w:w="4459" w:type="dxa"/>
            <w:tcBorders>
              <w:top w:val="nil"/>
              <w:left w:val="nil"/>
              <w:bottom w:val="single" w:color="auto" w:sz="4" w:space="0"/>
              <w:right w:val="single" w:color="auto" w:sz="4" w:space="0"/>
            </w:tcBorders>
            <w:vAlign w:val="bottom"/>
          </w:tcPr>
          <w:p w14:paraId="737BD70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无质量责任体系或体系不健全</w:t>
            </w:r>
          </w:p>
        </w:tc>
        <w:tc>
          <w:tcPr>
            <w:tcW w:w="1985" w:type="dxa"/>
            <w:tcBorders>
              <w:top w:val="nil"/>
              <w:left w:val="nil"/>
              <w:bottom w:val="single" w:color="auto" w:sz="4" w:space="0"/>
              <w:right w:val="single" w:color="auto" w:sz="4" w:space="0"/>
            </w:tcBorders>
            <w:noWrap/>
            <w:vAlign w:val="bottom"/>
          </w:tcPr>
          <w:p w14:paraId="4B303F6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D95DFE9">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14CA233A">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w:t>
            </w:r>
          </w:p>
        </w:tc>
        <w:tc>
          <w:tcPr>
            <w:tcW w:w="1069" w:type="dxa"/>
            <w:vMerge w:val="continue"/>
            <w:tcBorders>
              <w:top w:val="nil"/>
              <w:left w:val="single" w:color="auto" w:sz="4" w:space="0"/>
              <w:bottom w:val="single" w:color="auto" w:sz="4" w:space="0"/>
              <w:right w:val="single" w:color="auto" w:sz="4" w:space="0"/>
            </w:tcBorders>
            <w:vAlign w:val="center"/>
          </w:tcPr>
          <w:p w14:paraId="29925D10">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50DA094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质量保证制度不健全</w:t>
            </w:r>
          </w:p>
        </w:tc>
        <w:tc>
          <w:tcPr>
            <w:tcW w:w="1985" w:type="dxa"/>
            <w:tcBorders>
              <w:top w:val="nil"/>
              <w:left w:val="nil"/>
              <w:bottom w:val="single" w:color="auto" w:sz="4" w:space="0"/>
              <w:right w:val="single" w:color="auto" w:sz="4" w:space="0"/>
            </w:tcBorders>
            <w:noWrap/>
            <w:vAlign w:val="bottom"/>
          </w:tcPr>
          <w:p w14:paraId="59440E1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80DA89F">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58E6E4E">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w:t>
            </w:r>
          </w:p>
        </w:tc>
        <w:tc>
          <w:tcPr>
            <w:tcW w:w="1069" w:type="dxa"/>
            <w:vMerge w:val="continue"/>
            <w:tcBorders>
              <w:top w:val="nil"/>
              <w:left w:val="single" w:color="auto" w:sz="4" w:space="0"/>
              <w:bottom w:val="single" w:color="auto" w:sz="4" w:space="0"/>
              <w:right w:val="single" w:color="auto" w:sz="4" w:space="0"/>
            </w:tcBorders>
            <w:vAlign w:val="center"/>
          </w:tcPr>
          <w:p w14:paraId="4C51B4BD">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95ADC9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重要工序缺少作业指导书</w:t>
            </w:r>
          </w:p>
        </w:tc>
        <w:tc>
          <w:tcPr>
            <w:tcW w:w="1985" w:type="dxa"/>
            <w:tcBorders>
              <w:top w:val="nil"/>
              <w:left w:val="nil"/>
              <w:bottom w:val="single" w:color="auto" w:sz="4" w:space="0"/>
              <w:right w:val="single" w:color="auto" w:sz="4" w:space="0"/>
            </w:tcBorders>
            <w:noWrap/>
            <w:vAlign w:val="bottom"/>
          </w:tcPr>
          <w:p w14:paraId="0E85E7F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2002EC8">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041EE02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4</w:t>
            </w:r>
          </w:p>
        </w:tc>
        <w:tc>
          <w:tcPr>
            <w:tcW w:w="1069" w:type="dxa"/>
            <w:vMerge w:val="continue"/>
            <w:tcBorders>
              <w:top w:val="nil"/>
              <w:left w:val="single" w:color="auto" w:sz="4" w:space="0"/>
              <w:bottom w:val="single" w:color="auto" w:sz="4" w:space="0"/>
              <w:right w:val="single" w:color="auto" w:sz="4" w:space="0"/>
            </w:tcBorders>
            <w:vAlign w:val="center"/>
          </w:tcPr>
          <w:p w14:paraId="6239D9D7">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130C77D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未经建设单位审查同意使用专业劳务队或分包队</w:t>
            </w:r>
          </w:p>
        </w:tc>
        <w:tc>
          <w:tcPr>
            <w:tcW w:w="1985" w:type="dxa"/>
            <w:tcBorders>
              <w:top w:val="nil"/>
              <w:left w:val="nil"/>
              <w:bottom w:val="single" w:color="auto" w:sz="4" w:space="0"/>
              <w:right w:val="single" w:color="auto" w:sz="4" w:space="0"/>
            </w:tcBorders>
            <w:noWrap/>
            <w:vAlign w:val="bottom"/>
          </w:tcPr>
          <w:p w14:paraId="0719935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111F0D4E">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ADC9419">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5</w:t>
            </w:r>
          </w:p>
        </w:tc>
        <w:tc>
          <w:tcPr>
            <w:tcW w:w="1069" w:type="dxa"/>
            <w:vMerge w:val="continue"/>
            <w:tcBorders>
              <w:top w:val="nil"/>
              <w:left w:val="single" w:color="auto" w:sz="4" w:space="0"/>
              <w:bottom w:val="single" w:color="auto" w:sz="4" w:space="0"/>
              <w:right w:val="single" w:color="auto" w:sz="4" w:space="0"/>
            </w:tcBorders>
            <w:vAlign w:val="center"/>
          </w:tcPr>
          <w:p w14:paraId="2C32C30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43C1140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检验员、质检员、特殊工种无证上岗</w:t>
            </w:r>
          </w:p>
        </w:tc>
        <w:tc>
          <w:tcPr>
            <w:tcW w:w="1985" w:type="dxa"/>
            <w:tcBorders>
              <w:top w:val="nil"/>
              <w:left w:val="nil"/>
              <w:bottom w:val="single" w:color="auto" w:sz="4" w:space="0"/>
              <w:right w:val="single" w:color="auto" w:sz="4" w:space="0"/>
            </w:tcBorders>
            <w:noWrap/>
            <w:vAlign w:val="bottom"/>
          </w:tcPr>
          <w:p w14:paraId="59185CF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9BEA08E">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4BEC03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6</w:t>
            </w:r>
          </w:p>
        </w:tc>
        <w:tc>
          <w:tcPr>
            <w:tcW w:w="1069" w:type="dxa"/>
            <w:vMerge w:val="continue"/>
            <w:tcBorders>
              <w:top w:val="nil"/>
              <w:left w:val="single" w:color="auto" w:sz="4" w:space="0"/>
              <w:bottom w:val="single" w:color="auto" w:sz="4" w:space="0"/>
              <w:right w:val="single" w:color="auto" w:sz="4" w:space="0"/>
            </w:tcBorders>
            <w:vAlign w:val="center"/>
          </w:tcPr>
          <w:p w14:paraId="633F95A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5439A1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施工作业人员未经上岗培训，考核合格的，施工作业人员水平不能满足施工需要</w:t>
            </w:r>
          </w:p>
        </w:tc>
        <w:tc>
          <w:tcPr>
            <w:tcW w:w="1985" w:type="dxa"/>
            <w:tcBorders>
              <w:top w:val="nil"/>
              <w:left w:val="nil"/>
              <w:bottom w:val="single" w:color="auto" w:sz="4" w:space="0"/>
              <w:right w:val="single" w:color="auto" w:sz="4" w:space="0"/>
            </w:tcBorders>
            <w:noWrap/>
            <w:vAlign w:val="bottom"/>
          </w:tcPr>
          <w:p w14:paraId="674BB69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C302943">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2C290B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7</w:t>
            </w:r>
          </w:p>
        </w:tc>
        <w:tc>
          <w:tcPr>
            <w:tcW w:w="1069" w:type="dxa"/>
            <w:vMerge w:val="continue"/>
            <w:tcBorders>
              <w:top w:val="nil"/>
              <w:left w:val="single" w:color="auto" w:sz="4" w:space="0"/>
              <w:bottom w:val="single" w:color="auto" w:sz="4" w:space="0"/>
              <w:right w:val="single" w:color="auto" w:sz="4" w:space="0"/>
            </w:tcBorders>
            <w:vAlign w:val="center"/>
          </w:tcPr>
          <w:p w14:paraId="2EFB84D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E0A07A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入场设备有缺陷，或选用不当不能保证工程质量</w:t>
            </w:r>
          </w:p>
        </w:tc>
        <w:tc>
          <w:tcPr>
            <w:tcW w:w="1985" w:type="dxa"/>
            <w:tcBorders>
              <w:top w:val="nil"/>
              <w:left w:val="nil"/>
              <w:bottom w:val="single" w:color="auto" w:sz="4" w:space="0"/>
              <w:right w:val="single" w:color="auto" w:sz="4" w:space="0"/>
            </w:tcBorders>
            <w:noWrap/>
            <w:vAlign w:val="bottom"/>
          </w:tcPr>
          <w:p w14:paraId="3F589FF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706BBD0">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2448F61">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8</w:t>
            </w:r>
          </w:p>
        </w:tc>
        <w:tc>
          <w:tcPr>
            <w:tcW w:w="1069" w:type="dxa"/>
            <w:vMerge w:val="continue"/>
            <w:tcBorders>
              <w:top w:val="nil"/>
              <w:left w:val="single" w:color="auto" w:sz="4" w:space="0"/>
              <w:bottom w:val="single" w:color="auto" w:sz="4" w:space="0"/>
              <w:right w:val="single" w:color="auto" w:sz="4" w:space="0"/>
            </w:tcBorders>
            <w:vAlign w:val="center"/>
          </w:tcPr>
          <w:p w14:paraId="69970AB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47D10A4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乙供材料品牌、型号未报请建设单位同意就开始使用</w:t>
            </w:r>
          </w:p>
        </w:tc>
        <w:tc>
          <w:tcPr>
            <w:tcW w:w="1985" w:type="dxa"/>
            <w:tcBorders>
              <w:top w:val="nil"/>
              <w:left w:val="nil"/>
              <w:bottom w:val="single" w:color="auto" w:sz="4" w:space="0"/>
              <w:right w:val="single" w:color="auto" w:sz="4" w:space="0"/>
            </w:tcBorders>
            <w:noWrap/>
            <w:vAlign w:val="bottom"/>
          </w:tcPr>
          <w:p w14:paraId="3F2F093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1DAFCA10">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422264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9</w:t>
            </w:r>
          </w:p>
        </w:tc>
        <w:tc>
          <w:tcPr>
            <w:tcW w:w="1069" w:type="dxa"/>
            <w:vMerge w:val="restart"/>
            <w:tcBorders>
              <w:top w:val="nil"/>
              <w:left w:val="single" w:color="auto" w:sz="4" w:space="0"/>
              <w:bottom w:val="single" w:color="auto" w:sz="4" w:space="0"/>
              <w:right w:val="single" w:color="auto" w:sz="4" w:space="0"/>
            </w:tcBorders>
            <w:vAlign w:val="center"/>
          </w:tcPr>
          <w:p w14:paraId="1AD1940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质量控制程序</w:t>
            </w:r>
          </w:p>
        </w:tc>
        <w:tc>
          <w:tcPr>
            <w:tcW w:w="4459" w:type="dxa"/>
            <w:tcBorders>
              <w:top w:val="nil"/>
              <w:left w:val="nil"/>
              <w:bottom w:val="single" w:color="auto" w:sz="4" w:space="0"/>
              <w:right w:val="single" w:color="auto" w:sz="4" w:space="0"/>
            </w:tcBorders>
            <w:vAlign w:val="center"/>
          </w:tcPr>
          <w:p w14:paraId="4FA046F5">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工程开工报告未经批准擅自开工</w:t>
            </w:r>
          </w:p>
        </w:tc>
        <w:tc>
          <w:tcPr>
            <w:tcW w:w="1985" w:type="dxa"/>
            <w:tcBorders>
              <w:top w:val="nil"/>
              <w:left w:val="nil"/>
              <w:bottom w:val="single" w:color="auto" w:sz="4" w:space="0"/>
              <w:right w:val="single" w:color="auto" w:sz="4" w:space="0"/>
            </w:tcBorders>
            <w:noWrap/>
            <w:vAlign w:val="bottom"/>
          </w:tcPr>
          <w:p w14:paraId="52E0FA2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4DF54390">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D6D89EE">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w:t>
            </w:r>
          </w:p>
        </w:tc>
        <w:tc>
          <w:tcPr>
            <w:tcW w:w="1069" w:type="dxa"/>
            <w:vMerge w:val="continue"/>
            <w:tcBorders>
              <w:top w:val="nil"/>
              <w:left w:val="single" w:color="auto" w:sz="4" w:space="0"/>
              <w:bottom w:val="single" w:color="auto" w:sz="4" w:space="0"/>
              <w:right w:val="single" w:color="auto" w:sz="4" w:space="0"/>
            </w:tcBorders>
            <w:vAlign w:val="center"/>
          </w:tcPr>
          <w:p w14:paraId="09B53A84">
            <w:pPr>
              <w:widowControl/>
              <w:jc w:val="left"/>
              <w:rPr>
                <w:rFonts w:ascii="等线" w:hAnsi="等线" w:eastAsia="等线" w:cs="宋体"/>
                <w:color w:val="auto"/>
                <w:kern w:val="0"/>
                <w:szCs w:val="21"/>
                <w:highlight w:val="none"/>
              </w:rPr>
            </w:pPr>
          </w:p>
        </w:tc>
        <w:tc>
          <w:tcPr>
            <w:tcW w:w="4459" w:type="dxa"/>
            <w:tcBorders>
              <w:top w:val="nil"/>
              <w:left w:val="nil"/>
              <w:bottom w:val="nil"/>
              <w:right w:val="nil"/>
            </w:tcBorders>
            <w:vAlign w:val="bottom"/>
          </w:tcPr>
          <w:p w14:paraId="41C58D9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交接桩、施工复测及测量控制网资料不齐全</w:t>
            </w:r>
          </w:p>
        </w:tc>
        <w:tc>
          <w:tcPr>
            <w:tcW w:w="1985" w:type="dxa"/>
            <w:tcBorders>
              <w:top w:val="nil"/>
              <w:left w:val="single" w:color="auto" w:sz="4" w:space="0"/>
              <w:bottom w:val="single" w:color="auto" w:sz="4" w:space="0"/>
              <w:right w:val="single" w:color="auto" w:sz="4" w:space="0"/>
            </w:tcBorders>
            <w:noWrap/>
            <w:vAlign w:val="bottom"/>
          </w:tcPr>
          <w:p w14:paraId="32867BD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18349D0">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68717CC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11</w:t>
            </w:r>
          </w:p>
        </w:tc>
        <w:tc>
          <w:tcPr>
            <w:tcW w:w="1069" w:type="dxa"/>
            <w:vMerge w:val="continue"/>
            <w:tcBorders>
              <w:top w:val="nil"/>
              <w:left w:val="single" w:color="auto" w:sz="4" w:space="0"/>
              <w:bottom w:val="single" w:color="auto" w:sz="4" w:space="0"/>
              <w:right w:val="single" w:color="auto" w:sz="4" w:space="0"/>
            </w:tcBorders>
            <w:vAlign w:val="center"/>
          </w:tcPr>
          <w:p w14:paraId="0C1BD70E">
            <w:pPr>
              <w:widowControl/>
              <w:jc w:val="left"/>
              <w:rPr>
                <w:rFonts w:ascii="等线" w:hAnsi="等线" w:eastAsia="等线" w:cs="宋体"/>
                <w:color w:val="auto"/>
                <w:kern w:val="0"/>
                <w:szCs w:val="21"/>
                <w:highlight w:val="none"/>
              </w:rPr>
            </w:pPr>
          </w:p>
        </w:tc>
        <w:tc>
          <w:tcPr>
            <w:tcW w:w="4459" w:type="dxa"/>
            <w:tcBorders>
              <w:top w:val="single" w:color="auto" w:sz="4" w:space="0"/>
              <w:left w:val="nil"/>
              <w:bottom w:val="single" w:color="auto" w:sz="4" w:space="0"/>
              <w:right w:val="single" w:color="auto" w:sz="4" w:space="0"/>
            </w:tcBorders>
            <w:vAlign w:val="center"/>
          </w:tcPr>
          <w:p w14:paraId="07E38D40">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图纸未经设计方或业主方认可，未经会审、会签，擅自施工</w:t>
            </w:r>
          </w:p>
        </w:tc>
        <w:tc>
          <w:tcPr>
            <w:tcW w:w="1985" w:type="dxa"/>
            <w:tcBorders>
              <w:top w:val="nil"/>
              <w:left w:val="nil"/>
              <w:bottom w:val="single" w:color="auto" w:sz="4" w:space="0"/>
              <w:right w:val="single" w:color="auto" w:sz="4" w:space="0"/>
            </w:tcBorders>
            <w:noWrap/>
            <w:vAlign w:val="bottom"/>
          </w:tcPr>
          <w:p w14:paraId="7790E53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D60C721">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28925E6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12</w:t>
            </w:r>
          </w:p>
        </w:tc>
        <w:tc>
          <w:tcPr>
            <w:tcW w:w="1069" w:type="dxa"/>
            <w:vMerge w:val="continue"/>
            <w:tcBorders>
              <w:top w:val="nil"/>
              <w:left w:val="single" w:color="auto" w:sz="4" w:space="0"/>
              <w:bottom w:val="single" w:color="auto" w:sz="4" w:space="0"/>
              <w:right w:val="single" w:color="auto" w:sz="4" w:space="0"/>
            </w:tcBorders>
            <w:vAlign w:val="center"/>
          </w:tcPr>
          <w:p w14:paraId="282955B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46B0FAA8">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未按照设计图纸进行施工，擅自变更设计或图纸进行施工，设计变更（变更设计）未会签完，擅自施工</w:t>
            </w:r>
          </w:p>
        </w:tc>
        <w:tc>
          <w:tcPr>
            <w:tcW w:w="1985" w:type="dxa"/>
            <w:tcBorders>
              <w:top w:val="nil"/>
              <w:left w:val="nil"/>
              <w:bottom w:val="single" w:color="auto" w:sz="4" w:space="0"/>
              <w:right w:val="single" w:color="auto" w:sz="4" w:space="0"/>
            </w:tcBorders>
            <w:noWrap/>
            <w:vAlign w:val="bottom"/>
          </w:tcPr>
          <w:p w14:paraId="09566C1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5810948">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7826A824">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13</w:t>
            </w:r>
          </w:p>
        </w:tc>
        <w:tc>
          <w:tcPr>
            <w:tcW w:w="1069" w:type="dxa"/>
            <w:vMerge w:val="continue"/>
            <w:tcBorders>
              <w:top w:val="nil"/>
              <w:left w:val="single" w:color="auto" w:sz="4" w:space="0"/>
              <w:bottom w:val="single" w:color="auto" w:sz="4" w:space="0"/>
              <w:right w:val="single" w:color="auto" w:sz="4" w:space="0"/>
            </w:tcBorders>
            <w:vAlign w:val="center"/>
          </w:tcPr>
          <w:p w14:paraId="47EDE303">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610859A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有设计变更而未按照变更施工的</w:t>
            </w:r>
          </w:p>
        </w:tc>
        <w:tc>
          <w:tcPr>
            <w:tcW w:w="1985" w:type="dxa"/>
            <w:tcBorders>
              <w:top w:val="nil"/>
              <w:left w:val="nil"/>
              <w:bottom w:val="single" w:color="auto" w:sz="4" w:space="0"/>
              <w:right w:val="single" w:color="auto" w:sz="4" w:space="0"/>
            </w:tcBorders>
            <w:noWrap/>
            <w:vAlign w:val="bottom"/>
          </w:tcPr>
          <w:p w14:paraId="7AF8867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88D5159">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B8A7B5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14</w:t>
            </w:r>
          </w:p>
        </w:tc>
        <w:tc>
          <w:tcPr>
            <w:tcW w:w="1069" w:type="dxa"/>
            <w:vMerge w:val="continue"/>
            <w:tcBorders>
              <w:top w:val="nil"/>
              <w:left w:val="single" w:color="auto" w:sz="4" w:space="0"/>
              <w:bottom w:val="single" w:color="auto" w:sz="4" w:space="0"/>
              <w:right w:val="single" w:color="auto" w:sz="4" w:space="0"/>
            </w:tcBorders>
            <w:vAlign w:val="center"/>
          </w:tcPr>
          <w:p w14:paraId="1615966B">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CF2E87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材料入场检验记录不全或记录作假</w:t>
            </w:r>
          </w:p>
        </w:tc>
        <w:tc>
          <w:tcPr>
            <w:tcW w:w="1985" w:type="dxa"/>
            <w:tcBorders>
              <w:top w:val="nil"/>
              <w:left w:val="nil"/>
              <w:bottom w:val="single" w:color="auto" w:sz="4" w:space="0"/>
              <w:right w:val="single" w:color="auto" w:sz="4" w:space="0"/>
            </w:tcBorders>
            <w:noWrap/>
            <w:vAlign w:val="bottom"/>
          </w:tcPr>
          <w:p w14:paraId="18E0A46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8095284">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5716060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15</w:t>
            </w:r>
          </w:p>
        </w:tc>
        <w:tc>
          <w:tcPr>
            <w:tcW w:w="1069" w:type="dxa"/>
            <w:vMerge w:val="continue"/>
            <w:tcBorders>
              <w:top w:val="nil"/>
              <w:left w:val="single" w:color="auto" w:sz="4" w:space="0"/>
              <w:bottom w:val="single" w:color="auto" w:sz="4" w:space="0"/>
              <w:right w:val="single" w:color="auto" w:sz="4" w:space="0"/>
            </w:tcBorders>
            <w:vAlign w:val="center"/>
          </w:tcPr>
          <w:p w14:paraId="6240D10E">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3AE94DE8">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使用的原材料、成品、半成品、预制构件及外构件，无出厂合格证件、或按规定应复试而未复试，未经报验而擅自使用</w:t>
            </w:r>
          </w:p>
        </w:tc>
        <w:tc>
          <w:tcPr>
            <w:tcW w:w="1985" w:type="dxa"/>
            <w:tcBorders>
              <w:top w:val="nil"/>
              <w:left w:val="nil"/>
              <w:bottom w:val="single" w:color="auto" w:sz="4" w:space="0"/>
              <w:right w:val="single" w:color="auto" w:sz="4" w:space="0"/>
            </w:tcBorders>
            <w:noWrap/>
            <w:vAlign w:val="bottom"/>
          </w:tcPr>
          <w:p w14:paraId="6DC4D94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E5EC826">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CA83694">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16</w:t>
            </w:r>
          </w:p>
        </w:tc>
        <w:tc>
          <w:tcPr>
            <w:tcW w:w="1069" w:type="dxa"/>
            <w:vMerge w:val="continue"/>
            <w:tcBorders>
              <w:top w:val="nil"/>
              <w:left w:val="single" w:color="auto" w:sz="4" w:space="0"/>
              <w:bottom w:val="single" w:color="auto" w:sz="4" w:space="0"/>
              <w:right w:val="single" w:color="auto" w:sz="4" w:space="0"/>
            </w:tcBorders>
            <w:vAlign w:val="center"/>
          </w:tcPr>
          <w:p w14:paraId="4D000B75">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4521524C">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凡属监理单位规定应见证取样的项目，未通知擅自取样者</w:t>
            </w:r>
          </w:p>
        </w:tc>
        <w:tc>
          <w:tcPr>
            <w:tcW w:w="1985" w:type="dxa"/>
            <w:tcBorders>
              <w:top w:val="nil"/>
              <w:left w:val="nil"/>
              <w:bottom w:val="single" w:color="auto" w:sz="4" w:space="0"/>
              <w:right w:val="single" w:color="auto" w:sz="4" w:space="0"/>
            </w:tcBorders>
            <w:noWrap/>
            <w:vAlign w:val="bottom"/>
          </w:tcPr>
          <w:p w14:paraId="252CA06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4C6EDAB4">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058B76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17</w:t>
            </w:r>
          </w:p>
        </w:tc>
        <w:tc>
          <w:tcPr>
            <w:tcW w:w="1069" w:type="dxa"/>
            <w:vMerge w:val="continue"/>
            <w:tcBorders>
              <w:top w:val="nil"/>
              <w:left w:val="single" w:color="auto" w:sz="4" w:space="0"/>
              <w:bottom w:val="single" w:color="auto" w:sz="4" w:space="0"/>
              <w:right w:val="single" w:color="auto" w:sz="4" w:space="0"/>
            </w:tcBorders>
            <w:vAlign w:val="center"/>
          </w:tcPr>
          <w:p w14:paraId="6740E02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4EA6996B">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工序完成后应进行检验未经检验，擅自进行下步工序施工的</w:t>
            </w:r>
          </w:p>
        </w:tc>
        <w:tc>
          <w:tcPr>
            <w:tcW w:w="1985" w:type="dxa"/>
            <w:tcBorders>
              <w:top w:val="nil"/>
              <w:left w:val="nil"/>
              <w:bottom w:val="single" w:color="auto" w:sz="4" w:space="0"/>
              <w:right w:val="single" w:color="auto" w:sz="4" w:space="0"/>
            </w:tcBorders>
            <w:noWrap/>
            <w:vAlign w:val="bottom"/>
          </w:tcPr>
          <w:p w14:paraId="7E53D7D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49C29B43">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8099ABB">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18</w:t>
            </w:r>
          </w:p>
        </w:tc>
        <w:tc>
          <w:tcPr>
            <w:tcW w:w="1069" w:type="dxa"/>
            <w:vMerge w:val="continue"/>
            <w:tcBorders>
              <w:top w:val="nil"/>
              <w:left w:val="single" w:color="auto" w:sz="4" w:space="0"/>
              <w:bottom w:val="single" w:color="auto" w:sz="4" w:space="0"/>
              <w:right w:val="single" w:color="auto" w:sz="4" w:space="0"/>
            </w:tcBorders>
            <w:vAlign w:val="center"/>
          </w:tcPr>
          <w:p w14:paraId="2412567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5E4F1A23">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施工组织设计、施工技术方案、环境保护方案及施工进程控制文件无审批</w:t>
            </w:r>
          </w:p>
        </w:tc>
        <w:tc>
          <w:tcPr>
            <w:tcW w:w="1985" w:type="dxa"/>
            <w:tcBorders>
              <w:top w:val="nil"/>
              <w:left w:val="nil"/>
              <w:bottom w:val="single" w:color="auto" w:sz="4" w:space="0"/>
              <w:right w:val="single" w:color="auto" w:sz="4" w:space="0"/>
            </w:tcBorders>
            <w:noWrap/>
            <w:vAlign w:val="bottom"/>
          </w:tcPr>
          <w:p w14:paraId="1312659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9807562">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1EF3E231">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19</w:t>
            </w:r>
          </w:p>
        </w:tc>
        <w:tc>
          <w:tcPr>
            <w:tcW w:w="1069" w:type="dxa"/>
            <w:vMerge w:val="continue"/>
            <w:tcBorders>
              <w:top w:val="nil"/>
              <w:left w:val="single" w:color="auto" w:sz="4" w:space="0"/>
              <w:bottom w:val="single" w:color="auto" w:sz="4" w:space="0"/>
              <w:right w:val="single" w:color="auto" w:sz="4" w:space="0"/>
            </w:tcBorders>
            <w:vAlign w:val="center"/>
          </w:tcPr>
          <w:p w14:paraId="5AE401DE">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62B317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各作业项目施工前未按要求编制作业指导书（包括现场质量计划措施）或没有进行技术交底的项目</w:t>
            </w:r>
          </w:p>
        </w:tc>
        <w:tc>
          <w:tcPr>
            <w:tcW w:w="1985" w:type="dxa"/>
            <w:tcBorders>
              <w:top w:val="nil"/>
              <w:left w:val="nil"/>
              <w:bottom w:val="single" w:color="auto" w:sz="4" w:space="0"/>
              <w:right w:val="single" w:color="auto" w:sz="4" w:space="0"/>
            </w:tcBorders>
            <w:noWrap/>
            <w:vAlign w:val="bottom"/>
          </w:tcPr>
          <w:p w14:paraId="4CDFBDD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0976B6F">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4C1EBE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20</w:t>
            </w:r>
          </w:p>
        </w:tc>
        <w:tc>
          <w:tcPr>
            <w:tcW w:w="1069" w:type="dxa"/>
            <w:vMerge w:val="continue"/>
            <w:tcBorders>
              <w:top w:val="nil"/>
              <w:left w:val="single" w:color="auto" w:sz="4" w:space="0"/>
              <w:bottom w:val="single" w:color="auto" w:sz="4" w:space="0"/>
              <w:right w:val="single" w:color="auto" w:sz="4" w:space="0"/>
            </w:tcBorders>
            <w:vAlign w:val="center"/>
          </w:tcPr>
          <w:p w14:paraId="61738EF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3064761D">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已开工项目未经交底或无书面交底手续者</w:t>
            </w:r>
          </w:p>
        </w:tc>
        <w:tc>
          <w:tcPr>
            <w:tcW w:w="1985" w:type="dxa"/>
            <w:tcBorders>
              <w:top w:val="nil"/>
              <w:left w:val="nil"/>
              <w:bottom w:val="single" w:color="auto" w:sz="4" w:space="0"/>
              <w:right w:val="single" w:color="auto" w:sz="4" w:space="0"/>
            </w:tcBorders>
            <w:noWrap/>
            <w:vAlign w:val="bottom"/>
          </w:tcPr>
          <w:p w14:paraId="7D4605E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3DC52CD">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4791BA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21</w:t>
            </w:r>
          </w:p>
        </w:tc>
        <w:tc>
          <w:tcPr>
            <w:tcW w:w="1069" w:type="dxa"/>
            <w:vMerge w:val="continue"/>
            <w:tcBorders>
              <w:top w:val="nil"/>
              <w:left w:val="single" w:color="auto" w:sz="4" w:space="0"/>
              <w:bottom w:val="single" w:color="auto" w:sz="4" w:space="0"/>
              <w:right w:val="single" w:color="auto" w:sz="4" w:space="0"/>
            </w:tcBorders>
            <w:vAlign w:val="center"/>
          </w:tcPr>
          <w:p w14:paraId="645A4C0C">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319EFFB3">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未按施工技术措施（或技术交底）执行或执行不力的</w:t>
            </w:r>
          </w:p>
        </w:tc>
        <w:tc>
          <w:tcPr>
            <w:tcW w:w="1985" w:type="dxa"/>
            <w:tcBorders>
              <w:top w:val="nil"/>
              <w:left w:val="nil"/>
              <w:bottom w:val="single" w:color="auto" w:sz="4" w:space="0"/>
              <w:right w:val="single" w:color="auto" w:sz="4" w:space="0"/>
            </w:tcBorders>
            <w:noWrap/>
            <w:vAlign w:val="bottom"/>
          </w:tcPr>
          <w:p w14:paraId="2D9952E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564EE63">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042B50BB">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22</w:t>
            </w:r>
          </w:p>
        </w:tc>
        <w:tc>
          <w:tcPr>
            <w:tcW w:w="1069" w:type="dxa"/>
            <w:vMerge w:val="continue"/>
            <w:tcBorders>
              <w:top w:val="nil"/>
              <w:left w:val="single" w:color="auto" w:sz="4" w:space="0"/>
              <w:bottom w:val="single" w:color="auto" w:sz="4" w:space="0"/>
              <w:right w:val="single" w:color="auto" w:sz="4" w:space="0"/>
            </w:tcBorders>
            <w:vAlign w:val="center"/>
          </w:tcPr>
          <w:p w14:paraId="12700D6B">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1ABE1ECF">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隐蔽工程未经验收擅自或强行隐蔽</w:t>
            </w:r>
          </w:p>
        </w:tc>
        <w:tc>
          <w:tcPr>
            <w:tcW w:w="1985" w:type="dxa"/>
            <w:tcBorders>
              <w:top w:val="nil"/>
              <w:left w:val="nil"/>
              <w:bottom w:val="single" w:color="auto" w:sz="4" w:space="0"/>
              <w:right w:val="single" w:color="auto" w:sz="4" w:space="0"/>
            </w:tcBorders>
            <w:noWrap/>
            <w:vAlign w:val="bottom"/>
          </w:tcPr>
          <w:p w14:paraId="0EBA2BA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3ADB5328">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0BE26A1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23</w:t>
            </w:r>
          </w:p>
        </w:tc>
        <w:tc>
          <w:tcPr>
            <w:tcW w:w="1069" w:type="dxa"/>
            <w:vMerge w:val="continue"/>
            <w:tcBorders>
              <w:top w:val="nil"/>
              <w:left w:val="single" w:color="auto" w:sz="4" w:space="0"/>
              <w:bottom w:val="single" w:color="auto" w:sz="4" w:space="0"/>
              <w:right w:val="single" w:color="auto" w:sz="4" w:space="0"/>
            </w:tcBorders>
            <w:vAlign w:val="center"/>
          </w:tcPr>
          <w:p w14:paraId="7E9BAD98">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32D97EC9">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质量过程日志、记录、签证不齐全、造假记录或靠事后补记录者</w:t>
            </w:r>
          </w:p>
        </w:tc>
        <w:tc>
          <w:tcPr>
            <w:tcW w:w="1985" w:type="dxa"/>
            <w:tcBorders>
              <w:top w:val="nil"/>
              <w:left w:val="nil"/>
              <w:bottom w:val="single" w:color="auto" w:sz="4" w:space="0"/>
              <w:right w:val="single" w:color="auto" w:sz="4" w:space="0"/>
            </w:tcBorders>
            <w:noWrap/>
            <w:vAlign w:val="bottom"/>
          </w:tcPr>
          <w:p w14:paraId="3F986F1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0C62FF1">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8A7E36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24</w:t>
            </w:r>
          </w:p>
        </w:tc>
        <w:tc>
          <w:tcPr>
            <w:tcW w:w="1069" w:type="dxa"/>
            <w:vMerge w:val="restart"/>
            <w:tcBorders>
              <w:top w:val="nil"/>
              <w:left w:val="single" w:color="auto" w:sz="4" w:space="0"/>
              <w:bottom w:val="single" w:color="auto" w:sz="4" w:space="0"/>
              <w:right w:val="single" w:color="auto" w:sz="4" w:space="0"/>
            </w:tcBorders>
            <w:vAlign w:val="center"/>
          </w:tcPr>
          <w:p w14:paraId="5F8C24B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现场质量管理</w:t>
            </w:r>
          </w:p>
        </w:tc>
        <w:tc>
          <w:tcPr>
            <w:tcW w:w="4459" w:type="dxa"/>
            <w:tcBorders>
              <w:top w:val="nil"/>
              <w:left w:val="nil"/>
              <w:bottom w:val="single" w:color="auto" w:sz="4" w:space="0"/>
              <w:right w:val="single" w:color="auto" w:sz="4" w:space="0"/>
            </w:tcBorders>
            <w:vAlign w:val="bottom"/>
          </w:tcPr>
          <w:p w14:paraId="629EDE5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监理单位组织的质量管理体系及现场实物质量检查提出问题，责任单位在规定期限内未完成</w:t>
            </w:r>
          </w:p>
        </w:tc>
        <w:tc>
          <w:tcPr>
            <w:tcW w:w="1985" w:type="dxa"/>
            <w:tcBorders>
              <w:top w:val="nil"/>
              <w:left w:val="nil"/>
              <w:bottom w:val="single" w:color="auto" w:sz="4" w:space="0"/>
              <w:right w:val="single" w:color="auto" w:sz="4" w:space="0"/>
            </w:tcBorders>
            <w:noWrap/>
            <w:vAlign w:val="bottom"/>
          </w:tcPr>
          <w:p w14:paraId="7B3F3BE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18FAED8">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18AA19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25</w:t>
            </w:r>
          </w:p>
        </w:tc>
        <w:tc>
          <w:tcPr>
            <w:tcW w:w="1069" w:type="dxa"/>
            <w:vMerge w:val="continue"/>
            <w:tcBorders>
              <w:top w:val="nil"/>
              <w:left w:val="single" w:color="auto" w:sz="4" w:space="0"/>
              <w:bottom w:val="single" w:color="auto" w:sz="4" w:space="0"/>
              <w:right w:val="single" w:color="auto" w:sz="4" w:space="0"/>
            </w:tcBorders>
            <w:vAlign w:val="center"/>
          </w:tcPr>
          <w:p w14:paraId="61DA096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351568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不按照规程、标准及作业指导书进行施工，造成质量缺陷的</w:t>
            </w:r>
          </w:p>
        </w:tc>
        <w:tc>
          <w:tcPr>
            <w:tcW w:w="1985" w:type="dxa"/>
            <w:tcBorders>
              <w:top w:val="nil"/>
              <w:left w:val="nil"/>
              <w:bottom w:val="single" w:color="auto" w:sz="4" w:space="0"/>
              <w:right w:val="single" w:color="auto" w:sz="4" w:space="0"/>
            </w:tcBorders>
            <w:noWrap/>
            <w:vAlign w:val="bottom"/>
          </w:tcPr>
          <w:p w14:paraId="053282B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5B0365A">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1F339AE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26</w:t>
            </w:r>
          </w:p>
        </w:tc>
        <w:tc>
          <w:tcPr>
            <w:tcW w:w="1069" w:type="dxa"/>
            <w:vMerge w:val="continue"/>
            <w:tcBorders>
              <w:top w:val="nil"/>
              <w:left w:val="single" w:color="auto" w:sz="4" w:space="0"/>
              <w:bottom w:val="single" w:color="auto" w:sz="4" w:space="0"/>
              <w:right w:val="single" w:color="auto" w:sz="4" w:space="0"/>
            </w:tcBorders>
            <w:vAlign w:val="center"/>
          </w:tcPr>
          <w:p w14:paraId="6841D0D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99BA84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野蛮施工造成后果的</w:t>
            </w:r>
          </w:p>
        </w:tc>
        <w:tc>
          <w:tcPr>
            <w:tcW w:w="1985" w:type="dxa"/>
            <w:tcBorders>
              <w:top w:val="nil"/>
              <w:left w:val="nil"/>
              <w:bottom w:val="single" w:color="auto" w:sz="4" w:space="0"/>
              <w:right w:val="single" w:color="auto" w:sz="4" w:space="0"/>
            </w:tcBorders>
            <w:noWrap/>
            <w:vAlign w:val="bottom"/>
          </w:tcPr>
          <w:p w14:paraId="487810C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D93DE2A">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C7A9AFB">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27</w:t>
            </w:r>
          </w:p>
        </w:tc>
        <w:tc>
          <w:tcPr>
            <w:tcW w:w="1069" w:type="dxa"/>
            <w:vMerge w:val="continue"/>
            <w:tcBorders>
              <w:top w:val="nil"/>
              <w:left w:val="single" w:color="auto" w:sz="4" w:space="0"/>
              <w:bottom w:val="single" w:color="auto" w:sz="4" w:space="0"/>
              <w:right w:val="single" w:color="auto" w:sz="4" w:space="0"/>
            </w:tcBorders>
            <w:vAlign w:val="center"/>
          </w:tcPr>
          <w:p w14:paraId="22BB3B0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33A4BC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发生质量问题，隐瞒不报或未经监理单位许可，擅自掩盖或处理</w:t>
            </w:r>
          </w:p>
        </w:tc>
        <w:tc>
          <w:tcPr>
            <w:tcW w:w="1985" w:type="dxa"/>
            <w:tcBorders>
              <w:top w:val="nil"/>
              <w:left w:val="nil"/>
              <w:bottom w:val="single" w:color="auto" w:sz="4" w:space="0"/>
              <w:right w:val="single" w:color="auto" w:sz="4" w:space="0"/>
            </w:tcBorders>
            <w:noWrap/>
            <w:vAlign w:val="bottom"/>
          </w:tcPr>
          <w:p w14:paraId="1489DF7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0E3F07F">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0FACA379">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28</w:t>
            </w:r>
          </w:p>
        </w:tc>
        <w:tc>
          <w:tcPr>
            <w:tcW w:w="1069" w:type="dxa"/>
            <w:vMerge w:val="continue"/>
            <w:tcBorders>
              <w:top w:val="nil"/>
              <w:left w:val="single" w:color="auto" w:sz="4" w:space="0"/>
              <w:bottom w:val="single" w:color="auto" w:sz="4" w:space="0"/>
              <w:right w:val="single" w:color="auto" w:sz="4" w:space="0"/>
            </w:tcBorders>
            <w:vAlign w:val="center"/>
          </w:tcPr>
          <w:p w14:paraId="661ED1D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5FF3113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对重复出现类似质量问题，没有得到有效改进</w:t>
            </w:r>
          </w:p>
        </w:tc>
        <w:tc>
          <w:tcPr>
            <w:tcW w:w="1985" w:type="dxa"/>
            <w:tcBorders>
              <w:top w:val="nil"/>
              <w:left w:val="nil"/>
              <w:bottom w:val="single" w:color="auto" w:sz="4" w:space="0"/>
              <w:right w:val="single" w:color="auto" w:sz="4" w:space="0"/>
            </w:tcBorders>
            <w:noWrap/>
            <w:vAlign w:val="bottom"/>
          </w:tcPr>
          <w:p w14:paraId="6CB955C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7952473B">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F8D475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29</w:t>
            </w:r>
          </w:p>
        </w:tc>
        <w:tc>
          <w:tcPr>
            <w:tcW w:w="1069" w:type="dxa"/>
            <w:vMerge w:val="continue"/>
            <w:tcBorders>
              <w:top w:val="nil"/>
              <w:left w:val="single" w:color="auto" w:sz="4" w:space="0"/>
              <w:bottom w:val="single" w:color="auto" w:sz="4" w:space="0"/>
              <w:right w:val="single" w:color="auto" w:sz="4" w:space="0"/>
            </w:tcBorders>
            <w:vAlign w:val="center"/>
          </w:tcPr>
          <w:p w14:paraId="222202ED">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6FF623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在施工过程中不服从工程部业主代表、监理工程师的正确指导，态度恶劣的</w:t>
            </w:r>
          </w:p>
        </w:tc>
        <w:tc>
          <w:tcPr>
            <w:tcW w:w="1985" w:type="dxa"/>
            <w:tcBorders>
              <w:top w:val="nil"/>
              <w:left w:val="nil"/>
              <w:bottom w:val="single" w:color="auto" w:sz="4" w:space="0"/>
              <w:right w:val="single" w:color="auto" w:sz="4" w:space="0"/>
            </w:tcBorders>
            <w:noWrap/>
            <w:vAlign w:val="bottom"/>
          </w:tcPr>
          <w:p w14:paraId="6F19FD1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DEE16FB">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3BBD8FE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w:t>
            </w:r>
          </w:p>
        </w:tc>
        <w:tc>
          <w:tcPr>
            <w:tcW w:w="1069" w:type="dxa"/>
            <w:vMerge w:val="restart"/>
            <w:tcBorders>
              <w:top w:val="nil"/>
              <w:left w:val="single" w:color="auto" w:sz="4" w:space="0"/>
              <w:bottom w:val="single" w:color="000000" w:sz="4" w:space="0"/>
              <w:right w:val="single" w:color="auto" w:sz="4" w:space="0"/>
            </w:tcBorders>
            <w:vAlign w:val="center"/>
          </w:tcPr>
          <w:p w14:paraId="66DC8B1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成品保护</w:t>
            </w:r>
          </w:p>
        </w:tc>
        <w:tc>
          <w:tcPr>
            <w:tcW w:w="4459" w:type="dxa"/>
            <w:tcBorders>
              <w:top w:val="nil"/>
              <w:left w:val="nil"/>
              <w:bottom w:val="single" w:color="auto" w:sz="4" w:space="0"/>
              <w:right w:val="single" w:color="auto" w:sz="4" w:space="0"/>
            </w:tcBorders>
            <w:vAlign w:val="bottom"/>
          </w:tcPr>
          <w:p w14:paraId="6390B003">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对野蛮施工，造成破坏的</w:t>
            </w:r>
          </w:p>
        </w:tc>
        <w:tc>
          <w:tcPr>
            <w:tcW w:w="1985" w:type="dxa"/>
            <w:tcBorders>
              <w:top w:val="nil"/>
              <w:left w:val="nil"/>
              <w:bottom w:val="single" w:color="auto" w:sz="4" w:space="0"/>
              <w:right w:val="single" w:color="auto" w:sz="4" w:space="0"/>
            </w:tcBorders>
            <w:noWrap/>
            <w:vAlign w:val="bottom"/>
          </w:tcPr>
          <w:p w14:paraId="6BD489F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r w14:paraId="0DDD604E">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776319A9">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31</w:t>
            </w:r>
          </w:p>
        </w:tc>
        <w:tc>
          <w:tcPr>
            <w:tcW w:w="1069" w:type="dxa"/>
            <w:vMerge w:val="continue"/>
            <w:tcBorders>
              <w:top w:val="nil"/>
              <w:left w:val="single" w:color="auto" w:sz="4" w:space="0"/>
              <w:bottom w:val="single" w:color="000000" w:sz="4" w:space="0"/>
              <w:right w:val="single" w:color="auto" w:sz="4" w:space="0"/>
            </w:tcBorders>
            <w:vAlign w:val="center"/>
          </w:tcPr>
          <w:p w14:paraId="40FFCD4B">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99685D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未落实成品保护交底、交接手续、设置警告、警示标识、围挡的</w:t>
            </w:r>
          </w:p>
        </w:tc>
        <w:tc>
          <w:tcPr>
            <w:tcW w:w="1985" w:type="dxa"/>
            <w:tcBorders>
              <w:top w:val="nil"/>
              <w:left w:val="nil"/>
              <w:bottom w:val="single" w:color="auto" w:sz="4" w:space="0"/>
              <w:right w:val="single" w:color="auto" w:sz="4" w:space="0"/>
            </w:tcBorders>
            <w:noWrap/>
            <w:vAlign w:val="bottom"/>
          </w:tcPr>
          <w:p w14:paraId="158C3C1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88FE48A">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3FEE40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32</w:t>
            </w:r>
          </w:p>
        </w:tc>
        <w:tc>
          <w:tcPr>
            <w:tcW w:w="1069" w:type="dxa"/>
            <w:vMerge w:val="continue"/>
            <w:tcBorders>
              <w:top w:val="nil"/>
              <w:left w:val="single" w:color="auto" w:sz="4" w:space="0"/>
              <w:bottom w:val="single" w:color="000000" w:sz="4" w:space="0"/>
              <w:right w:val="single" w:color="auto" w:sz="4" w:space="0"/>
            </w:tcBorders>
            <w:vAlign w:val="center"/>
          </w:tcPr>
          <w:p w14:paraId="6EF72A3D">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E8CEA1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成品保护措施不力，造成成品损毁、破坏的，应赔偿损失并处责任单位违约金3000~10000元；</w:t>
            </w:r>
          </w:p>
        </w:tc>
        <w:tc>
          <w:tcPr>
            <w:tcW w:w="1985" w:type="dxa"/>
            <w:tcBorders>
              <w:top w:val="nil"/>
              <w:left w:val="nil"/>
              <w:bottom w:val="single" w:color="auto" w:sz="4" w:space="0"/>
              <w:right w:val="single" w:color="auto" w:sz="4" w:space="0"/>
            </w:tcBorders>
            <w:noWrap/>
            <w:vAlign w:val="bottom"/>
          </w:tcPr>
          <w:p w14:paraId="024595B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r w14:paraId="2DEA9398">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663C77B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33</w:t>
            </w:r>
          </w:p>
        </w:tc>
        <w:tc>
          <w:tcPr>
            <w:tcW w:w="1069" w:type="dxa"/>
            <w:vMerge w:val="continue"/>
            <w:tcBorders>
              <w:top w:val="nil"/>
              <w:left w:val="single" w:color="auto" w:sz="4" w:space="0"/>
              <w:bottom w:val="single" w:color="000000" w:sz="4" w:space="0"/>
              <w:right w:val="single" w:color="auto" w:sz="4" w:space="0"/>
            </w:tcBorders>
            <w:vAlign w:val="center"/>
          </w:tcPr>
          <w:p w14:paraId="73871AB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2004D12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完工交接前，未尽到检查责任，发生成品损毁、破坏的，由原施工单位负责修复，处责任单位违约金3000~10000元。</w:t>
            </w:r>
          </w:p>
        </w:tc>
        <w:tc>
          <w:tcPr>
            <w:tcW w:w="1985" w:type="dxa"/>
            <w:tcBorders>
              <w:top w:val="nil"/>
              <w:left w:val="nil"/>
              <w:bottom w:val="single" w:color="auto" w:sz="4" w:space="0"/>
              <w:right w:val="single" w:color="auto" w:sz="4" w:space="0"/>
            </w:tcBorders>
            <w:noWrap/>
            <w:vAlign w:val="bottom"/>
          </w:tcPr>
          <w:p w14:paraId="5359DE1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bl>
    <w:p w14:paraId="5DC405A6">
      <w:pPr>
        <w:rPr>
          <w:color w:val="auto"/>
          <w:highlight w:val="none"/>
        </w:rPr>
      </w:pPr>
    </w:p>
    <w:p w14:paraId="3B37C1B0">
      <w:pPr>
        <w:rPr>
          <w:color w:val="auto"/>
          <w:highlight w:val="none"/>
        </w:rPr>
      </w:pPr>
    </w:p>
    <w:p w14:paraId="18BD112D">
      <w:pPr>
        <w:rPr>
          <w:color w:val="auto"/>
          <w:highlight w:val="none"/>
        </w:rPr>
      </w:pPr>
    </w:p>
    <w:p w14:paraId="5D41C74A">
      <w:pPr>
        <w:rPr>
          <w:color w:val="auto"/>
          <w:highlight w:val="none"/>
        </w:rPr>
      </w:pPr>
    </w:p>
    <w:p w14:paraId="738012C0">
      <w:pPr>
        <w:rPr>
          <w:color w:val="auto"/>
          <w:highlight w:val="none"/>
        </w:rPr>
      </w:pPr>
    </w:p>
    <w:p w14:paraId="60D7530A">
      <w:pPr>
        <w:rPr>
          <w:color w:val="auto"/>
          <w:highlight w:val="none"/>
        </w:rPr>
      </w:pPr>
    </w:p>
    <w:p w14:paraId="5F11F098">
      <w:pPr>
        <w:rPr>
          <w:color w:val="auto"/>
          <w:highlight w:val="none"/>
        </w:rPr>
      </w:pPr>
    </w:p>
    <w:p w14:paraId="6D9B8396">
      <w:pPr>
        <w:rPr>
          <w:color w:val="auto"/>
          <w:highlight w:val="none"/>
        </w:rPr>
      </w:pPr>
    </w:p>
    <w:p w14:paraId="11B7CD42">
      <w:pPr>
        <w:rPr>
          <w:color w:val="auto"/>
          <w:highlight w:val="none"/>
        </w:rPr>
      </w:pPr>
    </w:p>
    <w:p w14:paraId="1F838576">
      <w:pPr>
        <w:rPr>
          <w:color w:val="auto"/>
          <w:highlight w:val="none"/>
        </w:rPr>
      </w:pPr>
    </w:p>
    <w:p w14:paraId="28DCE9E7">
      <w:pPr>
        <w:rPr>
          <w:color w:val="auto"/>
          <w:highlight w:val="none"/>
        </w:rPr>
      </w:pPr>
    </w:p>
    <w:p w14:paraId="1914B47F">
      <w:pPr>
        <w:rPr>
          <w:color w:val="auto"/>
          <w:highlight w:val="none"/>
        </w:rPr>
      </w:pPr>
    </w:p>
    <w:p w14:paraId="3E3AE8D3">
      <w:pPr>
        <w:rPr>
          <w:color w:val="auto"/>
          <w:highlight w:val="none"/>
        </w:rPr>
      </w:pPr>
    </w:p>
    <w:p w14:paraId="060CE64F">
      <w:pPr>
        <w:rPr>
          <w:color w:val="auto"/>
          <w:highlight w:val="none"/>
        </w:rPr>
      </w:pPr>
    </w:p>
    <w:p w14:paraId="30C79C87">
      <w:pPr>
        <w:rPr>
          <w:color w:val="auto"/>
          <w:highlight w:val="none"/>
        </w:rPr>
      </w:pPr>
    </w:p>
    <w:p w14:paraId="25C8EDFC">
      <w:pPr>
        <w:rPr>
          <w:color w:val="auto"/>
          <w:highlight w:val="none"/>
        </w:rPr>
      </w:pPr>
    </w:p>
    <w:p w14:paraId="2D791CCC">
      <w:pPr>
        <w:rPr>
          <w:color w:val="auto"/>
          <w:highlight w:val="none"/>
        </w:rPr>
      </w:pPr>
    </w:p>
    <w:p w14:paraId="6B78EF15">
      <w:pPr>
        <w:rPr>
          <w:color w:val="auto"/>
          <w:highlight w:val="none"/>
        </w:rPr>
      </w:pPr>
    </w:p>
    <w:p w14:paraId="7B413704">
      <w:pPr>
        <w:rPr>
          <w:color w:val="auto"/>
          <w:highlight w:val="none"/>
        </w:rPr>
      </w:pPr>
    </w:p>
    <w:p w14:paraId="1B6C8DC8">
      <w:pPr>
        <w:rPr>
          <w:color w:val="auto"/>
          <w:highlight w:val="none"/>
        </w:rPr>
      </w:pPr>
    </w:p>
    <w:p w14:paraId="00FECF13">
      <w:pPr>
        <w:jc w:val="left"/>
        <w:rPr>
          <w:color w:val="auto"/>
          <w:sz w:val="28"/>
          <w:szCs w:val="28"/>
          <w:highlight w:val="none"/>
        </w:rPr>
      </w:pPr>
      <w:r>
        <w:rPr>
          <w:color w:val="auto"/>
          <w:highlight w:val="none"/>
        </w:rPr>
        <w:br w:type="page"/>
      </w:r>
      <w:r>
        <w:rPr>
          <w:rFonts w:hint="eastAsia"/>
          <w:color w:val="auto"/>
          <w:highlight w:val="none"/>
        </w:rPr>
        <w:t>附表2</w:t>
      </w:r>
    </w:p>
    <w:p w14:paraId="2F0E47C6">
      <w:pPr>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质量违约函</w:t>
      </w:r>
    </w:p>
    <w:p w14:paraId="411742A6">
      <w:pPr>
        <w:jc w:val="left"/>
        <w:rPr>
          <w:color w:val="auto"/>
          <w:sz w:val="28"/>
          <w:szCs w:val="28"/>
          <w:highlight w:val="none"/>
        </w:rPr>
      </w:pPr>
      <w:r>
        <w:rPr>
          <w:rFonts w:hint="eastAsia"/>
          <w:color w:val="auto"/>
          <w:sz w:val="28"/>
          <w:szCs w:val="28"/>
          <w:highlight w:val="none"/>
          <w:u w:val="single"/>
        </w:rPr>
        <w:t>XXXX公司</w:t>
      </w:r>
      <w:r>
        <w:rPr>
          <w:rFonts w:hint="eastAsia"/>
          <w:color w:val="auto"/>
          <w:sz w:val="28"/>
          <w:szCs w:val="28"/>
          <w:highlight w:val="none"/>
        </w:rPr>
        <w:t>：</w:t>
      </w:r>
    </w:p>
    <w:p w14:paraId="662B0EEC">
      <w:pPr>
        <w:ind w:firstLine="560" w:firstLineChars="200"/>
        <w:jc w:val="left"/>
        <w:rPr>
          <w:color w:val="auto"/>
          <w:sz w:val="28"/>
          <w:szCs w:val="28"/>
          <w:highlight w:val="none"/>
        </w:rPr>
      </w:pPr>
      <w:r>
        <w:rPr>
          <w:rFonts w:hint="eastAsia"/>
          <w:color w:val="auto"/>
          <w:sz w:val="28"/>
          <w:szCs w:val="28"/>
          <w:highlight w:val="none"/>
        </w:rPr>
        <w:t>你单位人员在我公司XX年X月施工中存在如下违反质量管理规定的行为，按照双方施工承包合同和协议，相关处理如下：</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3402"/>
        <w:gridCol w:w="2205"/>
      </w:tblGrid>
      <w:tr w14:paraId="76108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89" w:type="dxa"/>
            <w:vAlign w:val="center"/>
          </w:tcPr>
          <w:p w14:paraId="7393003F">
            <w:pPr>
              <w:widowControl/>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事件经过</w:t>
            </w:r>
          </w:p>
        </w:tc>
        <w:tc>
          <w:tcPr>
            <w:tcW w:w="3402" w:type="dxa"/>
            <w:vAlign w:val="center"/>
          </w:tcPr>
          <w:p w14:paraId="290135E7">
            <w:pPr>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照 片</w:t>
            </w:r>
          </w:p>
        </w:tc>
        <w:tc>
          <w:tcPr>
            <w:tcW w:w="2205" w:type="dxa"/>
            <w:vAlign w:val="center"/>
          </w:tcPr>
          <w:p w14:paraId="26C9633C">
            <w:pPr>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处理决定</w:t>
            </w:r>
          </w:p>
        </w:tc>
      </w:tr>
      <w:tr w14:paraId="3590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9" w:hRule="atLeast"/>
        </w:trPr>
        <w:tc>
          <w:tcPr>
            <w:tcW w:w="2689" w:type="dxa"/>
          </w:tcPr>
          <w:p w14:paraId="6F99F798">
            <w:pPr>
              <w:jc w:val="left"/>
              <w:rPr>
                <w:rFonts w:ascii="等线" w:hAnsi="等线" w:eastAsia="等线"/>
                <w:color w:val="auto"/>
                <w:highlight w:val="none"/>
              </w:rPr>
            </w:pPr>
          </w:p>
        </w:tc>
        <w:tc>
          <w:tcPr>
            <w:tcW w:w="3402" w:type="dxa"/>
          </w:tcPr>
          <w:p w14:paraId="09E5FF6F">
            <w:pPr>
              <w:jc w:val="left"/>
              <w:rPr>
                <w:rFonts w:ascii="等线" w:hAnsi="等线" w:eastAsia="等线"/>
                <w:color w:val="auto"/>
                <w:highlight w:val="none"/>
              </w:rPr>
            </w:pPr>
          </w:p>
        </w:tc>
        <w:tc>
          <w:tcPr>
            <w:tcW w:w="2205" w:type="dxa"/>
          </w:tcPr>
          <w:p w14:paraId="0B533920">
            <w:pPr>
              <w:jc w:val="left"/>
              <w:rPr>
                <w:rFonts w:ascii="等线" w:hAnsi="等线" w:eastAsia="等线"/>
                <w:color w:val="auto"/>
                <w:highlight w:val="none"/>
              </w:rPr>
            </w:pPr>
          </w:p>
        </w:tc>
      </w:tr>
    </w:tbl>
    <w:p w14:paraId="09A88A9A">
      <w:pPr>
        <w:rPr>
          <w:vanish/>
          <w:color w:val="auto"/>
          <w:highlight w:val="none"/>
        </w:rPr>
      </w:pPr>
    </w:p>
    <w:tbl>
      <w:tblPr>
        <w:tblStyle w:val="20"/>
        <w:tblW w:w="0" w:type="auto"/>
        <w:tblInd w:w="108" w:type="dxa"/>
        <w:tblLayout w:type="fixed"/>
        <w:tblCellMar>
          <w:top w:w="0" w:type="dxa"/>
          <w:left w:w="108" w:type="dxa"/>
          <w:bottom w:w="0" w:type="dxa"/>
          <w:right w:w="108" w:type="dxa"/>
        </w:tblCellMar>
      </w:tblPr>
      <w:tblGrid>
        <w:gridCol w:w="8700"/>
      </w:tblGrid>
      <w:tr w14:paraId="37236D1A">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vAlign w:val="bottom"/>
          </w:tcPr>
          <w:p w14:paraId="090CE3EC">
            <w:pPr>
              <w:widowControl/>
              <w:ind w:firstLine="560" w:firstLineChars="200"/>
              <w:jc w:val="lef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如存在异议，请你方在接到通报后5个工作日内将书面意见反馈到项目办，过期视为同意。</w:t>
            </w:r>
          </w:p>
        </w:tc>
      </w:tr>
      <w:tr w14:paraId="48C0D55C">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09C607FD">
            <w:pPr>
              <w:widowControl/>
              <w:jc w:val="lef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特此函告</w:t>
            </w:r>
          </w:p>
        </w:tc>
      </w:tr>
      <w:tr w14:paraId="4EBD3279">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23FF02A6">
            <w:pPr>
              <w:widowControl/>
              <w:jc w:val="righ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项目办</w:t>
            </w:r>
          </w:p>
        </w:tc>
      </w:tr>
      <w:tr w14:paraId="130A8F4F">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4145DC32">
            <w:pPr>
              <w:widowControl/>
              <w:jc w:val="righ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年  月  日</w:t>
            </w:r>
          </w:p>
        </w:tc>
      </w:tr>
    </w:tbl>
    <w:p w14:paraId="3CAADC53">
      <w:pPr>
        <w:ind w:firstLine="420" w:firstLineChars="200"/>
        <w:jc w:val="left"/>
        <w:rPr>
          <w:color w:val="auto"/>
          <w:highlight w:val="none"/>
        </w:rPr>
      </w:pPr>
    </w:p>
    <w:p w14:paraId="420CB731">
      <w:pPr>
        <w:spacing w:line="360" w:lineRule="auto"/>
        <w:rPr>
          <w:rFonts w:eastAsia="仿宋_GB2312"/>
          <w:color w:val="auto"/>
          <w:sz w:val="30"/>
          <w:szCs w:val="30"/>
          <w:highlight w:val="none"/>
        </w:rPr>
      </w:pPr>
      <w:r>
        <w:rPr>
          <w:rFonts w:eastAsia="仿宋_GB2312"/>
          <w:color w:val="auto"/>
          <w:sz w:val="30"/>
          <w:szCs w:val="30"/>
          <w:highlight w:val="none"/>
        </w:rPr>
        <w:br w:type="page"/>
      </w:r>
      <w:r>
        <w:rPr>
          <w:rFonts w:eastAsia="仿宋_GB2312"/>
          <w:color w:val="auto"/>
          <w:sz w:val="30"/>
          <w:szCs w:val="30"/>
          <w:highlight w:val="none"/>
        </w:rPr>
        <w:t>附件6：</w:t>
      </w:r>
    </w:p>
    <w:p w14:paraId="6C8BC40F">
      <w:pPr>
        <w:spacing w:line="360" w:lineRule="auto"/>
        <w:jc w:val="center"/>
        <w:rPr>
          <w:b/>
          <w:color w:val="auto"/>
          <w:sz w:val="32"/>
          <w:szCs w:val="32"/>
          <w:highlight w:val="none"/>
        </w:rPr>
      </w:pPr>
      <w:r>
        <w:rPr>
          <w:rFonts w:hint="eastAsia"/>
          <w:b/>
          <w:color w:val="auto"/>
          <w:sz w:val="32"/>
          <w:szCs w:val="32"/>
          <w:highlight w:val="none"/>
        </w:rPr>
        <w:t>工程项目设计变更管理办法</w:t>
      </w:r>
    </w:p>
    <w:p w14:paraId="2E3F896B">
      <w:pPr>
        <w:pStyle w:val="72"/>
        <w:numPr>
          <w:ilvl w:val="0"/>
          <w:numId w:val="8"/>
        </w:numPr>
        <w:spacing w:before="312" w:after="312"/>
        <w:jc w:val="left"/>
        <w:rPr>
          <w:color w:val="auto"/>
          <w:highlight w:val="none"/>
        </w:rPr>
      </w:pPr>
      <w:bookmarkStart w:id="537" w:name="_Toc180489608"/>
      <w:bookmarkStart w:id="538" w:name="_Toc19649_WPSOffice_Level1"/>
      <w:bookmarkStart w:id="539" w:name="_Toc15868"/>
      <w:bookmarkStart w:id="540" w:name="_Toc325380244"/>
      <w:bookmarkStart w:id="541" w:name="_Toc325035050"/>
      <w:bookmarkStart w:id="542" w:name="_Toc13459"/>
      <w:bookmarkStart w:id="543" w:name="_Toc21640_WPSOffice_Level1"/>
      <w:bookmarkStart w:id="544" w:name="_Toc22219_WPSOffice_Level1"/>
      <w:bookmarkStart w:id="545" w:name="_Toc327262748"/>
      <w:bookmarkStart w:id="546" w:name="_Toc325035189"/>
      <w:bookmarkStart w:id="547" w:name="_Toc325380253"/>
      <w:bookmarkStart w:id="548" w:name="_Toc29571"/>
      <w:bookmarkStart w:id="549" w:name="_Toc18402_WPSOffice_Level1"/>
      <w:bookmarkStart w:id="550" w:name="_Toc3613_WPSOffice_Level1"/>
      <w:r>
        <w:rPr>
          <w:rFonts w:hint="eastAsia"/>
          <w:color w:val="auto"/>
          <w:highlight w:val="none"/>
        </w:rPr>
        <w:t>目的</w:t>
      </w:r>
      <w:bookmarkEnd w:id="537"/>
    </w:p>
    <w:p w14:paraId="5FD26BAC">
      <w:pPr>
        <w:pStyle w:val="69"/>
        <w:spacing w:before="109" w:beforeLines="35" w:after="109" w:afterLines="35"/>
        <w:rPr>
          <w:color w:val="auto"/>
          <w:highlight w:val="none"/>
        </w:rPr>
      </w:pPr>
      <w:r>
        <w:rPr>
          <w:rFonts w:hint="eastAsia"/>
          <w:color w:val="auto"/>
          <w:highlight w:val="none"/>
        </w:rPr>
        <w:t>为规范重庆国际复合材料股份有限公司（以下简称“国际复材”“公司”）</w:t>
      </w:r>
      <w:r>
        <w:rPr>
          <w:rFonts w:hint="eastAsia" w:hAnsi="宋体"/>
          <w:color w:val="auto"/>
          <w:highlight w:val="none"/>
        </w:rPr>
        <w:t>工程建设过程发生</w:t>
      </w:r>
      <w:r>
        <w:rPr>
          <w:rFonts w:hint="eastAsia"/>
          <w:color w:val="auto"/>
          <w:highlight w:val="none"/>
        </w:rPr>
        <w:t>的工程项目</w:t>
      </w:r>
      <w:r>
        <w:rPr>
          <w:rFonts w:hint="eastAsia" w:hAnsi="宋体"/>
          <w:color w:val="auto"/>
          <w:highlight w:val="none"/>
        </w:rPr>
        <w:t>设计变更（以下简称“设计变更”）</w:t>
      </w:r>
      <w:r>
        <w:rPr>
          <w:rFonts w:hint="eastAsia"/>
          <w:color w:val="auto"/>
          <w:highlight w:val="none"/>
        </w:rPr>
        <w:t>管理工作，规范工程项目设计变更审批管理，特制定本办法。</w:t>
      </w:r>
    </w:p>
    <w:p w14:paraId="60D2A5CB">
      <w:pPr>
        <w:pStyle w:val="72"/>
        <w:numPr>
          <w:ilvl w:val="0"/>
          <w:numId w:val="8"/>
        </w:numPr>
        <w:spacing w:before="312" w:after="312"/>
        <w:rPr>
          <w:color w:val="auto"/>
          <w:highlight w:val="none"/>
        </w:rPr>
      </w:pPr>
      <w:bookmarkStart w:id="551" w:name="_Toc180489609"/>
      <w:r>
        <w:rPr>
          <w:rFonts w:hint="eastAsia"/>
          <w:color w:val="auto"/>
          <w:highlight w:val="none"/>
        </w:rPr>
        <w:t>范围</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14:paraId="5EB37D12">
      <w:pPr>
        <w:pStyle w:val="69"/>
        <w:spacing w:line="288" w:lineRule="auto"/>
        <w:rPr>
          <w:color w:val="auto"/>
          <w:highlight w:val="none"/>
        </w:rPr>
      </w:pPr>
      <w:r>
        <w:rPr>
          <w:rFonts w:hint="eastAsia"/>
          <w:color w:val="auto"/>
          <w:highlight w:val="none"/>
        </w:rPr>
        <w:t>本制度适用于重庆国际复合材料股份有限公司（下称</w:t>
      </w:r>
      <w:r>
        <w:rPr>
          <w:color w:val="auto"/>
          <w:highlight w:val="none"/>
        </w:rPr>
        <w:t>“</w:t>
      </w:r>
      <w:r>
        <w:rPr>
          <w:rFonts w:hint="eastAsia"/>
          <w:color w:val="auto"/>
          <w:highlight w:val="none"/>
        </w:rPr>
        <w:t>公司</w:t>
      </w:r>
      <w:r>
        <w:rPr>
          <w:color w:val="auto"/>
          <w:highlight w:val="none"/>
        </w:rPr>
        <w:t>”</w:t>
      </w:r>
      <w:r>
        <w:rPr>
          <w:rFonts w:hint="eastAsia"/>
          <w:color w:val="auto"/>
          <w:highlight w:val="none"/>
        </w:rPr>
        <w:t>）及各级公司全资（控股）子公司、分公司（下称</w:t>
      </w:r>
      <w:r>
        <w:rPr>
          <w:color w:val="auto"/>
          <w:highlight w:val="none"/>
        </w:rPr>
        <w:t>“</w:t>
      </w:r>
      <w:r>
        <w:rPr>
          <w:rFonts w:hint="eastAsia"/>
          <w:color w:val="auto"/>
          <w:highlight w:val="none"/>
        </w:rPr>
        <w:t>各分子公司</w:t>
      </w:r>
      <w:r>
        <w:rPr>
          <w:color w:val="auto"/>
          <w:highlight w:val="none"/>
        </w:rPr>
        <w:t>”</w:t>
      </w:r>
      <w:r>
        <w:rPr>
          <w:rFonts w:hint="eastAsia"/>
          <w:color w:val="auto"/>
          <w:highlight w:val="none"/>
        </w:rPr>
        <w:t>）。</w:t>
      </w:r>
    </w:p>
    <w:p w14:paraId="12BE030B">
      <w:pPr>
        <w:pStyle w:val="72"/>
        <w:numPr>
          <w:ilvl w:val="0"/>
          <w:numId w:val="8"/>
        </w:numPr>
        <w:spacing w:before="312" w:after="312"/>
        <w:rPr>
          <w:color w:val="auto"/>
          <w:highlight w:val="none"/>
        </w:rPr>
      </w:pPr>
      <w:bookmarkStart w:id="552" w:name="_Toc325380255"/>
      <w:bookmarkStart w:id="553" w:name="_Toc325035191"/>
      <w:bookmarkStart w:id="554" w:name="_Toc327262750"/>
      <w:bookmarkStart w:id="555" w:name="_Toc325380246"/>
      <w:bookmarkStart w:id="556" w:name="_Toc325035052"/>
      <w:bookmarkStart w:id="557" w:name="_Toc180489611"/>
      <w:bookmarkStart w:id="558" w:name="_Toc20062_WPSOffice_Level1"/>
      <w:bookmarkStart w:id="559" w:name="_Toc14162_WPSOffice_Level1"/>
      <w:bookmarkStart w:id="560" w:name="_Toc5719"/>
      <w:bookmarkStart w:id="561" w:name="_Toc7014_WPSOffice_Level1"/>
      <w:bookmarkStart w:id="562" w:name="_Toc3537_WPSOffice_Level1"/>
      <w:bookmarkStart w:id="563" w:name="_Toc959"/>
      <w:bookmarkStart w:id="564" w:name="_Toc5572"/>
      <w:r>
        <w:rPr>
          <w:rFonts w:hint="eastAsia"/>
          <w:color w:val="auto"/>
          <w:highlight w:val="none"/>
        </w:rPr>
        <w:t>术语</w:t>
      </w:r>
      <w:bookmarkEnd w:id="552"/>
      <w:bookmarkEnd w:id="553"/>
      <w:bookmarkEnd w:id="554"/>
      <w:bookmarkEnd w:id="555"/>
      <w:bookmarkEnd w:id="556"/>
      <w:r>
        <w:rPr>
          <w:rFonts w:hint="eastAsia"/>
          <w:color w:val="auto"/>
          <w:highlight w:val="none"/>
        </w:rPr>
        <w:t>和定义</w:t>
      </w:r>
      <w:bookmarkEnd w:id="557"/>
      <w:bookmarkEnd w:id="558"/>
      <w:bookmarkEnd w:id="559"/>
      <w:bookmarkEnd w:id="560"/>
      <w:bookmarkEnd w:id="561"/>
      <w:bookmarkEnd w:id="562"/>
      <w:bookmarkEnd w:id="563"/>
      <w:bookmarkEnd w:id="564"/>
    </w:p>
    <w:p w14:paraId="6BB39C07">
      <w:pPr>
        <w:pStyle w:val="73"/>
        <w:numPr>
          <w:ilvl w:val="1"/>
          <w:numId w:val="8"/>
        </w:numPr>
        <w:spacing w:before="156" w:beforeLines="50" w:after="156" w:afterLines="50"/>
        <w:rPr>
          <w:color w:val="auto"/>
          <w:highlight w:val="none"/>
        </w:rPr>
      </w:pPr>
      <w:bookmarkStart w:id="565" w:name="_Toc180489615"/>
      <w:r>
        <w:rPr>
          <w:rFonts w:hint="eastAsia"/>
          <w:color w:val="auto"/>
          <w:highlight w:val="none"/>
        </w:rPr>
        <w:t>设计变更</w:t>
      </w:r>
    </w:p>
    <w:p w14:paraId="0C969333">
      <w:pPr>
        <w:pStyle w:val="69"/>
        <w:rPr>
          <w:color w:val="auto"/>
          <w:highlight w:val="none"/>
        </w:rPr>
      </w:pPr>
      <w:r>
        <w:rPr>
          <w:color w:val="auto"/>
          <w:highlight w:val="none"/>
        </w:rPr>
        <w:t>项目自初步设计批准之日起至通过竣工验收正式交付使用之日止，对已批准的初步设计文件、技术设计文件或施工图设计文件所进行的修改、完善、优化等活动。</w:t>
      </w:r>
    </w:p>
    <w:p w14:paraId="26C6732A">
      <w:pPr>
        <w:pStyle w:val="73"/>
        <w:numPr>
          <w:ilvl w:val="1"/>
          <w:numId w:val="8"/>
        </w:numPr>
        <w:spacing w:before="156" w:beforeLines="50" w:after="156" w:afterLines="50"/>
        <w:rPr>
          <w:color w:val="auto"/>
          <w:highlight w:val="none"/>
        </w:rPr>
      </w:pPr>
      <w:r>
        <w:rPr>
          <w:rFonts w:hint="eastAsia"/>
          <w:color w:val="auto"/>
          <w:highlight w:val="none"/>
        </w:rPr>
        <w:t>一般变更</w:t>
      </w:r>
    </w:p>
    <w:p w14:paraId="74E81BB0">
      <w:pPr>
        <w:pStyle w:val="76"/>
        <w:numPr>
          <w:ilvl w:val="2"/>
          <w:numId w:val="8"/>
        </w:numPr>
        <w:spacing w:before="0" w:after="0"/>
        <w:rPr>
          <w:color w:val="auto"/>
          <w:highlight w:val="none"/>
        </w:rPr>
      </w:pPr>
      <w:r>
        <w:rPr>
          <w:rFonts w:hint="eastAsia"/>
          <w:color w:val="auto"/>
          <w:highlight w:val="none"/>
        </w:rPr>
        <w:t>设备及材料的名称、规格、安装方式等发生变化，没有超出原设计或工艺技术要求的。</w:t>
      </w:r>
    </w:p>
    <w:p w14:paraId="79C2CBC4">
      <w:pPr>
        <w:pStyle w:val="76"/>
        <w:numPr>
          <w:ilvl w:val="2"/>
          <w:numId w:val="8"/>
        </w:numPr>
        <w:spacing w:before="0" w:after="0"/>
        <w:rPr>
          <w:color w:val="auto"/>
          <w:highlight w:val="none"/>
        </w:rPr>
      </w:pPr>
      <w:r>
        <w:rPr>
          <w:rFonts w:hint="eastAsia"/>
          <w:color w:val="auto"/>
          <w:highlight w:val="none"/>
        </w:rPr>
        <w:t>设备、材料及工程量的数量发生变化，不改变工艺技术要求且在单项批复估算内的。</w:t>
      </w:r>
    </w:p>
    <w:p w14:paraId="6FAAFE5C">
      <w:pPr>
        <w:pStyle w:val="73"/>
        <w:numPr>
          <w:ilvl w:val="1"/>
          <w:numId w:val="8"/>
        </w:numPr>
        <w:spacing w:before="156" w:beforeLines="50" w:after="156" w:afterLines="50"/>
        <w:rPr>
          <w:color w:val="auto"/>
          <w:highlight w:val="none"/>
        </w:rPr>
      </w:pPr>
      <w:r>
        <w:rPr>
          <w:rFonts w:hint="eastAsia"/>
          <w:color w:val="auto"/>
          <w:highlight w:val="none"/>
        </w:rPr>
        <w:t>重大变更</w:t>
      </w:r>
    </w:p>
    <w:p w14:paraId="1DF35E19">
      <w:pPr>
        <w:pStyle w:val="76"/>
        <w:numPr>
          <w:ilvl w:val="2"/>
          <w:numId w:val="8"/>
        </w:numPr>
        <w:spacing w:before="0" w:after="0"/>
        <w:rPr>
          <w:color w:val="auto"/>
          <w:highlight w:val="none"/>
        </w:rPr>
      </w:pPr>
      <w:r>
        <w:rPr>
          <w:rFonts w:hint="eastAsia"/>
          <w:color w:val="auto"/>
          <w:highlight w:val="none"/>
        </w:rPr>
        <w:t>重大工艺变更、产品结构调整等发生变化，与可研报告不一致的。</w:t>
      </w:r>
    </w:p>
    <w:p w14:paraId="3551ADC6">
      <w:pPr>
        <w:pStyle w:val="76"/>
        <w:numPr>
          <w:ilvl w:val="2"/>
          <w:numId w:val="8"/>
        </w:numPr>
        <w:spacing w:before="0" w:after="0"/>
        <w:rPr>
          <w:color w:val="auto"/>
          <w:highlight w:val="none"/>
        </w:rPr>
      </w:pPr>
      <w:r>
        <w:rPr>
          <w:rFonts w:hint="eastAsia"/>
          <w:color w:val="auto"/>
          <w:highlight w:val="none"/>
        </w:rPr>
        <w:t>设备材料名称、规格、安装方式等发生变化，超出原设计或工艺技术要求的。</w:t>
      </w:r>
    </w:p>
    <w:p w14:paraId="51EC7B47">
      <w:pPr>
        <w:pStyle w:val="76"/>
        <w:numPr>
          <w:ilvl w:val="2"/>
          <w:numId w:val="8"/>
        </w:numPr>
        <w:spacing w:before="0" w:after="0"/>
        <w:rPr>
          <w:color w:val="auto"/>
          <w:highlight w:val="none"/>
        </w:rPr>
      </w:pPr>
      <w:r>
        <w:rPr>
          <w:rFonts w:hint="eastAsia"/>
          <w:color w:val="auto"/>
          <w:highlight w:val="none"/>
        </w:rPr>
        <w:t>设备、材料及工程量的数量发生变化，超出单项批复估算但未超出项目总批复估算的。</w:t>
      </w:r>
    </w:p>
    <w:p w14:paraId="2ED0BC66">
      <w:pPr>
        <w:pStyle w:val="76"/>
        <w:numPr>
          <w:ilvl w:val="2"/>
          <w:numId w:val="8"/>
        </w:numPr>
        <w:spacing w:before="0" w:after="0"/>
        <w:rPr>
          <w:color w:val="auto"/>
          <w:highlight w:val="none"/>
        </w:rPr>
      </w:pPr>
      <w:r>
        <w:rPr>
          <w:rFonts w:hint="eastAsia"/>
          <w:color w:val="auto"/>
          <w:highlight w:val="none"/>
        </w:rPr>
        <w:t>因实施方案漏项，或新增加的超出原设计工艺内容的。</w:t>
      </w:r>
    </w:p>
    <w:p w14:paraId="4576488F">
      <w:pPr>
        <w:pStyle w:val="76"/>
        <w:numPr>
          <w:ilvl w:val="2"/>
          <w:numId w:val="8"/>
        </w:numPr>
        <w:spacing w:before="0" w:after="0"/>
        <w:rPr>
          <w:color w:val="auto"/>
          <w:highlight w:val="none"/>
        </w:rPr>
      </w:pPr>
      <w:r>
        <w:rPr>
          <w:rFonts w:hint="eastAsia"/>
          <w:color w:val="auto"/>
          <w:highlight w:val="none"/>
        </w:rPr>
        <w:t xml:space="preserve">特种设备实施内容发生变化的。 </w:t>
      </w:r>
    </w:p>
    <w:bookmarkEnd w:id="565"/>
    <w:p w14:paraId="765D9233">
      <w:pPr>
        <w:pStyle w:val="72"/>
        <w:numPr>
          <w:ilvl w:val="0"/>
          <w:numId w:val="8"/>
        </w:numPr>
        <w:spacing w:before="312" w:after="312"/>
        <w:rPr>
          <w:color w:val="auto"/>
          <w:highlight w:val="none"/>
        </w:rPr>
      </w:pPr>
      <w:r>
        <w:rPr>
          <w:rFonts w:hint="eastAsia"/>
          <w:color w:val="auto"/>
          <w:highlight w:val="none"/>
        </w:rPr>
        <w:t>原则</w:t>
      </w:r>
    </w:p>
    <w:p w14:paraId="6D249D90">
      <w:pPr>
        <w:pStyle w:val="76"/>
        <w:numPr>
          <w:ilvl w:val="2"/>
          <w:numId w:val="8"/>
        </w:numPr>
        <w:spacing w:before="0" w:after="0"/>
        <w:rPr>
          <w:color w:val="auto"/>
          <w:highlight w:val="none"/>
        </w:rPr>
      </w:pPr>
      <w:r>
        <w:rPr>
          <w:rFonts w:hint="eastAsia"/>
          <w:color w:val="auto"/>
          <w:highlight w:val="none"/>
        </w:rPr>
        <w:t>原设计不能保证工程质量要求、设计遗漏、有错误与现场不符无法施工、生产工艺重大变更。</w:t>
      </w:r>
    </w:p>
    <w:p w14:paraId="3745EA20">
      <w:pPr>
        <w:pStyle w:val="76"/>
        <w:numPr>
          <w:ilvl w:val="2"/>
          <w:numId w:val="8"/>
        </w:numPr>
        <w:spacing w:before="0" w:after="0"/>
        <w:rPr>
          <w:color w:val="auto"/>
          <w:highlight w:val="none"/>
        </w:rPr>
      </w:pPr>
      <w:r>
        <w:rPr>
          <w:rFonts w:hint="eastAsia"/>
          <w:color w:val="auto"/>
          <w:highlight w:val="none"/>
        </w:rPr>
        <w:t>建设单位和公司相关部门对设计图纸的合理修改意见，应在施工之前提出。在施工试车或验收过程中，只要不影响生产，原则上不再接受设计变更要求。</w:t>
      </w:r>
    </w:p>
    <w:p w14:paraId="191880A8">
      <w:pPr>
        <w:pStyle w:val="76"/>
        <w:numPr>
          <w:ilvl w:val="2"/>
          <w:numId w:val="8"/>
        </w:numPr>
        <w:spacing w:before="0" w:after="0"/>
        <w:rPr>
          <w:color w:val="auto"/>
          <w:highlight w:val="none"/>
        </w:rPr>
      </w:pPr>
      <w:r>
        <w:rPr>
          <w:rFonts w:hint="eastAsia"/>
          <w:color w:val="auto"/>
          <w:highlight w:val="none"/>
        </w:rPr>
        <w:t>坚决杜绝内容不明确、没有详图或具体使用部位而只是增加材料用量的变更。</w:t>
      </w:r>
    </w:p>
    <w:p w14:paraId="6A473BEC">
      <w:pPr>
        <w:pStyle w:val="76"/>
        <w:numPr>
          <w:ilvl w:val="2"/>
          <w:numId w:val="8"/>
        </w:numPr>
        <w:spacing w:before="0" w:after="0"/>
        <w:rPr>
          <w:color w:val="auto"/>
          <w:highlight w:val="none"/>
        </w:rPr>
      </w:pPr>
      <w:r>
        <w:rPr>
          <w:rFonts w:hint="eastAsia"/>
          <w:color w:val="auto"/>
          <w:highlight w:val="none"/>
        </w:rPr>
        <w:t>严禁一次设计变更分多次提出，逃避审核程序。</w:t>
      </w:r>
    </w:p>
    <w:p w14:paraId="52943F20">
      <w:pPr>
        <w:pStyle w:val="76"/>
        <w:numPr>
          <w:ilvl w:val="2"/>
          <w:numId w:val="8"/>
        </w:numPr>
        <w:spacing w:before="0" w:after="0"/>
        <w:rPr>
          <w:color w:val="auto"/>
          <w:highlight w:val="none"/>
        </w:rPr>
      </w:pPr>
      <w:r>
        <w:rPr>
          <w:rFonts w:hint="eastAsia"/>
          <w:color w:val="auto"/>
          <w:highlight w:val="none"/>
        </w:rPr>
        <w:t>工程造价增减幅度是否控制在总概算的范围之内，若确需变更但有可能超概算时，必须经过公司项目变更审议流程。</w:t>
      </w:r>
    </w:p>
    <w:p w14:paraId="3CCC5A3E">
      <w:pPr>
        <w:pStyle w:val="72"/>
        <w:numPr>
          <w:ilvl w:val="0"/>
          <w:numId w:val="8"/>
        </w:numPr>
        <w:spacing w:before="312" w:after="312"/>
        <w:rPr>
          <w:color w:val="auto"/>
          <w:highlight w:val="none"/>
        </w:rPr>
      </w:pPr>
      <w:r>
        <w:rPr>
          <w:rFonts w:hint="eastAsia"/>
          <w:color w:val="auto"/>
          <w:highlight w:val="none"/>
        </w:rPr>
        <w:t>职责</w:t>
      </w:r>
    </w:p>
    <w:p w14:paraId="1034DD87">
      <w:pPr>
        <w:pStyle w:val="76"/>
        <w:numPr>
          <w:ilvl w:val="2"/>
          <w:numId w:val="8"/>
        </w:numPr>
        <w:spacing w:before="0" w:after="0"/>
        <w:rPr>
          <w:color w:val="auto"/>
          <w:highlight w:val="none"/>
        </w:rPr>
      </w:pPr>
      <w:r>
        <w:rPr>
          <w:rFonts w:hint="eastAsia"/>
          <w:color w:val="auto"/>
          <w:highlight w:val="none"/>
        </w:rPr>
        <w:t>属地部门负责提出项目变更，由属地部门按照项目办项目变更管理制度要求，完善项目变更手续。</w:t>
      </w:r>
    </w:p>
    <w:p w14:paraId="52EC461E">
      <w:pPr>
        <w:pStyle w:val="76"/>
        <w:numPr>
          <w:ilvl w:val="2"/>
          <w:numId w:val="8"/>
        </w:numPr>
        <w:spacing w:before="0" w:after="0"/>
        <w:rPr>
          <w:color w:val="auto"/>
          <w:highlight w:val="none"/>
        </w:rPr>
      </w:pPr>
      <w:r>
        <w:rPr>
          <w:rFonts w:hint="eastAsia"/>
          <w:color w:val="auto"/>
          <w:highlight w:val="none"/>
        </w:rPr>
        <w:t>建设单位、设计单位、施工单位负责设计变更提报，详见附件B、附件C、附件D。</w:t>
      </w:r>
    </w:p>
    <w:p w14:paraId="6F5AFC0A">
      <w:pPr>
        <w:pStyle w:val="76"/>
        <w:numPr>
          <w:ilvl w:val="2"/>
          <w:numId w:val="8"/>
        </w:numPr>
        <w:spacing w:before="0" w:after="0"/>
        <w:rPr>
          <w:color w:val="auto"/>
          <w:highlight w:val="none"/>
        </w:rPr>
      </w:pPr>
      <w:r>
        <w:rPr>
          <w:rFonts w:hint="eastAsia"/>
          <w:color w:val="auto"/>
          <w:highlight w:val="none"/>
        </w:rPr>
        <w:t>项目办负责设计变更的技术审核、设计变更费用预决算。</w:t>
      </w:r>
    </w:p>
    <w:p w14:paraId="6999787D">
      <w:pPr>
        <w:pStyle w:val="76"/>
        <w:numPr>
          <w:ilvl w:val="2"/>
          <w:numId w:val="8"/>
        </w:numPr>
        <w:spacing w:before="0" w:after="0"/>
        <w:rPr>
          <w:color w:val="auto"/>
          <w:highlight w:val="none"/>
        </w:rPr>
      </w:pPr>
      <w:r>
        <w:rPr>
          <w:rFonts w:hint="eastAsia"/>
          <w:color w:val="auto"/>
          <w:highlight w:val="none"/>
        </w:rPr>
        <w:t>数智化工装技术中心负责设计变更的审核、档案归档。</w:t>
      </w:r>
    </w:p>
    <w:p w14:paraId="4EC8211B">
      <w:pPr>
        <w:pStyle w:val="72"/>
        <w:numPr>
          <w:ilvl w:val="0"/>
          <w:numId w:val="8"/>
        </w:numPr>
        <w:spacing w:before="312" w:after="312"/>
        <w:rPr>
          <w:color w:val="auto"/>
          <w:highlight w:val="none"/>
        </w:rPr>
      </w:pPr>
      <w:r>
        <w:rPr>
          <w:rFonts w:hint="eastAsia"/>
          <w:color w:val="auto"/>
          <w:highlight w:val="none"/>
        </w:rPr>
        <w:t>管理内容</w:t>
      </w:r>
    </w:p>
    <w:p w14:paraId="7AAAD3BB">
      <w:pPr>
        <w:pStyle w:val="74"/>
        <w:numPr>
          <w:ilvl w:val="1"/>
          <w:numId w:val="8"/>
        </w:numPr>
        <w:spacing w:before="156" w:after="156"/>
        <w:rPr>
          <w:color w:val="auto"/>
          <w:highlight w:val="none"/>
        </w:rPr>
      </w:pPr>
      <w:bookmarkStart w:id="566" w:name="_Toc180489622"/>
      <w:bookmarkStart w:id="567" w:name="_Toc9144_WPSOffice_Level1"/>
      <w:bookmarkStart w:id="568" w:name="_Toc28486"/>
      <w:bookmarkStart w:id="569" w:name="_Toc20031_WPSOffice_Level1"/>
      <w:bookmarkStart w:id="570" w:name="_Toc4905_WPSOffice_Level1"/>
      <w:bookmarkStart w:id="571" w:name="_Toc28607"/>
      <w:bookmarkStart w:id="572" w:name="_Toc11779_WPSOffice_Level1"/>
      <w:bookmarkStart w:id="573" w:name="_Toc25939_WPSOffice_Level1"/>
      <w:bookmarkStart w:id="574" w:name="_Toc5661"/>
      <w:r>
        <w:rPr>
          <w:rFonts w:hint="eastAsia"/>
          <w:color w:val="auto"/>
          <w:highlight w:val="none"/>
        </w:rPr>
        <w:t>设计变更的原因</w:t>
      </w:r>
    </w:p>
    <w:p w14:paraId="6FFF0A3A">
      <w:pPr>
        <w:pStyle w:val="76"/>
        <w:numPr>
          <w:ilvl w:val="2"/>
          <w:numId w:val="8"/>
        </w:numPr>
        <w:spacing w:before="0" w:after="0"/>
        <w:rPr>
          <w:color w:val="auto"/>
          <w:highlight w:val="none"/>
        </w:rPr>
      </w:pPr>
      <w:r>
        <w:rPr>
          <w:color w:val="auto"/>
          <w:highlight w:val="none"/>
        </w:rPr>
        <w:t>修改工艺技术，包括设备的改变</w:t>
      </w:r>
      <w:r>
        <w:rPr>
          <w:rFonts w:hint="eastAsia"/>
          <w:color w:val="auto"/>
          <w:highlight w:val="none"/>
        </w:rPr>
        <w:t>。</w:t>
      </w:r>
    </w:p>
    <w:p w14:paraId="771CC817">
      <w:pPr>
        <w:pStyle w:val="76"/>
        <w:numPr>
          <w:ilvl w:val="2"/>
          <w:numId w:val="8"/>
        </w:numPr>
        <w:spacing w:before="0" w:after="0"/>
        <w:rPr>
          <w:color w:val="auto"/>
          <w:highlight w:val="none"/>
        </w:rPr>
      </w:pPr>
      <w:r>
        <w:rPr>
          <w:color w:val="auto"/>
          <w:highlight w:val="none"/>
        </w:rPr>
        <w:t>增减工程内容</w:t>
      </w:r>
      <w:r>
        <w:rPr>
          <w:rFonts w:hint="eastAsia"/>
          <w:color w:val="auto"/>
          <w:highlight w:val="none"/>
        </w:rPr>
        <w:t>。</w:t>
      </w:r>
    </w:p>
    <w:p w14:paraId="30CC6CF1">
      <w:pPr>
        <w:pStyle w:val="76"/>
        <w:numPr>
          <w:ilvl w:val="2"/>
          <w:numId w:val="8"/>
        </w:numPr>
        <w:spacing w:before="0" w:after="0"/>
        <w:rPr>
          <w:color w:val="auto"/>
          <w:highlight w:val="none"/>
        </w:rPr>
      </w:pPr>
      <w:r>
        <w:rPr>
          <w:color w:val="auto"/>
          <w:highlight w:val="none"/>
        </w:rPr>
        <w:t>改变使用功能</w:t>
      </w:r>
      <w:r>
        <w:rPr>
          <w:rFonts w:hint="eastAsia"/>
          <w:color w:val="auto"/>
          <w:highlight w:val="none"/>
        </w:rPr>
        <w:t>。</w:t>
      </w:r>
    </w:p>
    <w:p w14:paraId="14562402">
      <w:pPr>
        <w:pStyle w:val="76"/>
        <w:numPr>
          <w:ilvl w:val="2"/>
          <w:numId w:val="8"/>
        </w:numPr>
        <w:spacing w:before="0" w:after="0"/>
        <w:rPr>
          <w:color w:val="auto"/>
          <w:highlight w:val="none"/>
        </w:rPr>
      </w:pPr>
      <w:r>
        <w:rPr>
          <w:color w:val="auto"/>
          <w:highlight w:val="none"/>
        </w:rPr>
        <w:t>设计错误、遗漏</w:t>
      </w:r>
      <w:r>
        <w:rPr>
          <w:rFonts w:hint="eastAsia"/>
          <w:color w:val="auto"/>
          <w:highlight w:val="none"/>
        </w:rPr>
        <w:t>。</w:t>
      </w:r>
    </w:p>
    <w:p w14:paraId="39CD27AD">
      <w:pPr>
        <w:pStyle w:val="76"/>
        <w:numPr>
          <w:ilvl w:val="2"/>
          <w:numId w:val="8"/>
        </w:numPr>
        <w:spacing w:before="0" w:after="0"/>
        <w:rPr>
          <w:color w:val="auto"/>
          <w:highlight w:val="none"/>
        </w:rPr>
      </w:pPr>
      <w:r>
        <w:rPr>
          <w:rFonts w:hint="eastAsia"/>
          <w:color w:val="auto"/>
          <w:highlight w:val="none"/>
        </w:rPr>
        <w:t>现场</w:t>
      </w:r>
      <w:r>
        <w:rPr>
          <w:color w:val="auto"/>
          <w:highlight w:val="none"/>
        </w:rPr>
        <w:t>提</w:t>
      </w:r>
      <w:r>
        <w:rPr>
          <w:rFonts w:hint="eastAsia"/>
          <w:color w:val="auto"/>
          <w:highlight w:val="none"/>
        </w:rPr>
        <w:t>出的</w:t>
      </w:r>
      <w:r>
        <w:rPr>
          <w:color w:val="auto"/>
          <w:highlight w:val="none"/>
        </w:rPr>
        <w:t>合理化建议</w:t>
      </w:r>
      <w:r>
        <w:rPr>
          <w:rFonts w:hint="eastAsia"/>
          <w:color w:val="auto"/>
          <w:highlight w:val="none"/>
        </w:rPr>
        <w:t>。</w:t>
      </w:r>
    </w:p>
    <w:p w14:paraId="68635F72">
      <w:pPr>
        <w:pStyle w:val="76"/>
        <w:numPr>
          <w:ilvl w:val="2"/>
          <w:numId w:val="8"/>
        </w:numPr>
        <w:spacing w:before="0" w:after="0"/>
        <w:rPr>
          <w:color w:val="auto"/>
          <w:highlight w:val="none"/>
        </w:rPr>
      </w:pPr>
      <w:r>
        <w:rPr>
          <w:rFonts w:hint="eastAsia" w:cs="宋体"/>
          <w:color w:val="auto"/>
          <w:highlight w:val="none"/>
        </w:rPr>
        <w:t>施工过程中产生的错误。</w:t>
      </w:r>
    </w:p>
    <w:p w14:paraId="20D2448C">
      <w:pPr>
        <w:pStyle w:val="76"/>
        <w:numPr>
          <w:ilvl w:val="2"/>
          <w:numId w:val="8"/>
        </w:numPr>
        <w:spacing w:before="0" w:after="0"/>
        <w:rPr>
          <w:color w:val="auto"/>
          <w:highlight w:val="none"/>
        </w:rPr>
      </w:pPr>
      <w:r>
        <w:rPr>
          <w:color w:val="auto"/>
          <w:highlight w:val="none"/>
        </w:rPr>
        <w:t>使用的材料品种的改变</w:t>
      </w:r>
      <w:r>
        <w:rPr>
          <w:rFonts w:hint="eastAsia"/>
          <w:color w:val="auto"/>
          <w:highlight w:val="none"/>
        </w:rPr>
        <w:t>。</w:t>
      </w:r>
    </w:p>
    <w:p w14:paraId="2B49A4F6">
      <w:pPr>
        <w:pStyle w:val="76"/>
        <w:numPr>
          <w:ilvl w:val="2"/>
          <w:numId w:val="8"/>
        </w:numPr>
        <w:spacing w:before="0" w:after="0"/>
        <w:rPr>
          <w:color w:val="auto"/>
          <w:highlight w:val="none"/>
        </w:rPr>
      </w:pPr>
      <w:r>
        <w:rPr>
          <w:color w:val="auto"/>
          <w:highlight w:val="none"/>
        </w:rPr>
        <w:t>工程地质勘察资料不准确而引起的修改，如基础加深</w:t>
      </w:r>
      <w:r>
        <w:rPr>
          <w:rFonts w:hint="eastAsia"/>
          <w:color w:val="auto"/>
          <w:highlight w:val="none"/>
        </w:rPr>
        <w:t>等。</w:t>
      </w:r>
    </w:p>
    <w:p w14:paraId="382C9EBB">
      <w:pPr>
        <w:pStyle w:val="74"/>
        <w:numPr>
          <w:ilvl w:val="1"/>
          <w:numId w:val="8"/>
        </w:numPr>
        <w:spacing w:before="156" w:after="156"/>
        <w:rPr>
          <w:color w:val="auto"/>
          <w:highlight w:val="none"/>
        </w:rPr>
      </w:pPr>
      <w:r>
        <w:rPr>
          <w:rFonts w:hint="eastAsia"/>
          <w:color w:val="auto"/>
          <w:highlight w:val="none"/>
        </w:rPr>
        <w:t>设计变更的时效性：</w:t>
      </w:r>
    </w:p>
    <w:p w14:paraId="2C876AB5">
      <w:pPr>
        <w:pStyle w:val="76"/>
        <w:numPr>
          <w:ilvl w:val="2"/>
          <w:numId w:val="8"/>
        </w:numPr>
        <w:spacing w:before="0" w:after="0"/>
        <w:rPr>
          <w:color w:val="auto"/>
          <w:highlight w:val="none"/>
        </w:rPr>
      </w:pPr>
      <w:r>
        <w:rPr>
          <w:rFonts w:hint="eastAsia"/>
          <w:color w:val="auto"/>
          <w:highlight w:val="none"/>
        </w:rPr>
        <w:t>项目专业设计人员对设计单位、施工单位提出的设计变更在2个工作日内完成审核。</w:t>
      </w:r>
    </w:p>
    <w:p w14:paraId="70DDEDCE">
      <w:pPr>
        <w:pStyle w:val="76"/>
        <w:numPr>
          <w:ilvl w:val="2"/>
          <w:numId w:val="8"/>
        </w:numPr>
        <w:spacing w:before="0" w:after="0"/>
        <w:rPr>
          <w:color w:val="auto"/>
          <w:highlight w:val="none"/>
        </w:rPr>
      </w:pPr>
      <w:r>
        <w:rPr>
          <w:rFonts w:hint="eastAsia"/>
          <w:color w:val="auto"/>
          <w:highlight w:val="none"/>
        </w:rPr>
        <w:t>项目（执行）经理在收到设计变更申请表和会议纪要后</w:t>
      </w:r>
      <w:r>
        <w:rPr>
          <w:color w:val="auto"/>
          <w:highlight w:val="none"/>
        </w:rPr>
        <w:t>1</w:t>
      </w:r>
      <w:r>
        <w:rPr>
          <w:rFonts w:hint="eastAsia"/>
          <w:color w:val="auto"/>
          <w:highlight w:val="none"/>
        </w:rPr>
        <w:t>个工作日内完成审核。</w:t>
      </w:r>
    </w:p>
    <w:p w14:paraId="66FBC3E6">
      <w:pPr>
        <w:pStyle w:val="76"/>
        <w:numPr>
          <w:ilvl w:val="2"/>
          <w:numId w:val="8"/>
        </w:numPr>
        <w:spacing w:before="0" w:after="0"/>
        <w:rPr>
          <w:color w:val="auto"/>
          <w:highlight w:val="none"/>
        </w:rPr>
      </w:pPr>
      <w:r>
        <w:rPr>
          <w:rFonts w:hint="eastAsia"/>
          <w:color w:val="auto"/>
          <w:highlight w:val="none"/>
        </w:rPr>
        <w:t>设计院在2个工作日内组织讨论、审核及初步方案等。</w:t>
      </w:r>
    </w:p>
    <w:p w14:paraId="0F4B3DA6">
      <w:pPr>
        <w:pStyle w:val="76"/>
        <w:numPr>
          <w:ilvl w:val="2"/>
          <w:numId w:val="8"/>
        </w:numPr>
        <w:spacing w:before="0" w:after="0"/>
        <w:rPr>
          <w:color w:val="auto"/>
          <w:highlight w:val="none"/>
        </w:rPr>
      </w:pPr>
      <w:r>
        <w:rPr>
          <w:rFonts w:hint="eastAsia"/>
          <w:color w:val="auto"/>
          <w:highlight w:val="none"/>
        </w:rPr>
        <w:t>项目负责人在</w:t>
      </w:r>
      <w:r>
        <w:rPr>
          <w:color w:val="auto"/>
          <w:highlight w:val="none"/>
        </w:rPr>
        <w:t>1</w:t>
      </w:r>
      <w:r>
        <w:rPr>
          <w:rFonts w:hint="eastAsia"/>
          <w:color w:val="auto"/>
          <w:highlight w:val="none"/>
        </w:rPr>
        <w:t>个工作日内完成审批。</w:t>
      </w:r>
    </w:p>
    <w:p w14:paraId="79D7BCBB">
      <w:pPr>
        <w:pStyle w:val="76"/>
        <w:numPr>
          <w:ilvl w:val="2"/>
          <w:numId w:val="8"/>
        </w:numPr>
        <w:spacing w:before="0" w:after="0"/>
        <w:rPr>
          <w:color w:val="auto"/>
          <w:highlight w:val="none"/>
        </w:rPr>
      </w:pPr>
      <w:r>
        <w:rPr>
          <w:rFonts w:hint="eastAsia"/>
          <w:color w:val="auto"/>
          <w:highlight w:val="none"/>
        </w:rPr>
        <w:t>项目办造价人员在收到项目变更、初步方案后在2个工作日完成造价估算。</w:t>
      </w:r>
    </w:p>
    <w:p w14:paraId="7F1D179D">
      <w:pPr>
        <w:pStyle w:val="76"/>
        <w:numPr>
          <w:ilvl w:val="2"/>
          <w:numId w:val="8"/>
        </w:numPr>
        <w:spacing w:before="0" w:after="0"/>
        <w:rPr>
          <w:color w:val="auto"/>
          <w:highlight w:val="none"/>
        </w:rPr>
      </w:pPr>
      <w:r>
        <w:rPr>
          <w:rFonts w:hint="eastAsia"/>
          <w:color w:val="auto"/>
          <w:szCs w:val="18"/>
          <w:highlight w:val="none"/>
        </w:rPr>
        <w:t>数智化工装技术中心、项目办</w:t>
      </w:r>
      <w:r>
        <w:rPr>
          <w:rFonts w:hint="eastAsia"/>
          <w:color w:val="auto"/>
          <w:highlight w:val="none"/>
        </w:rPr>
        <w:t>领导审</w:t>
      </w:r>
      <w:r>
        <w:rPr>
          <w:color w:val="auto"/>
          <w:highlight w:val="none"/>
        </w:rPr>
        <w:t>核</w:t>
      </w:r>
      <w:r>
        <w:rPr>
          <w:rFonts w:hint="eastAsia"/>
          <w:color w:val="auto"/>
          <w:highlight w:val="none"/>
        </w:rPr>
        <w:t>和公司项目分管领导在2个工作日完成审批。</w:t>
      </w:r>
    </w:p>
    <w:p w14:paraId="6972BBA8">
      <w:pPr>
        <w:pStyle w:val="76"/>
        <w:numPr>
          <w:ilvl w:val="2"/>
          <w:numId w:val="8"/>
        </w:numPr>
        <w:spacing w:before="0" w:after="0"/>
        <w:rPr>
          <w:color w:val="auto"/>
          <w:highlight w:val="none"/>
        </w:rPr>
      </w:pPr>
      <w:r>
        <w:rPr>
          <w:rFonts w:hint="eastAsia"/>
          <w:color w:val="auto"/>
          <w:highlight w:val="none"/>
        </w:rPr>
        <w:t>项目竣工验收后</w:t>
      </w:r>
      <w:r>
        <w:rPr>
          <w:color w:val="auto"/>
          <w:highlight w:val="none"/>
        </w:rPr>
        <w:t>30</w:t>
      </w:r>
      <w:r>
        <w:rPr>
          <w:rFonts w:hint="eastAsia"/>
          <w:color w:val="auto"/>
          <w:highlight w:val="none"/>
        </w:rPr>
        <w:t>日内各专业设计人员收集整理设计变更，并交项目技术负责人核对后交档案管理人员归档。</w:t>
      </w:r>
    </w:p>
    <w:p w14:paraId="6DB750B6">
      <w:pPr>
        <w:pStyle w:val="76"/>
        <w:numPr>
          <w:ilvl w:val="2"/>
          <w:numId w:val="8"/>
        </w:numPr>
        <w:spacing w:before="0" w:after="0"/>
        <w:rPr>
          <w:color w:val="auto"/>
          <w:highlight w:val="none"/>
        </w:rPr>
      </w:pPr>
      <w:r>
        <w:rPr>
          <w:rFonts w:hint="eastAsia"/>
          <w:color w:val="auto"/>
          <w:highlight w:val="none"/>
        </w:rPr>
        <w:t>若现场出现紧急情况需要立即实施变更的，在变更完成后3日内补充完善流程。</w:t>
      </w:r>
    </w:p>
    <w:p w14:paraId="26FBC371">
      <w:pPr>
        <w:pStyle w:val="74"/>
        <w:numPr>
          <w:ilvl w:val="1"/>
          <w:numId w:val="8"/>
        </w:numPr>
        <w:spacing w:before="156" w:after="156"/>
        <w:rPr>
          <w:color w:val="auto"/>
          <w:highlight w:val="none"/>
        </w:rPr>
      </w:pPr>
      <w:r>
        <w:rPr>
          <w:rFonts w:hint="eastAsia"/>
          <w:color w:val="auto"/>
          <w:highlight w:val="none"/>
        </w:rPr>
        <w:t>设计变更的提出审批程序</w:t>
      </w:r>
    </w:p>
    <w:p w14:paraId="73A5E9DB">
      <w:pPr>
        <w:pStyle w:val="76"/>
        <w:numPr>
          <w:ilvl w:val="2"/>
          <w:numId w:val="8"/>
        </w:numPr>
        <w:spacing w:before="0" w:after="0"/>
        <w:rPr>
          <w:color w:val="auto"/>
          <w:highlight w:val="none"/>
        </w:rPr>
      </w:pPr>
      <w:r>
        <w:rPr>
          <w:rFonts w:hint="eastAsia"/>
          <w:color w:val="auto"/>
          <w:highlight w:val="none"/>
        </w:rPr>
        <w:t>设计变更提出前，必须先经施工预算。</w:t>
      </w:r>
    </w:p>
    <w:p w14:paraId="59445939">
      <w:pPr>
        <w:pStyle w:val="76"/>
        <w:numPr>
          <w:ilvl w:val="2"/>
          <w:numId w:val="8"/>
        </w:numPr>
        <w:spacing w:before="0" w:after="0"/>
        <w:rPr>
          <w:color w:val="auto"/>
          <w:highlight w:val="none"/>
        </w:rPr>
      </w:pPr>
      <w:r>
        <w:rPr>
          <w:rFonts w:hint="eastAsia"/>
          <w:color w:val="auto"/>
          <w:highlight w:val="none"/>
        </w:rPr>
        <w:t>设计变更须说明变更产生的背景（变更提出单位、主要参与人员、时间等）、变更原因（工艺变更、工艺要求、设备选型不当、设计漏项、设计失误、提高或降低标准等），并进行经济效益分析及造价分析。</w:t>
      </w:r>
    </w:p>
    <w:p w14:paraId="0D414490">
      <w:pPr>
        <w:pStyle w:val="76"/>
        <w:numPr>
          <w:ilvl w:val="2"/>
          <w:numId w:val="8"/>
        </w:numPr>
        <w:spacing w:before="0" w:after="0"/>
        <w:rPr>
          <w:color w:val="auto"/>
          <w:highlight w:val="none"/>
        </w:rPr>
      </w:pPr>
      <w:r>
        <w:rPr>
          <w:rFonts w:hint="eastAsia"/>
          <w:color w:val="auto"/>
          <w:highlight w:val="none"/>
        </w:rPr>
        <w:t>设计变更的审批程序按照造价金额进行分级审批。</w:t>
      </w:r>
    </w:p>
    <w:p w14:paraId="38A428C7">
      <w:pPr>
        <w:pStyle w:val="76"/>
        <w:numPr>
          <w:ilvl w:val="2"/>
          <w:numId w:val="8"/>
        </w:numPr>
        <w:spacing w:before="0" w:after="0"/>
        <w:rPr>
          <w:color w:val="auto"/>
          <w:highlight w:val="none"/>
        </w:rPr>
      </w:pPr>
      <w:r>
        <w:rPr>
          <w:rFonts w:hint="eastAsia"/>
          <w:color w:val="auto"/>
          <w:highlight w:val="none"/>
        </w:rPr>
        <w:t>建设单位提出的设计变更审批程序：</w:t>
      </w:r>
    </w:p>
    <w:p w14:paraId="426F6196">
      <w:pPr>
        <w:pStyle w:val="77"/>
        <w:numPr>
          <w:ilvl w:val="3"/>
          <w:numId w:val="8"/>
        </w:numPr>
        <w:ind w:left="284"/>
        <w:rPr>
          <w:color w:val="auto"/>
          <w:highlight w:val="none"/>
        </w:rPr>
      </w:pPr>
      <w:r>
        <w:rPr>
          <w:rFonts w:hint="eastAsia"/>
          <w:color w:val="auto"/>
          <w:highlight w:val="none"/>
        </w:rPr>
        <w:t>项目专业设计人员组织有关单位和部门的人员讨论后提出项目设计变更内容；提交项目技术负责人审批后送交设计院审核，然后报给预决算测算设计变更造价；设计变更造价在5万元以下，由项目（执行）经理和数智化工装技术中心总经理并行审核后，项目办负责人审批。</w:t>
      </w:r>
    </w:p>
    <w:p w14:paraId="10ED95FD">
      <w:pPr>
        <w:pStyle w:val="77"/>
        <w:numPr>
          <w:ilvl w:val="3"/>
          <w:numId w:val="8"/>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p w14:paraId="5ABA5F2A">
      <w:pPr>
        <w:pStyle w:val="78"/>
        <w:numPr>
          <w:ilvl w:val="2"/>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设计单位提出的设计变更审批程序：</w:t>
      </w:r>
    </w:p>
    <w:p w14:paraId="663DD785">
      <w:pPr>
        <w:pStyle w:val="77"/>
        <w:numPr>
          <w:ilvl w:val="3"/>
          <w:numId w:val="8"/>
        </w:numPr>
        <w:ind w:left="284"/>
        <w:rPr>
          <w:color w:val="auto"/>
          <w:highlight w:val="none"/>
        </w:rPr>
      </w:pPr>
      <w:r>
        <w:rPr>
          <w:rFonts w:hint="eastAsia"/>
          <w:color w:val="auto"/>
          <w:highlight w:val="none"/>
        </w:rPr>
        <w:t>设计单位提出项目设计变更内容；送交项目专业设计人员，项目专业设计人员组织有关单位和部门的人员讨论审核，提交项目技术负责人审批后报给预决算测算设计变更造价；设计变更造价在5万元以下，由项目（执行）经理和数智化工装技术中心总经理并行审核后，项目办领导审批。</w:t>
      </w:r>
    </w:p>
    <w:p w14:paraId="5E80A0ED">
      <w:pPr>
        <w:pStyle w:val="77"/>
        <w:numPr>
          <w:ilvl w:val="3"/>
          <w:numId w:val="8"/>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p w14:paraId="3C844C4D">
      <w:pPr>
        <w:pStyle w:val="78"/>
        <w:numPr>
          <w:ilvl w:val="2"/>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施工单位提出的设计变更审批程序：</w:t>
      </w:r>
    </w:p>
    <w:p w14:paraId="457C9762">
      <w:pPr>
        <w:pStyle w:val="77"/>
        <w:numPr>
          <w:ilvl w:val="3"/>
          <w:numId w:val="8"/>
        </w:numPr>
        <w:ind w:left="284"/>
        <w:rPr>
          <w:color w:val="auto"/>
          <w:highlight w:val="none"/>
        </w:rPr>
      </w:pPr>
      <w:r>
        <w:rPr>
          <w:rFonts w:hint="eastAsia"/>
          <w:color w:val="auto"/>
          <w:highlight w:val="none"/>
        </w:rPr>
        <w:t>施工单位提出项目设计变更内容；送交项目专业设计人员，项目专业设计人员组织有关单位和部门的人员讨论审核，提交项目技术负责人审批后送交设计院审核；然后报给预决算测算设计变更造价；设计变更造价在5万元以下，由项目（执行）经理和数智化工装技术中心总经理并行审核后，项目办负责人审批。</w:t>
      </w:r>
    </w:p>
    <w:p w14:paraId="3CBFF4D3">
      <w:pPr>
        <w:pStyle w:val="77"/>
        <w:numPr>
          <w:ilvl w:val="3"/>
          <w:numId w:val="8"/>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bookmarkEnd w:id="566"/>
    <w:p w14:paraId="3FE16942">
      <w:pPr>
        <w:pStyle w:val="72"/>
        <w:numPr>
          <w:ilvl w:val="0"/>
          <w:numId w:val="8"/>
        </w:numPr>
        <w:spacing w:before="312" w:after="312"/>
        <w:rPr>
          <w:color w:val="auto"/>
          <w:szCs w:val="21"/>
          <w:highlight w:val="none"/>
        </w:rPr>
      </w:pPr>
      <w:r>
        <w:rPr>
          <w:rFonts w:hint="eastAsia"/>
          <w:color w:val="auto"/>
          <w:szCs w:val="21"/>
          <w:highlight w:val="none"/>
        </w:rPr>
        <w:t>监督管理要求</w:t>
      </w:r>
    </w:p>
    <w:p w14:paraId="0150780B">
      <w:pPr>
        <w:pStyle w:val="74"/>
        <w:numPr>
          <w:ilvl w:val="1"/>
          <w:numId w:val="8"/>
        </w:numPr>
        <w:spacing w:before="156" w:after="156"/>
        <w:rPr>
          <w:rFonts w:ascii="宋体" w:hAnsi="宋体" w:eastAsia="宋体" w:cs="宋体"/>
          <w:color w:val="auto"/>
          <w:highlight w:val="none"/>
        </w:rPr>
      </w:pPr>
      <w:bookmarkStart w:id="575" w:name="_Hlk153955397"/>
      <w:r>
        <w:rPr>
          <w:rFonts w:hint="eastAsia" w:ascii="宋体" w:hAnsi="宋体" w:eastAsia="宋体" w:cs="宋体"/>
          <w:color w:val="auto"/>
          <w:highlight w:val="none"/>
        </w:rPr>
        <w:t>一般变更：由项目（执行）经理根据变更原因提出考核建议，由项目办领导审核，并经公司项目分管领导审批后，出具考核单。考核金额为从当月绩效中减发100-500元/次。完善手续后提交人力资源部进行考核。</w:t>
      </w:r>
    </w:p>
    <w:p w14:paraId="0E64F6B1">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重大变更：由项目（执行）经理根据变更原因判定是否提报考核，并提出考核建议，由项目办领导审核，并经公司项目分管领导审批后，出具考核单。考核责任部门绩效2000-10000元/次，同时考核相关责任人200-1000元/次。完善手续后提交人力资源部进行考核。</w:t>
      </w:r>
    </w:p>
    <w:p w14:paraId="2E50038B">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时效性考核：如果没有在规定的时间内完成，考核100元/次。</w:t>
      </w:r>
    </w:p>
    <w:p w14:paraId="27E0F227">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若同时进行了项目变更和设计变更，项目变更时已进行了考核，则不重复考核。</w:t>
      </w:r>
    </w:p>
    <w:p w14:paraId="70EAE19E">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由设计院发起的设计变更，对公司造成实质性损失的，由数智化工装技术中心相关人员依据合同约定提出考核。</w:t>
      </w:r>
    </w:p>
    <w:p w14:paraId="0A62C627">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由施工单位发起的设计变更，对公司造成实质性损失的，由项目办相关人员依据合同约定提出考核。</w:t>
      </w:r>
    </w:p>
    <w:bookmarkEnd w:id="567"/>
    <w:bookmarkEnd w:id="568"/>
    <w:bookmarkEnd w:id="569"/>
    <w:bookmarkEnd w:id="570"/>
    <w:bookmarkEnd w:id="571"/>
    <w:bookmarkEnd w:id="572"/>
    <w:bookmarkEnd w:id="573"/>
    <w:bookmarkEnd w:id="574"/>
    <w:bookmarkEnd w:id="575"/>
    <w:p w14:paraId="59383CA7">
      <w:pPr>
        <w:jc w:val="center"/>
        <w:rPr>
          <w:color w:val="auto"/>
          <w:highlight w:val="none"/>
        </w:rPr>
      </w:pPr>
      <w:bookmarkStart w:id="576" w:name="_Toc20393"/>
      <w:bookmarkStart w:id="577" w:name="_Toc21804"/>
      <w:bookmarkStart w:id="578" w:name="_Toc9166"/>
    </w:p>
    <w:p w14:paraId="0EB8EDA3">
      <w:pPr>
        <w:jc w:val="center"/>
        <w:rPr>
          <w:color w:val="auto"/>
          <w:highlight w:val="none"/>
        </w:rPr>
      </w:pPr>
    </w:p>
    <w:p w14:paraId="21704DA3">
      <w:pPr>
        <w:jc w:val="center"/>
        <w:rPr>
          <w:color w:val="auto"/>
          <w:highlight w:val="none"/>
        </w:rPr>
      </w:pPr>
    </w:p>
    <w:p w14:paraId="2FA3EFE2">
      <w:pPr>
        <w:jc w:val="center"/>
        <w:rPr>
          <w:color w:val="auto"/>
          <w:highlight w:val="none"/>
        </w:rPr>
      </w:pPr>
    </w:p>
    <w:p w14:paraId="6C5AFD0C">
      <w:pPr>
        <w:jc w:val="center"/>
        <w:rPr>
          <w:color w:val="auto"/>
          <w:highlight w:val="none"/>
        </w:rPr>
      </w:pPr>
    </w:p>
    <w:p w14:paraId="54745433">
      <w:pPr>
        <w:jc w:val="center"/>
        <w:rPr>
          <w:color w:val="auto"/>
          <w:highlight w:val="none"/>
        </w:rPr>
      </w:pPr>
    </w:p>
    <w:p w14:paraId="3FFC85EC">
      <w:pPr>
        <w:rPr>
          <w:color w:val="auto"/>
          <w:highlight w:val="none"/>
        </w:rPr>
      </w:pPr>
    </w:p>
    <w:p w14:paraId="6EDF6A77">
      <w:pPr>
        <w:rPr>
          <w:color w:val="auto"/>
          <w:highlight w:val="none"/>
        </w:rPr>
      </w:pPr>
    </w:p>
    <w:p w14:paraId="0609D40F">
      <w:pPr>
        <w:jc w:val="center"/>
        <w:rPr>
          <w:color w:val="auto"/>
          <w:highlight w:val="none"/>
        </w:rPr>
      </w:pPr>
      <w:r>
        <w:rPr>
          <w:color w:val="auto"/>
          <w:highlight w:val="none"/>
        </w:rPr>
        <w:br w:type="page"/>
      </w:r>
    </w:p>
    <w:p w14:paraId="35010F30">
      <w:pPr>
        <w:jc w:val="center"/>
        <w:rPr>
          <w:color w:val="auto"/>
          <w:sz w:val="36"/>
          <w:szCs w:val="36"/>
          <w:highlight w:val="none"/>
        </w:rPr>
      </w:pPr>
      <w:r>
        <w:rPr>
          <w:rFonts w:hint="eastAsia"/>
          <w:color w:val="auto"/>
          <w:highlight w:val="none"/>
        </w:rPr>
        <w:t>附录A</w:t>
      </w:r>
      <w:r>
        <w:rPr>
          <w:color w:val="auto"/>
          <w:highlight w:val="none"/>
        </w:rPr>
        <w:br w:type="textWrapping"/>
      </w:r>
      <w:r>
        <w:rPr>
          <w:rFonts w:hint="eastAsia"/>
          <w:color w:val="auto"/>
          <w:highlight w:val="none"/>
        </w:rPr>
        <w:t>（规范性附录）</w:t>
      </w:r>
      <w:r>
        <w:rPr>
          <w:color w:val="auto"/>
          <w:highlight w:val="none"/>
        </w:rPr>
        <w:br w:type="textWrapping"/>
      </w:r>
      <w:r>
        <w:rPr>
          <w:rFonts w:hint="eastAsia"/>
          <w:color w:val="auto"/>
          <w:szCs w:val="21"/>
          <w:highlight w:val="none"/>
        </w:rPr>
        <w:t>项目设计变更纪要</w:t>
      </w:r>
    </w:p>
    <w:p w14:paraId="659597CA">
      <w:pPr>
        <w:pStyle w:val="69"/>
        <w:jc w:val="left"/>
        <w:rPr>
          <w:color w:val="auto"/>
          <w:szCs w:val="21"/>
          <w:highlight w:val="none"/>
          <w:u w:val="single"/>
        </w:rPr>
      </w:pPr>
      <w:r>
        <w:rPr>
          <w:rFonts w:hint="eastAsia"/>
          <w:color w:val="auto"/>
          <w:szCs w:val="21"/>
          <w:highlight w:val="none"/>
        </w:rPr>
        <w:t>单位：</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S05.007.3-1</w:t>
      </w:r>
      <w:r>
        <w:rPr>
          <w:color w:val="auto"/>
          <w:szCs w:val="21"/>
          <w:highlight w:val="none"/>
        </w:rPr>
        <w:t xml:space="preserve">               </w:t>
      </w:r>
      <w:r>
        <w:rPr>
          <w:rFonts w:hint="eastAsia"/>
          <w:color w:val="auto"/>
          <w:szCs w:val="21"/>
          <w:highlight w:val="none"/>
        </w:rPr>
        <w:t xml:space="preserve">保存期 </w:t>
      </w:r>
      <w:r>
        <w:rPr>
          <w:rFonts w:hint="eastAsia"/>
          <w:color w:val="auto"/>
          <w:szCs w:val="21"/>
          <w:highlight w:val="none"/>
          <w:u w:val="single"/>
        </w:rPr>
        <w:t>长期</w:t>
      </w:r>
    </w:p>
    <w:tbl>
      <w:tblPr>
        <w:tblStyle w:val="20"/>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704"/>
      </w:tblGrid>
      <w:tr w14:paraId="3A0100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49E8DD67">
            <w:pPr>
              <w:jc w:val="center"/>
              <w:rPr>
                <w:rFonts w:ascii="宋体"/>
                <w:color w:val="auto"/>
                <w:szCs w:val="21"/>
                <w:highlight w:val="none"/>
              </w:rPr>
            </w:pPr>
            <w:r>
              <w:rPr>
                <w:rFonts w:hint="eastAsia" w:ascii="宋体"/>
                <w:color w:val="auto"/>
                <w:szCs w:val="21"/>
                <w:highlight w:val="none"/>
              </w:rPr>
              <w:t>项目名称</w:t>
            </w:r>
          </w:p>
        </w:tc>
        <w:tc>
          <w:tcPr>
            <w:tcW w:w="6965" w:type="dxa"/>
            <w:gridSpan w:val="3"/>
          </w:tcPr>
          <w:p w14:paraId="0288CFA9">
            <w:pPr>
              <w:jc w:val="center"/>
              <w:rPr>
                <w:rFonts w:ascii="宋体"/>
                <w:color w:val="auto"/>
                <w:szCs w:val="21"/>
                <w:highlight w:val="none"/>
              </w:rPr>
            </w:pPr>
          </w:p>
        </w:tc>
      </w:tr>
      <w:tr w14:paraId="5AC7C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3AB85033">
            <w:pPr>
              <w:jc w:val="center"/>
              <w:rPr>
                <w:rFonts w:ascii="宋体"/>
                <w:color w:val="auto"/>
                <w:szCs w:val="21"/>
                <w:highlight w:val="none"/>
              </w:rPr>
            </w:pPr>
            <w:r>
              <w:rPr>
                <w:rFonts w:hint="eastAsia" w:ascii="宋体"/>
                <w:color w:val="auto"/>
                <w:szCs w:val="21"/>
                <w:highlight w:val="none"/>
              </w:rPr>
              <w:t>主 持 人</w:t>
            </w:r>
          </w:p>
        </w:tc>
        <w:tc>
          <w:tcPr>
            <w:tcW w:w="2130" w:type="dxa"/>
          </w:tcPr>
          <w:p w14:paraId="03DE9D99">
            <w:pPr>
              <w:jc w:val="center"/>
              <w:rPr>
                <w:rFonts w:ascii="宋体"/>
                <w:color w:val="auto"/>
                <w:szCs w:val="21"/>
                <w:highlight w:val="none"/>
              </w:rPr>
            </w:pPr>
          </w:p>
        </w:tc>
        <w:tc>
          <w:tcPr>
            <w:tcW w:w="2131" w:type="dxa"/>
          </w:tcPr>
          <w:p w14:paraId="2C239B2F">
            <w:pPr>
              <w:jc w:val="center"/>
              <w:rPr>
                <w:rFonts w:ascii="宋体"/>
                <w:color w:val="auto"/>
                <w:szCs w:val="21"/>
                <w:highlight w:val="none"/>
              </w:rPr>
            </w:pPr>
            <w:r>
              <w:rPr>
                <w:rFonts w:hint="eastAsia" w:ascii="宋体"/>
                <w:color w:val="auto"/>
                <w:szCs w:val="21"/>
                <w:highlight w:val="none"/>
              </w:rPr>
              <w:t>组织部门</w:t>
            </w:r>
          </w:p>
        </w:tc>
        <w:tc>
          <w:tcPr>
            <w:tcW w:w="2704" w:type="dxa"/>
          </w:tcPr>
          <w:p w14:paraId="1ED68940">
            <w:pPr>
              <w:jc w:val="center"/>
              <w:rPr>
                <w:rFonts w:ascii="宋体"/>
                <w:color w:val="auto"/>
                <w:szCs w:val="21"/>
                <w:highlight w:val="none"/>
              </w:rPr>
            </w:pPr>
          </w:p>
        </w:tc>
      </w:tr>
      <w:tr w14:paraId="398D84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386A5776">
            <w:pPr>
              <w:jc w:val="center"/>
              <w:rPr>
                <w:rFonts w:ascii="宋体"/>
                <w:color w:val="auto"/>
                <w:szCs w:val="21"/>
                <w:highlight w:val="none"/>
              </w:rPr>
            </w:pPr>
            <w:r>
              <w:rPr>
                <w:rFonts w:hint="eastAsia" w:ascii="宋体"/>
                <w:color w:val="auto"/>
                <w:szCs w:val="21"/>
                <w:highlight w:val="none"/>
              </w:rPr>
              <w:t>会议时间</w:t>
            </w:r>
          </w:p>
        </w:tc>
        <w:tc>
          <w:tcPr>
            <w:tcW w:w="2130" w:type="dxa"/>
          </w:tcPr>
          <w:p w14:paraId="669FBA81">
            <w:pPr>
              <w:jc w:val="center"/>
              <w:rPr>
                <w:rFonts w:ascii="宋体"/>
                <w:color w:val="auto"/>
                <w:szCs w:val="21"/>
                <w:highlight w:val="none"/>
              </w:rPr>
            </w:pPr>
          </w:p>
        </w:tc>
        <w:tc>
          <w:tcPr>
            <w:tcW w:w="2131" w:type="dxa"/>
          </w:tcPr>
          <w:p w14:paraId="0C8C5A7D">
            <w:pPr>
              <w:jc w:val="center"/>
              <w:rPr>
                <w:rFonts w:ascii="宋体"/>
                <w:color w:val="auto"/>
                <w:szCs w:val="21"/>
                <w:highlight w:val="none"/>
              </w:rPr>
            </w:pPr>
            <w:r>
              <w:rPr>
                <w:rFonts w:hint="eastAsia" w:ascii="宋体"/>
                <w:color w:val="auto"/>
                <w:szCs w:val="21"/>
                <w:highlight w:val="none"/>
              </w:rPr>
              <w:t>会议地点</w:t>
            </w:r>
          </w:p>
        </w:tc>
        <w:tc>
          <w:tcPr>
            <w:tcW w:w="2704" w:type="dxa"/>
          </w:tcPr>
          <w:p w14:paraId="69F50208">
            <w:pPr>
              <w:jc w:val="center"/>
              <w:rPr>
                <w:rFonts w:ascii="宋体"/>
                <w:color w:val="auto"/>
                <w:szCs w:val="21"/>
                <w:highlight w:val="none"/>
              </w:rPr>
            </w:pPr>
          </w:p>
        </w:tc>
      </w:tr>
      <w:tr w14:paraId="551B99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16A6A427">
            <w:pPr>
              <w:jc w:val="center"/>
              <w:rPr>
                <w:rFonts w:ascii="宋体"/>
                <w:color w:val="auto"/>
                <w:szCs w:val="21"/>
                <w:highlight w:val="none"/>
              </w:rPr>
            </w:pPr>
            <w:r>
              <w:rPr>
                <w:rFonts w:hint="eastAsia" w:ascii="宋体"/>
                <w:color w:val="auto"/>
                <w:szCs w:val="21"/>
                <w:highlight w:val="none"/>
              </w:rPr>
              <w:t>设计变更名称</w:t>
            </w:r>
          </w:p>
        </w:tc>
        <w:tc>
          <w:tcPr>
            <w:tcW w:w="6965" w:type="dxa"/>
            <w:gridSpan w:val="3"/>
          </w:tcPr>
          <w:p w14:paraId="3C4E6F4F">
            <w:pPr>
              <w:jc w:val="center"/>
              <w:rPr>
                <w:rFonts w:ascii="宋体"/>
                <w:color w:val="auto"/>
                <w:szCs w:val="21"/>
                <w:highlight w:val="none"/>
              </w:rPr>
            </w:pPr>
          </w:p>
        </w:tc>
      </w:tr>
      <w:tr w14:paraId="386B27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8" w:hRule="atLeast"/>
          <w:jc w:val="center"/>
        </w:trPr>
        <w:tc>
          <w:tcPr>
            <w:tcW w:w="9095" w:type="dxa"/>
            <w:gridSpan w:val="4"/>
          </w:tcPr>
          <w:p w14:paraId="6F4F5AE9">
            <w:pPr>
              <w:rPr>
                <w:rFonts w:ascii="宋体"/>
                <w:color w:val="auto"/>
                <w:szCs w:val="21"/>
                <w:highlight w:val="none"/>
              </w:rPr>
            </w:pPr>
            <w:r>
              <w:rPr>
                <w:rFonts w:hint="eastAsia" w:ascii="宋体"/>
                <w:color w:val="auto"/>
                <w:szCs w:val="21"/>
                <w:highlight w:val="none"/>
              </w:rPr>
              <w:t>参会人员签字：</w:t>
            </w:r>
          </w:p>
          <w:p w14:paraId="33528516">
            <w:pPr>
              <w:jc w:val="left"/>
              <w:rPr>
                <w:rFonts w:ascii="宋体"/>
                <w:color w:val="auto"/>
                <w:szCs w:val="21"/>
                <w:highlight w:val="none"/>
              </w:rPr>
            </w:pPr>
          </w:p>
          <w:p w14:paraId="2BA63206">
            <w:pPr>
              <w:rPr>
                <w:rFonts w:ascii="宋体"/>
                <w:color w:val="auto"/>
                <w:szCs w:val="21"/>
                <w:highlight w:val="none"/>
              </w:rPr>
            </w:pPr>
          </w:p>
          <w:p w14:paraId="799F7441">
            <w:pPr>
              <w:rPr>
                <w:rFonts w:ascii="宋体"/>
                <w:color w:val="auto"/>
                <w:szCs w:val="21"/>
                <w:highlight w:val="none"/>
              </w:rPr>
            </w:pPr>
          </w:p>
          <w:p w14:paraId="0C9A9E15">
            <w:pPr>
              <w:rPr>
                <w:rFonts w:ascii="宋体"/>
                <w:color w:val="auto"/>
                <w:szCs w:val="21"/>
                <w:highlight w:val="none"/>
              </w:rPr>
            </w:pPr>
          </w:p>
          <w:p w14:paraId="7B60B8B9">
            <w:pPr>
              <w:rPr>
                <w:rFonts w:ascii="宋体"/>
                <w:color w:val="auto"/>
                <w:szCs w:val="21"/>
                <w:highlight w:val="none"/>
              </w:rPr>
            </w:pPr>
          </w:p>
          <w:p w14:paraId="280F262C">
            <w:pPr>
              <w:rPr>
                <w:rFonts w:ascii="宋体"/>
                <w:color w:val="auto"/>
                <w:szCs w:val="21"/>
                <w:highlight w:val="none"/>
              </w:rPr>
            </w:pPr>
          </w:p>
        </w:tc>
      </w:tr>
      <w:tr w14:paraId="749B3F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9095" w:type="dxa"/>
            <w:gridSpan w:val="4"/>
          </w:tcPr>
          <w:p w14:paraId="1F8F5997">
            <w:pPr>
              <w:rPr>
                <w:rFonts w:ascii="宋体"/>
                <w:color w:val="auto"/>
                <w:szCs w:val="21"/>
                <w:highlight w:val="none"/>
              </w:rPr>
            </w:pPr>
            <w:r>
              <w:rPr>
                <w:rFonts w:hint="eastAsia" w:ascii="宋体"/>
                <w:color w:val="auto"/>
                <w:szCs w:val="21"/>
                <w:highlight w:val="none"/>
              </w:rPr>
              <w:t>设计变更会议内容：</w:t>
            </w:r>
          </w:p>
          <w:p w14:paraId="4B986B4F">
            <w:pPr>
              <w:rPr>
                <w:rFonts w:ascii="宋体"/>
                <w:b/>
                <w:color w:val="auto"/>
                <w:szCs w:val="21"/>
                <w:highlight w:val="none"/>
              </w:rPr>
            </w:pPr>
          </w:p>
          <w:p w14:paraId="53918DD4">
            <w:pPr>
              <w:rPr>
                <w:rFonts w:ascii="宋体"/>
                <w:b/>
                <w:color w:val="auto"/>
                <w:szCs w:val="21"/>
                <w:highlight w:val="none"/>
              </w:rPr>
            </w:pPr>
          </w:p>
          <w:p w14:paraId="4A0DB9B4">
            <w:pPr>
              <w:rPr>
                <w:rFonts w:ascii="宋体"/>
                <w:b/>
                <w:color w:val="auto"/>
                <w:szCs w:val="21"/>
                <w:highlight w:val="none"/>
              </w:rPr>
            </w:pPr>
          </w:p>
          <w:p w14:paraId="1BB54D36">
            <w:pPr>
              <w:rPr>
                <w:rFonts w:ascii="宋体"/>
                <w:b/>
                <w:color w:val="auto"/>
                <w:szCs w:val="21"/>
                <w:highlight w:val="none"/>
              </w:rPr>
            </w:pPr>
          </w:p>
          <w:p w14:paraId="3D61FCDA">
            <w:pPr>
              <w:rPr>
                <w:rFonts w:ascii="宋体"/>
                <w:b/>
                <w:color w:val="auto"/>
                <w:szCs w:val="21"/>
                <w:highlight w:val="none"/>
              </w:rPr>
            </w:pPr>
          </w:p>
          <w:p w14:paraId="6E4877F2">
            <w:pPr>
              <w:rPr>
                <w:rFonts w:ascii="宋体"/>
                <w:b/>
                <w:color w:val="auto"/>
                <w:szCs w:val="21"/>
                <w:highlight w:val="none"/>
              </w:rPr>
            </w:pPr>
          </w:p>
          <w:p w14:paraId="08CC2CCD">
            <w:pPr>
              <w:rPr>
                <w:rFonts w:ascii="宋体"/>
                <w:b/>
                <w:color w:val="auto"/>
                <w:szCs w:val="21"/>
                <w:highlight w:val="none"/>
              </w:rPr>
            </w:pPr>
          </w:p>
          <w:p w14:paraId="6610EFAD">
            <w:pPr>
              <w:rPr>
                <w:rFonts w:ascii="宋体"/>
                <w:b/>
                <w:color w:val="auto"/>
                <w:szCs w:val="21"/>
                <w:highlight w:val="none"/>
              </w:rPr>
            </w:pPr>
          </w:p>
          <w:p w14:paraId="53AB7668">
            <w:pPr>
              <w:rPr>
                <w:rFonts w:ascii="宋体"/>
                <w:b/>
                <w:color w:val="auto"/>
                <w:szCs w:val="21"/>
                <w:highlight w:val="none"/>
              </w:rPr>
            </w:pPr>
          </w:p>
          <w:p w14:paraId="388E70CD">
            <w:pPr>
              <w:rPr>
                <w:rFonts w:ascii="宋体"/>
                <w:b/>
                <w:color w:val="auto"/>
                <w:szCs w:val="21"/>
                <w:highlight w:val="none"/>
              </w:rPr>
            </w:pPr>
          </w:p>
          <w:p w14:paraId="44C4F1B8">
            <w:pPr>
              <w:rPr>
                <w:rFonts w:ascii="宋体"/>
                <w:b/>
                <w:color w:val="auto"/>
                <w:szCs w:val="21"/>
                <w:highlight w:val="none"/>
              </w:rPr>
            </w:pPr>
          </w:p>
          <w:p w14:paraId="76896B39">
            <w:pPr>
              <w:rPr>
                <w:rFonts w:ascii="宋体"/>
                <w:b/>
                <w:color w:val="auto"/>
                <w:szCs w:val="21"/>
                <w:highlight w:val="none"/>
              </w:rPr>
            </w:pPr>
          </w:p>
          <w:p w14:paraId="157F3746">
            <w:pPr>
              <w:rPr>
                <w:rFonts w:ascii="宋体"/>
                <w:b/>
                <w:color w:val="auto"/>
                <w:szCs w:val="21"/>
                <w:highlight w:val="none"/>
              </w:rPr>
            </w:pPr>
          </w:p>
          <w:p w14:paraId="0D095EA6">
            <w:pPr>
              <w:rPr>
                <w:rFonts w:ascii="宋体"/>
                <w:b/>
                <w:color w:val="auto"/>
                <w:szCs w:val="21"/>
                <w:highlight w:val="none"/>
              </w:rPr>
            </w:pPr>
          </w:p>
          <w:p w14:paraId="52DE662D">
            <w:pPr>
              <w:rPr>
                <w:rFonts w:ascii="宋体"/>
                <w:b/>
                <w:color w:val="auto"/>
                <w:szCs w:val="21"/>
                <w:highlight w:val="none"/>
              </w:rPr>
            </w:pPr>
          </w:p>
          <w:p w14:paraId="79376B02">
            <w:pPr>
              <w:ind w:right="240"/>
              <w:jc w:val="right"/>
              <w:rPr>
                <w:rFonts w:ascii="宋体"/>
                <w:color w:val="auto"/>
                <w:szCs w:val="21"/>
                <w:highlight w:val="none"/>
              </w:rPr>
            </w:pPr>
          </w:p>
        </w:tc>
      </w:tr>
      <w:tr w14:paraId="63483B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130" w:type="dxa"/>
            <w:vAlign w:val="center"/>
          </w:tcPr>
          <w:p w14:paraId="4B73500C">
            <w:pPr>
              <w:jc w:val="center"/>
              <w:rPr>
                <w:rFonts w:ascii="宋体"/>
                <w:color w:val="auto"/>
                <w:szCs w:val="21"/>
                <w:highlight w:val="none"/>
              </w:rPr>
            </w:pPr>
            <w:r>
              <w:rPr>
                <w:rFonts w:hint="eastAsia" w:ascii="宋体"/>
                <w:color w:val="auto"/>
                <w:szCs w:val="21"/>
                <w:highlight w:val="none"/>
              </w:rPr>
              <w:t>记录人</w:t>
            </w:r>
          </w:p>
        </w:tc>
        <w:tc>
          <w:tcPr>
            <w:tcW w:w="2130" w:type="dxa"/>
            <w:vAlign w:val="center"/>
          </w:tcPr>
          <w:p w14:paraId="3D5546C1">
            <w:pPr>
              <w:rPr>
                <w:rFonts w:ascii="宋体"/>
                <w:color w:val="auto"/>
                <w:szCs w:val="21"/>
                <w:highlight w:val="none"/>
              </w:rPr>
            </w:pPr>
          </w:p>
        </w:tc>
        <w:tc>
          <w:tcPr>
            <w:tcW w:w="2131" w:type="dxa"/>
            <w:vAlign w:val="center"/>
          </w:tcPr>
          <w:p w14:paraId="70B2DA9D">
            <w:pPr>
              <w:jc w:val="center"/>
              <w:rPr>
                <w:rFonts w:ascii="宋体"/>
                <w:color w:val="auto"/>
                <w:szCs w:val="21"/>
                <w:highlight w:val="none"/>
              </w:rPr>
            </w:pPr>
            <w:r>
              <w:rPr>
                <w:rFonts w:hint="eastAsia" w:ascii="宋体"/>
                <w:color w:val="auto"/>
                <w:szCs w:val="21"/>
                <w:highlight w:val="none"/>
              </w:rPr>
              <w:t>审核</w:t>
            </w:r>
          </w:p>
        </w:tc>
        <w:tc>
          <w:tcPr>
            <w:tcW w:w="2704" w:type="dxa"/>
            <w:vAlign w:val="center"/>
          </w:tcPr>
          <w:p w14:paraId="39F66A76">
            <w:pPr>
              <w:rPr>
                <w:rFonts w:ascii="宋体"/>
                <w:color w:val="auto"/>
                <w:szCs w:val="21"/>
                <w:highlight w:val="none"/>
              </w:rPr>
            </w:pPr>
          </w:p>
        </w:tc>
      </w:tr>
    </w:tbl>
    <w:p w14:paraId="4AE2FA7C">
      <w:pPr>
        <w:jc w:val="center"/>
        <w:rPr>
          <w:color w:val="auto"/>
          <w:highlight w:val="none"/>
        </w:rPr>
      </w:pPr>
    </w:p>
    <w:p w14:paraId="1ECE92C2">
      <w:pPr>
        <w:jc w:val="center"/>
        <w:rPr>
          <w:color w:val="auto"/>
          <w:highlight w:val="none"/>
        </w:rPr>
      </w:pPr>
    </w:p>
    <w:p w14:paraId="0B440E14">
      <w:pPr>
        <w:jc w:val="center"/>
        <w:rPr>
          <w:color w:val="auto"/>
          <w:highlight w:val="none"/>
        </w:rPr>
      </w:pPr>
    </w:p>
    <w:p w14:paraId="78ED79F9">
      <w:pPr>
        <w:rPr>
          <w:color w:val="auto"/>
          <w:highlight w:val="none"/>
        </w:rPr>
      </w:pPr>
    </w:p>
    <w:p w14:paraId="5FC2C469">
      <w:pPr>
        <w:jc w:val="center"/>
        <w:rPr>
          <w:color w:val="auto"/>
          <w:highlight w:val="none"/>
        </w:rPr>
      </w:pPr>
    </w:p>
    <w:p w14:paraId="1407D339">
      <w:pPr>
        <w:jc w:val="center"/>
        <w:rPr>
          <w:color w:val="auto"/>
          <w:highlight w:val="none"/>
        </w:rPr>
      </w:pPr>
    </w:p>
    <w:bookmarkEnd w:id="576"/>
    <w:bookmarkEnd w:id="577"/>
    <w:bookmarkEnd w:id="578"/>
    <w:p w14:paraId="1C6DD953">
      <w:pPr>
        <w:jc w:val="center"/>
        <w:rPr>
          <w:color w:val="auto"/>
          <w:highlight w:val="none"/>
        </w:rPr>
      </w:pPr>
      <w:bookmarkStart w:id="579" w:name="_Toc6085"/>
      <w:bookmarkEnd w:id="579"/>
      <w:bookmarkStart w:id="580" w:name="_Toc7361"/>
      <w:bookmarkEnd w:id="580"/>
      <w:bookmarkStart w:id="581" w:name="_Toc12503"/>
      <w:bookmarkEnd w:id="581"/>
      <w:bookmarkStart w:id="582" w:name="_Toc17657"/>
      <w:bookmarkEnd w:id="582"/>
      <w:r>
        <w:rPr>
          <w:rFonts w:hint="eastAsia"/>
          <w:color w:val="auto"/>
          <w:highlight w:val="none"/>
        </w:rPr>
        <w:t>附录B</w:t>
      </w:r>
      <w:r>
        <w:rPr>
          <w:color w:val="auto"/>
          <w:highlight w:val="none"/>
        </w:rPr>
        <w:br w:type="textWrapping"/>
      </w:r>
      <w:r>
        <w:rPr>
          <w:rFonts w:hint="eastAsia"/>
          <w:color w:val="auto"/>
          <w:highlight w:val="none"/>
        </w:rPr>
        <w:t>（规范性附录）</w:t>
      </w:r>
    </w:p>
    <w:p w14:paraId="0370129B">
      <w:pPr>
        <w:jc w:val="center"/>
        <w:rPr>
          <w:color w:val="auto"/>
          <w:highlight w:val="none"/>
        </w:rPr>
      </w:pPr>
      <w:r>
        <w:rPr>
          <w:rFonts w:hint="eastAsia"/>
          <w:color w:val="auto"/>
          <w:highlight w:val="none"/>
        </w:rPr>
        <w:t>工程设计变更申请审批表（建设单位）</w:t>
      </w:r>
    </w:p>
    <w:p w14:paraId="000CCF76">
      <w:pPr>
        <w:pStyle w:val="69"/>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2</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49"/>
        <w:gridCol w:w="1605"/>
        <w:gridCol w:w="48"/>
        <w:gridCol w:w="1241"/>
        <w:gridCol w:w="1565"/>
        <w:gridCol w:w="2793"/>
      </w:tblGrid>
      <w:tr w14:paraId="1F2F0C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949" w:type="dxa"/>
            <w:tcBorders>
              <w:top w:val="single" w:color="auto" w:sz="12" w:space="0"/>
              <w:left w:val="single" w:color="auto" w:sz="12" w:space="0"/>
              <w:bottom w:val="single" w:color="auto" w:sz="6" w:space="0"/>
              <w:right w:val="single" w:color="auto" w:sz="6" w:space="0"/>
            </w:tcBorders>
            <w:vAlign w:val="center"/>
          </w:tcPr>
          <w:p w14:paraId="0E8C00CD">
            <w:pPr>
              <w:snapToGrid w:val="0"/>
              <w:jc w:val="center"/>
              <w:rPr>
                <w:color w:val="auto"/>
                <w:sz w:val="24"/>
                <w:highlight w:val="none"/>
              </w:rPr>
            </w:pPr>
            <w:r>
              <w:rPr>
                <w:rFonts w:hint="eastAsia"/>
                <w:color w:val="auto"/>
                <w:sz w:val="24"/>
                <w:highlight w:val="none"/>
              </w:rPr>
              <w:t>工程名称</w:t>
            </w:r>
          </w:p>
        </w:tc>
        <w:tc>
          <w:tcPr>
            <w:tcW w:w="2894" w:type="dxa"/>
            <w:gridSpan w:val="3"/>
            <w:tcBorders>
              <w:top w:val="single" w:color="auto" w:sz="12" w:space="0"/>
              <w:left w:val="single" w:color="auto" w:sz="6" w:space="0"/>
              <w:bottom w:val="single" w:color="auto" w:sz="6" w:space="0"/>
              <w:right w:val="single" w:color="auto" w:sz="6" w:space="0"/>
            </w:tcBorders>
            <w:vAlign w:val="center"/>
          </w:tcPr>
          <w:p w14:paraId="62C0F863">
            <w:pPr>
              <w:snapToGrid w:val="0"/>
              <w:jc w:val="center"/>
              <w:rPr>
                <w:color w:val="auto"/>
                <w:sz w:val="24"/>
                <w:highlight w:val="none"/>
              </w:rPr>
            </w:pPr>
          </w:p>
        </w:tc>
        <w:tc>
          <w:tcPr>
            <w:tcW w:w="1565" w:type="dxa"/>
            <w:tcBorders>
              <w:top w:val="single" w:color="auto" w:sz="12" w:space="0"/>
              <w:left w:val="single" w:color="auto" w:sz="6" w:space="0"/>
              <w:bottom w:val="single" w:color="auto" w:sz="6" w:space="0"/>
              <w:right w:val="single" w:color="auto" w:sz="6" w:space="0"/>
            </w:tcBorders>
            <w:vAlign w:val="center"/>
          </w:tcPr>
          <w:p w14:paraId="366BFCE8">
            <w:pPr>
              <w:snapToGrid w:val="0"/>
              <w:jc w:val="center"/>
              <w:rPr>
                <w:color w:val="auto"/>
                <w:sz w:val="24"/>
                <w:highlight w:val="none"/>
              </w:rPr>
            </w:pPr>
            <w:r>
              <w:rPr>
                <w:rFonts w:hint="eastAsia"/>
                <w:color w:val="auto"/>
                <w:sz w:val="24"/>
                <w:highlight w:val="none"/>
              </w:rPr>
              <w:t>变更部位</w:t>
            </w:r>
          </w:p>
        </w:tc>
        <w:tc>
          <w:tcPr>
            <w:tcW w:w="2793" w:type="dxa"/>
            <w:tcBorders>
              <w:top w:val="single" w:color="auto" w:sz="12" w:space="0"/>
              <w:left w:val="single" w:color="auto" w:sz="6" w:space="0"/>
              <w:bottom w:val="single" w:color="auto" w:sz="6" w:space="0"/>
              <w:right w:val="single" w:color="auto" w:sz="12" w:space="0"/>
            </w:tcBorders>
            <w:vAlign w:val="center"/>
          </w:tcPr>
          <w:p w14:paraId="30D17C04">
            <w:pPr>
              <w:snapToGrid w:val="0"/>
              <w:jc w:val="center"/>
              <w:rPr>
                <w:color w:val="auto"/>
                <w:sz w:val="24"/>
                <w:highlight w:val="none"/>
              </w:rPr>
            </w:pPr>
          </w:p>
        </w:tc>
      </w:tr>
      <w:tr w14:paraId="500161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3" w:hRule="atLeast"/>
          <w:jc w:val="center"/>
        </w:trPr>
        <w:tc>
          <w:tcPr>
            <w:tcW w:w="1949" w:type="dxa"/>
            <w:tcBorders>
              <w:top w:val="single" w:color="auto" w:sz="6" w:space="0"/>
              <w:left w:val="single" w:color="auto" w:sz="12" w:space="0"/>
              <w:bottom w:val="single" w:color="auto" w:sz="6" w:space="0"/>
              <w:right w:val="single" w:color="auto" w:sz="6" w:space="0"/>
            </w:tcBorders>
            <w:vAlign w:val="center"/>
          </w:tcPr>
          <w:p w14:paraId="08743EC0">
            <w:pPr>
              <w:snapToGrid w:val="0"/>
              <w:jc w:val="center"/>
              <w:rPr>
                <w:color w:val="auto"/>
                <w:sz w:val="24"/>
                <w:highlight w:val="none"/>
              </w:rPr>
            </w:pPr>
            <w:r>
              <w:rPr>
                <w:rFonts w:hint="eastAsia"/>
                <w:color w:val="auto"/>
                <w:sz w:val="24"/>
                <w:highlight w:val="none"/>
              </w:rPr>
              <w:t>原设计图名称</w:t>
            </w:r>
          </w:p>
        </w:tc>
        <w:tc>
          <w:tcPr>
            <w:tcW w:w="2894" w:type="dxa"/>
            <w:gridSpan w:val="3"/>
            <w:tcBorders>
              <w:top w:val="single" w:color="auto" w:sz="6" w:space="0"/>
              <w:left w:val="single" w:color="auto" w:sz="6" w:space="0"/>
              <w:bottom w:val="single" w:color="auto" w:sz="6" w:space="0"/>
              <w:right w:val="single" w:color="auto" w:sz="6" w:space="0"/>
            </w:tcBorders>
            <w:vAlign w:val="center"/>
          </w:tcPr>
          <w:p w14:paraId="5BC61C1E">
            <w:pPr>
              <w:snapToGrid w:val="0"/>
              <w:jc w:val="center"/>
              <w:rPr>
                <w:color w:val="auto"/>
                <w:sz w:val="24"/>
                <w:highlight w:val="none"/>
              </w:rPr>
            </w:pPr>
          </w:p>
        </w:tc>
        <w:tc>
          <w:tcPr>
            <w:tcW w:w="1565" w:type="dxa"/>
            <w:tcBorders>
              <w:top w:val="single" w:color="auto" w:sz="6" w:space="0"/>
              <w:left w:val="single" w:color="auto" w:sz="6" w:space="0"/>
              <w:bottom w:val="single" w:color="auto" w:sz="6" w:space="0"/>
              <w:right w:val="single" w:color="auto" w:sz="6" w:space="0"/>
            </w:tcBorders>
            <w:vAlign w:val="center"/>
          </w:tcPr>
          <w:p w14:paraId="4E95D839">
            <w:pPr>
              <w:snapToGrid w:val="0"/>
              <w:ind w:left="-134" w:leftChars="-64"/>
              <w:jc w:val="center"/>
              <w:rPr>
                <w:color w:val="auto"/>
                <w:sz w:val="24"/>
                <w:highlight w:val="none"/>
              </w:rPr>
            </w:pPr>
            <w:r>
              <w:rPr>
                <w:rFonts w:hint="eastAsia"/>
                <w:color w:val="auto"/>
                <w:sz w:val="24"/>
                <w:highlight w:val="none"/>
              </w:rPr>
              <w:t>图    号</w:t>
            </w:r>
          </w:p>
        </w:tc>
        <w:tc>
          <w:tcPr>
            <w:tcW w:w="2793" w:type="dxa"/>
            <w:tcBorders>
              <w:top w:val="single" w:color="auto" w:sz="6" w:space="0"/>
              <w:left w:val="single" w:color="auto" w:sz="6" w:space="0"/>
              <w:bottom w:val="single" w:color="auto" w:sz="6" w:space="0"/>
              <w:right w:val="single" w:color="auto" w:sz="12" w:space="0"/>
            </w:tcBorders>
            <w:vAlign w:val="center"/>
          </w:tcPr>
          <w:p w14:paraId="30CB0D52">
            <w:pPr>
              <w:snapToGrid w:val="0"/>
              <w:jc w:val="center"/>
              <w:rPr>
                <w:color w:val="auto"/>
                <w:sz w:val="24"/>
                <w:highlight w:val="none"/>
              </w:rPr>
            </w:pPr>
          </w:p>
        </w:tc>
      </w:tr>
      <w:tr w14:paraId="02472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50" w:hRule="atLeast"/>
          <w:jc w:val="center"/>
        </w:trPr>
        <w:tc>
          <w:tcPr>
            <w:tcW w:w="9201" w:type="dxa"/>
            <w:gridSpan w:val="6"/>
            <w:tcBorders>
              <w:top w:val="single" w:color="auto" w:sz="6" w:space="0"/>
              <w:left w:val="single" w:color="auto" w:sz="12" w:space="0"/>
              <w:bottom w:val="single" w:color="auto" w:sz="4" w:space="0"/>
              <w:right w:val="single" w:color="auto" w:sz="12" w:space="0"/>
            </w:tcBorders>
            <w:vAlign w:val="center"/>
          </w:tcPr>
          <w:p w14:paraId="50B47D27">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664A45CF">
            <w:pPr>
              <w:snapToGrid w:val="0"/>
              <w:rPr>
                <w:color w:val="auto"/>
                <w:sz w:val="24"/>
                <w:highlight w:val="none"/>
              </w:rPr>
            </w:pPr>
          </w:p>
          <w:p w14:paraId="07D209D1">
            <w:pPr>
              <w:snapToGrid w:val="0"/>
              <w:rPr>
                <w:color w:val="auto"/>
                <w:sz w:val="24"/>
                <w:highlight w:val="none"/>
              </w:rPr>
            </w:pPr>
          </w:p>
          <w:p w14:paraId="54DE9F39">
            <w:pPr>
              <w:snapToGrid w:val="0"/>
              <w:rPr>
                <w:color w:val="auto"/>
                <w:sz w:val="24"/>
                <w:highlight w:val="none"/>
              </w:rPr>
            </w:pPr>
          </w:p>
          <w:p w14:paraId="353E2E9F">
            <w:pPr>
              <w:snapToGrid w:val="0"/>
              <w:rPr>
                <w:color w:val="auto"/>
                <w:sz w:val="24"/>
                <w:highlight w:val="none"/>
              </w:rPr>
            </w:pPr>
          </w:p>
          <w:p w14:paraId="1E4D7D2A">
            <w:pPr>
              <w:snapToGrid w:val="0"/>
              <w:rPr>
                <w:color w:val="auto"/>
                <w:sz w:val="24"/>
                <w:highlight w:val="none"/>
              </w:rPr>
            </w:pPr>
          </w:p>
          <w:p w14:paraId="0FEF7EF2">
            <w:pPr>
              <w:snapToGrid w:val="0"/>
              <w:rPr>
                <w:color w:val="auto"/>
                <w:sz w:val="24"/>
                <w:highlight w:val="none"/>
              </w:rPr>
            </w:pPr>
          </w:p>
          <w:p w14:paraId="56702740">
            <w:pPr>
              <w:snapToGrid w:val="0"/>
              <w:rPr>
                <w:color w:val="auto"/>
                <w:sz w:val="24"/>
                <w:highlight w:val="none"/>
              </w:rPr>
            </w:pPr>
          </w:p>
          <w:p w14:paraId="00244A8F">
            <w:pPr>
              <w:snapToGrid w:val="0"/>
              <w:rPr>
                <w:color w:val="auto"/>
                <w:sz w:val="24"/>
                <w:highlight w:val="none"/>
              </w:rPr>
            </w:pPr>
          </w:p>
          <w:p w14:paraId="758CE086">
            <w:pPr>
              <w:snapToGrid w:val="0"/>
              <w:rPr>
                <w:color w:val="auto"/>
                <w:sz w:val="24"/>
                <w:highlight w:val="none"/>
              </w:rPr>
            </w:pPr>
          </w:p>
          <w:p w14:paraId="25864D29">
            <w:pPr>
              <w:snapToGrid w:val="0"/>
              <w:rPr>
                <w:color w:val="auto"/>
                <w:sz w:val="24"/>
                <w:highlight w:val="none"/>
              </w:rPr>
            </w:pPr>
          </w:p>
          <w:p w14:paraId="35707CFA">
            <w:pPr>
              <w:snapToGrid w:val="0"/>
              <w:rPr>
                <w:color w:val="auto"/>
                <w:sz w:val="24"/>
                <w:highlight w:val="none"/>
              </w:rPr>
            </w:pPr>
          </w:p>
        </w:tc>
      </w:tr>
      <w:tr w14:paraId="3778D3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0" w:hRule="atLeast"/>
          <w:jc w:val="center"/>
        </w:trPr>
        <w:tc>
          <w:tcPr>
            <w:tcW w:w="9201" w:type="dxa"/>
            <w:gridSpan w:val="6"/>
            <w:tcBorders>
              <w:top w:val="single" w:color="auto" w:sz="4" w:space="0"/>
              <w:left w:val="single" w:color="auto" w:sz="12" w:space="0"/>
              <w:bottom w:val="single" w:color="auto" w:sz="6" w:space="0"/>
              <w:right w:val="single" w:color="auto" w:sz="12" w:space="0"/>
            </w:tcBorders>
            <w:vAlign w:val="center"/>
          </w:tcPr>
          <w:p w14:paraId="20FD8FA7">
            <w:pPr>
              <w:snapToGrid w:val="0"/>
              <w:rPr>
                <w:color w:val="auto"/>
                <w:sz w:val="24"/>
                <w:highlight w:val="none"/>
              </w:rPr>
            </w:pPr>
            <w:r>
              <w:rPr>
                <w:rFonts w:hint="eastAsia"/>
                <w:color w:val="auto"/>
                <w:sz w:val="24"/>
                <w:highlight w:val="none"/>
              </w:rPr>
              <w:t>专业技术负责人：</w:t>
            </w:r>
          </w:p>
          <w:p w14:paraId="4F2FF20E">
            <w:pPr>
              <w:snapToGrid w:val="0"/>
              <w:rPr>
                <w:color w:val="auto"/>
                <w:sz w:val="24"/>
                <w:highlight w:val="none"/>
              </w:rPr>
            </w:pPr>
          </w:p>
          <w:p w14:paraId="4DD9CB18">
            <w:pPr>
              <w:snapToGrid w:val="0"/>
              <w:rPr>
                <w:color w:val="auto"/>
                <w:sz w:val="24"/>
                <w:highlight w:val="none"/>
              </w:rPr>
            </w:pPr>
            <w:r>
              <w:rPr>
                <w:rFonts w:hint="eastAsia"/>
                <w:color w:val="auto"/>
                <w:sz w:val="24"/>
                <w:highlight w:val="none"/>
              </w:rPr>
              <w:t>项目技术负责人：</w:t>
            </w:r>
          </w:p>
          <w:p w14:paraId="1C780855">
            <w:pPr>
              <w:snapToGrid w:val="0"/>
              <w:rPr>
                <w:color w:val="auto"/>
                <w:sz w:val="24"/>
                <w:highlight w:val="none"/>
              </w:rPr>
            </w:pPr>
          </w:p>
        </w:tc>
      </w:tr>
      <w:tr w14:paraId="67E5F6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31" w:hRule="atLeast"/>
          <w:jc w:val="center"/>
        </w:trPr>
        <w:tc>
          <w:tcPr>
            <w:tcW w:w="3602" w:type="dxa"/>
            <w:gridSpan w:val="3"/>
            <w:tcBorders>
              <w:top w:val="single" w:color="auto" w:sz="6" w:space="0"/>
              <w:left w:val="single" w:color="auto" w:sz="12" w:space="0"/>
              <w:bottom w:val="single" w:color="auto" w:sz="6" w:space="0"/>
              <w:right w:val="single" w:color="auto" w:sz="6" w:space="0"/>
            </w:tcBorders>
            <w:vAlign w:val="center"/>
          </w:tcPr>
          <w:p w14:paraId="1EA47B2F">
            <w:pPr>
              <w:snapToGrid w:val="0"/>
              <w:rPr>
                <w:color w:val="auto"/>
                <w:sz w:val="24"/>
                <w:highlight w:val="none"/>
              </w:rPr>
            </w:pPr>
            <w:r>
              <w:rPr>
                <w:rFonts w:hint="eastAsia"/>
                <w:color w:val="auto"/>
                <w:sz w:val="24"/>
                <w:highlight w:val="none"/>
              </w:rPr>
              <w:t>设计单位审核意见：（盖章）</w:t>
            </w:r>
          </w:p>
          <w:p w14:paraId="095E1D68">
            <w:pPr>
              <w:snapToGrid w:val="0"/>
              <w:rPr>
                <w:color w:val="auto"/>
                <w:sz w:val="24"/>
                <w:highlight w:val="none"/>
              </w:rPr>
            </w:pPr>
          </w:p>
          <w:p w14:paraId="1206BF05">
            <w:pPr>
              <w:rPr>
                <w:color w:val="auto"/>
                <w:highlight w:val="none"/>
              </w:rPr>
            </w:pPr>
          </w:p>
          <w:p w14:paraId="7D945ED2">
            <w:pPr>
              <w:rPr>
                <w:color w:val="auto"/>
                <w:highlight w:val="none"/>
              </w:rPr>
            </w:pPr>
          </w:p>
          <w:p w14:paraId="27FDEA05">
            <w:pPr>
              <w:snapToGrid w:val="0"/>
              <w:rPr>
                <w:color w:val="auto"/>
                <w:sz w:val="24"/>
                <w:highlight w:val="none"/>
              </w:rPr>
            </w:pPr>
          </w:p>
        </w:tc>
        <w:tc>
          <w:tcPr>
            <w:tcW w:w="5599" w:type="dxa"/>
            <w:gridSpan w:val="3"/>
            <w:tcBorders>
              <w:top w:val="single" w:color="auto" w:sz="6" w:space="0"/>
              <w:left w:val="single" w:color="auto" w:sz="6" w:space="0"/>
              <w:bottom w:val="single" w:color="auto" w:sz="6" w:space="0"/>
              <w:right w:val="single" w:color="auto" w:sz="12" w:space="0"/>
            </w:tcBorders>
            <w:vAlign w:val="center"/>
          </w:tcPr>
          <w:p w14:paraId="3384A2A6">
            <w:pPr>
              <w:rPr>
                <w:color w:val="auto"/>
                <w:highlight w:val="none"/>
              </w:rPr>
            </w:pPr>
            <w:r>
              <w:rPr>
                <w:rFonts w:hint="eastAsia"/>
                <w:color w:val="auto"/>
                <w:sz w:val="24"/>
                <w:highlight w:val="none"/>
              </w:rPr>
              <w:t>预决算审核意见</w:t>
            </w:r>
          </w:p>
          <w:p w14:paraId="3F912280">
            <w:pPr>
              <w:rPr>
                <w:color w:val="auto"/>
                <w:highlight w:val="none"/>
              </w:rPr>
            </w:pPr>
          </w:p>
          <w:p w14:paraId="61214F40">
            <w:pPr>
              <w:rPr>
                <w:color w:val="auto"/>
                <w:highlight w:val="none"/>
              </w:rPr>
            </w:pPr>
          </w:p>
          <w:p w14:paraId="6555E713">
            <w:pPr>
              <w:rPr>
                <w:color w:val="auto"/>
                <w:highlight w:val="none"/>
              </w:rPr>
            </w:pPr>
          </w:p>
          <w:p w14:paraId="02F4F615">
            <w:pPr>
              <w:snapToGrid w:val="0"/>
              <w:rPr>
                <w:color w:val="auto"/>
                <w:sz w:val="24"/>
                <w:highlight w:val="none"/>
              </w:rPr>
            </w:pPr>
            <w:r>
              <w:rPr>
                <w:rFonts w:hint="eastAsia"/>
                <w:color w:val="auto"/>
                <w:sz w:val="24"/>
                <w:highlight w:val="none"/>
              </w:rPr>
              <w:t xml:space="preserve"> </w:t>
            </w:r>
          </w:p>
          <w:p w14:paraId="3004EFBC">
            <w:pPr>
              <w:snapToGrid w:val="0"/>
              <w:rPr>
                <w:color w:val="auto"/>
                <w:sz w:val="24"/>
                <w:highlight w:val="none"/>
              </w:rPr>
            </w:pPr>
          </w:p>
        </w:tc>
      </w:tr>
      <w:tr w14:paraId="2B5771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23" w:hRule="atLeast"/>
          <w:jc w:val="center"/>
        </w:trPr>
        <w:tc>
          <w:tcPr>
            <w:tcW w:w="3554" w:type="dxa"/>
            <w:gridSpan w:val="2"/>
            <w:tcBorders>
              <w:top w:val="single" w:color="auto" w:sz="6" w:space="0"/>
              <w:left w:val="single" w:color="auto" w:sz="12" w:space="0"/>
              <w:right w:val="single" w:color="auto" w:sz="4" w:space="0"/>
            </w:tcBorders>
            <w:vAlign w:val="center"/>
          </w:tcPr>
          <w:p w14:paraId="3100F1F1">
            <w:pPr>
              <w:snapToGrid w:val="0"/>
              <w:rPr>
                <w:color w:val="auto"/>
                <w:sz w:val="24"/>
                <w:highlight w:val="none"/>
              </w:rPr>
            </w:pPr>
            <w:r>
              <w:rPr>
                <w:rFonts w:hint="eastAsia"/>
                <w:color w:val="auto"/>
                <w:sz w:val="24"/>
                <w:highlight w:val="none"/>
              </w:rPr>
              <w:t>建设单位项目（执行）经理：</w:t>
            </w:r>
          </w:p>
          <w:p w14:paraId="24AA6AC7">
            <w:pPr>
              <w:snapToGrid w:val="0"/>
              <w:rPr>
                <w:color w:val="auto"/>
                <w:sz w:val="24"/>
                <w:highlight w:val="none"/>
              </w:rPr>
            </w:pPr>
            <w:r>
              <w:rPr>
                <w:color w:val="auto"/>
                <w:sz w:val="24"/>
                <w:highlight w:val="none"/>
              </w:rPr>
              <w:t>数智化工装技术中心领导：</w:t>
            </w:r>
          </w:p>
        </w:tc>
        <w:tc>
          <w:tcPr>
            <w:tcW w:w="5647" w:type="dxa"/>
            <w:gridSpan w:val="4"/>
            <w:tcBorders>
              <w:top w:val="single" w:color="auto" w:sz="6" w:space="0"/>
              <w:left w:val="single" w:color="auto" w:sz="4" w:space="0"/>
              <w:bottom w:val="single" w:color="auto" w:sz="4" w:space="0"/>
              <w:right w:val="single" w:color="auto" w:sz="12" w:space="0"/>
            </w:tcBorders>
            <w:vAlign w:val="center"/>
          </w:tcPr>
          <w:p w14:paraId="647149BA">
            <w:pPr>
              <w:snapToGrid w:val="0"/>
              <w:rPr>
                <w:color w:val="auto"/>
                <w:sz w:val="24"/>
                <w:highlight w:val="none"/>
              </w:rPr>
            </w:pPr>
            <w:r>
              <w:rPr>
                <w:rFonts w:hint="eastAsia"/>
                <w:color w:val="auto"/>
                <w:sz w:val="24"/>
                <w:highlight w:val="none"/>
              </w:rPr>
              <w:t>建设单位项目（执行）经理考核建议：</w:t>
            </w:r>
          </w:p>
          <w:p w14:paraId="02BAEE82">
            <w:pPr>
              <w:snapToGrid w:val="0"/>
              <w:rPr>
                <w:color w:val="auto"/>
                <w:sz w:val="24"/>
                <w:highlight w:val="none"/>
              </w:rPr>
            </w:pPr>
          </w:p>
          <w:p w14:paraId="40110860">
            <w:pPr>
              <w:snapToGrid w:val="0"/>
              <w:rPr>
                <w:color w:val="auto"/>
                <w:sz w:val="24"/>
                <w:highlight w:val="none"/>
              </w:rPr>
            </w:pPr>
          </w:p>
        </w:tc>
      </w:tr>
      <w:tr w14:paraId="5E3B22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3554" w:type="dxa"/>
            <w:gridSpan w:val="2"/>
            <w:tcBorders>
              <w:top w:val="single" w:color="auto" w:sz="4" w:space="0"/>
              <w:left w:val="single" w:color="auto" w:sz="12" w:space="0"/>
              <w:bottom w:val="single" w:color="auto" w:sz="6" w:space="0"/>
              <w:right w:val="single" w:color="auto" w:sz="4" w:space="0"/>
            </w:tcBorders>
            <w:vAlign w:val="center"/>
          </w:tcPr>
          <w:p w14:paraId="079B71B4">
            <w:pPr>
              <w:snapToGrid w:val="0"/>
              <w:rPr>
                <w:color w:val="auto"/>
                <w:sz w:val="24"/>
                <w:highlight w:val="none"/>
              </w:rPr>
            </w:pPr>
            <w:r>
              <w:rPr>
                <w:rFonts w:hint="eastAsia"/>
                <w:color w:val="auto"/>
                <w:sz w:val="24"/>
                <w:highlight w:val="none"/>
              </w:rPr>
              <w:t>项目办领导审核意见（签字盖章）</w:t>
            </w:r>
          </w:p>
        </w:tc>
        <w:tc>
          <w:tcPr>
            <w:tcW w:w="5647" w:type="dxa"/>
            <w:gridSpan w:val="4"/>
            <w:tcBorders>
              <w:top w:val="single" w:color="auto" w:sz="4" w:space="0"/>
              <w:left w:val="single" w:color="auto" w:sz="4" w:space="0"/>
              <w:bottom w:val="single" w:color="auto" w:sz="6" w:space="0"/>
              <w:right w:val="single" w:color="auto" w:sz="12" w:space="0"/>
            </w:tcBorders>
            <w:vAlign w:val="center"/>
          </w:tcPr>
          <w:p w14:paraId="6EEA78BC">
            <w:pPr>
              <w:widowControl/>
              <w:jc w:val="left"/>
              <w:rPr>
                <w:color w:val="auto"/>
                <w:sz w:val="24"/>
                <w:highlight w:val="none"/>
              </w:rPr>
            </w:pPr>
          </w:p>
          <w:p w14:paraId="545C7E16">
            <w:pPr>
              <w:snapToGrid w:val="0"/>
              <w:rPr>
                <w:color w:val="auto"/>
                <w:sz w:val="24"/>
                <w:highlight w:val="none"/>
              </w:rPr>
            </w:pPr>
          </w:p>
        </w:tc>
      </w:tr>
      <w:tr w14:paraId="13CA4C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38" w:hRule="atLeast"/>
          <w:jc w:val="center"/>
        </w:trPr>
        <w:tc>
          <w:tcPr>
            <w:tcW w:w="9201" w:type="dxa"/>
            <w:gridSpan w:val="6"/>
            <w:tcBorders>
              <w:top w:val="single" w:color="auto" w:sz="6" w:space="0"/>
              <w:left w:val="single" w:color="auto" w:sz="12" w:space="0"/>
              <w:bottom w:val="single" w:color="auto" w:sz="12" w:space="0"/>
              <w:right w:val="single" w:color="auto" w:sz="12" w:space="0"/>
            </w:tcBorders>
            <w:vAlign w:val="center"/>
          </w:tcPr>
          <w:p w14:paraId="5DC8085E">
            <w:pPr>
              <w:snapToGrid w:val="0"/>
              <w:rPr>
                <w:color w:val="auto"/>
                <w:sz w:val="24"/>
                <w:highlight w:val="none"/>
              </w:rPr>
            </w:pPr>
            <w:r>
              <w:rPr>
                <w:rFonts w:hint="eastAsia"/>
                <w:color w:val="auto"/>
                <w:sz w:val="24"/>
                <w:highlight w:val="none"/>
              </w:rPr>
              <w:t>公司分管领导审核意见：</w:t>
            </w:r>
          </w:p>
          <w:p w14:paraId="13B668B5">
            <w:pPr>
              <w:snapToGrid w:val="0"/>
              <w:rPr>
                <w:color w:val="auto"/>
                <w:sz w:val="24"/>
                <w:highlight w:val="none"/>
              </w:rPr>
            </w:pPr>
          </w:p>
          <w:p w14:paraId="12628546">
            <w:pPr>
              <w:snapToGrid w:val="0"/>
              <w:rPr>
                <w:color w:val="auto"/>
                <w:sz w:val="24"/>
                <w:highlight w:val="none"/>
              </w:rPr>
            </w:pPr>
          </w:p>
          <w:p w14:paraId="6B44FAFB">
            <w:pPr>
              <w:snapToGrid w:val="0"/>
              <w:rPr>
                <w:color w:val="auto"/>
                <w:sz w:val="24"/>
                <w:highlight w:val="none"/>
              </w:rPr>
            </w:pPr>
          </w:p>
        </w:tc>
      </w:tr>
    </w:tbl>
    <w:p w14:paraId="493CF513">
      <w:pPr>
        <w:pStyle w:val="79"/>
        <w:ind w:firstLine="0"/>
        <w:jc w:val="both"/>
        <w:outlineLvl w:val="9"/>
        <w:rPr>
          <w:color w:val="auto"/>
          <w:highlight w:val="none"/>
        </w:rPr>
      </w:pPr>
    </w:p>
    <w:p w14:paraId="50C6D27B">
      <w:pPr>
        <w:rPr>
          <w:color w:val="auto"/>
          <w:highlight w:val="none"/>
        </w:rPr>
      </w:pPr>
    </w:p>
    <w:p w14:paraId="31EB99FC">
      <w:pPr>
        <w:jc w:val="center"/>
        <w:rPr>
          <w:color w:val="auto"/>
          <w:highlight w:val="none"/>
        </w:rPr>
      </w:pPr>
      <w:r>
        <w:rPr>
          <w:rFonts w:hint="eastAsia"/>
          <w:color w:val="auto"/>
          <w:highlight w:val="none"/>
        </w:rPr>
        <w:tab/>
      </w:r>
      <w:r>
        <w:rPr>
          <w:rFonts w:hint="eastAsia"/>
          <w:color w:val="auto"/>
          <w:highlight w:val="none"/>
        </w:rPr>
        <w:t>附录</w:t>
      </w:r>
      <w:r>
        <w:rPr>
          <w:color w:val="auto"/>
          <w:highlight w:val="none"/>
        </w:rPr>
        <w:t>C</w:t>
      </w:r>
      <w:r>
        <w:rPr>
          <w:color w:val="auto"/>
          <w:highlight w:val="none"/>
        </w:rPr>
        <w:br w:type="textWrapping"/>
      </w:r>
      <w:r>
        <w:rPr>
          <w:rFonts w:hint="eastAsia"/>
          <w:color w:val="auto"/>
          <w:highlight w:val="none"/>
        </w:rPr>
        <w:t>（规范性附录）</w:t>
      </w:r>
    </w:p>
    <w:p w14:paraId="12F3E79F">
      <w:pPr>
        <w:jc w:val="center"/>
        <w:rPr>
          <w:color w:val="auto"/>
          <w:highlight w:val="none"/>
        </w:rPr>
      </w:pPr>
      <w:r>
        <w:rPr>
          <w:rFonts w:hint="eastAsia"/>
          <w:color w:val="auto"/>
          <w:highlight w:val="none"/>
        </w:rPr>
        <w:t>工程设计变更申请审批表（设计单位）</w:t>
      </w:r>
    </w:p>
    <w:p w14:paraId="6F38BF38">
      <w:pPr>
        <w:pStyle w:val="69"/>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3</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9"/>
        <w:gridCol w:w="2011"/>
        <w:gridCol w:w="7"/>
        <w:gridCol w:w="845"/>
        <w:gridCol w:w="1548"/>
        <w:gridCol w:w="2756"/>
      </w:tblGrid>
      <w:tr w14:paraId="53DBBB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929" w:type="dxa"/>
            <w:tcBorders>
              <w:top w:val="single" w:color="auto" w:sz="12" w:space="0"/>
              <w:left w:val="single" w:color="auto" w:sz="12" w:space="0"/>
              <w:bottom w:val="single" w:color="auto" w:sz="6" w:space="0"/>
              <w:right w:val="single" w:color="auto" w:sz="6" w:space="0"/>
            </w:tcBorders>
            <w:vAlign w:val="center"/>
          </w:tcPr>
          <w:p w14:paraId="5077A2D5">
            <w:pPr>
              <w:snapToGrid w:val="0"/>
              <w:jc w:val="center"/>
              <w:rPr>
                <w:color w:val="auto"/>
                <w:sz w:val="24"/>
                <w:highlight w:val="none"/>
              </w:rPr>
            </w:pPr>
            <w:r>
              <w:rPr>
                <w:rFonts w:hint="eastAsia"/>
                <w:color w:val="auto"/>
                <w:sz w:val="24"/>
                <w:highlight w:val="none"/>
              </w:rPr>
              <w:t>工程名称</w:t>
            </w:r>
          </w:p>
        </w:tc>
        <w:tc>
          <w:tcPr>
            <w:tcW w:w="2863" w:type="dxa"/>
            <w:gridSpan w:val="3"/>
            <w:tcBorders>
              <w:top w:val="single" w:color="auto" w:sz="12" w:space="0"/>
              <w:left w:val="single" w:color="auto" w:sz="6" w:space="0"/>
              <w:bottom w:val="single" w:color="auto" w:sz="6" w:space="0"/>
              <w:right w:val="single" w:color="auto" w:sz="6" w:space="0"/>
            </w:tcBorders>
            <w:vAlign w:val="center"/>
          </w:tcPr>
          <w:p w14:paraId="165081DD">
            <w:pPr>
              <w:snapToGrid w:val="0"/>
              <w:jc w:val="center"/>
              <w:rPr>
                <w:color w:val="auto"/>
                <w:sz w:val="24"/>
                <w:highlight w:val="none"/>
              </w:rPr>
            </w:pPr>
          </w:p>
        </w:tc>
        <w:tc>
          <w:tcPr>
            <w:tcW w:w="1548" w:type="dxa"/>
            <w:tcBorders>
              <w:top w:val="single" w:color="auto" w:sz="12" w:space="0"/>
              <w:left w:val="single" w:color="auto" w:sz="6" w:space="0"/>
              <w:bottom w:val="single" w:color="auto" w:sz="6" w:space="0"/>
              <w:right w:val="single" w:color="auto" w:sz="6" w:space="0"/>
            </w:tcBorders>
            <w:vAlign w:val="center"/>
          </w:tcPr>
          <w:p w14:paraId="2868BC36">
            <w:pPr>
              <w:snapToGrid w:val="0"/>
              <w:jc w:val="center"/>
              <w:rPr>
                <w:color w:val="auto"/>
                <w:sz w:val="24"/>
                <w:highlight w:val="none"/>
              </w:rPr>
            </w:pPr>
            <w:r>
              <w:rPr>
                <w:rFonts w:hint="eastAsia"/>
                <w:color w:val="auto"/>
                <w:sz w:val="24"/>
                <w:highlight w:val="none"/>
              </w:rPr>
              <w:t>变更部位</w:t>
            </w:r>
          </w:p>
        </w:tc>
        <w:tc>
          <w:tcPr>
            <w:tcW w:w="2756" w:type="dxa"/>
            <w:tcBorders>
              <w:top w:val="single" w:color="auto" w:sz="12" w:space="0"/>
              <w:left w:val="single" w:color="auto" w:sz="6" w:space="0"/>
              <w:bottom w:val="single" w:color="auto" w:sz="6" w:space="0"/>
              <w:right w:val="single" w:color="auto" w:sz="12" w:space="0"/>
            </w:tcBorders>
            <w:vAlign w:val="center"/>
          </w:tcPr>
          <w:p w14:paraId="07C7595F">
            <w:pPr>
              <w:snapToGrid w:val="0"/>
              <w:jc w:val="center"/>
              <w:rPr>
                <w:color w:val="auto"/>
                <w:sz w:val="24"/>
                <w:highlight w:val="none"/>
              </w:rPr>
            </w:pPr>
          </w:p>
        </w:tc>
      </w:tr>
      <w:tr w14:paraId="211F89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1929" w:type="dxa"/>
            <w:tcBorders>
              <w:top w:val="single" w:color="auto" w:sz="6" w:space="0"/>
              <w:left w:val="single" w:color="auto" w:sz="12" w:space="0"/>
              <w:bottom w:val="single" w:color="auto" w:sz="6" w:space="0"/>
              <w:right w:val="single" w:color="auto" w:sz="6" w:space="0"/>
            </w:tcBorders>
            <w:vAlign w:val="center"/>
          </w:tcPr>
          <w:p w14:paraId="2A29F3AD">
            <w:pPr>
              <w:snapToGrid w:val="0"/>
              <w:jc w:val="center"/>
              <w:rPr>
                <w:color w:val="auto"/>
                <w:sz w:val="24"/>
                <w:highlight w:val="none"/>
              </w:rPr>
            </w:pPr>
            <w:r>
              <w:rPr>
                <w:rFonts w:hint="eastAsia"/>
                <w:color w:val="auto"/>
                <w:sz w:val="24"/>
                <w:highlight w:val="none"/>
              </w:rPr>
              <w:t>原设计图名称</w:t>
            </w:r>
          </w:p>
        </w:tc>
        <w:tc>
          <w:tcPr>
            <w:tcW w:w="2863" w:type="dxa"/>
            <w:gridSpan w:val="3"/>
            <w:tcBorders>
              <w:top w:val="single" w:color="auto" w:sz="6" w:space="0"/>
              <w:left w:val="single" w:color="auto" w:sz="6" w:space="0"/>
              <w:bottom w:val="single" w:color="auto" w:sz="6" w:space="0"/>
              <w:right w:val="single" w:color="auto" w:sz="6" w:space="0"/>
            </w:tcBorders>
            <w:vAlign w:val="center"/>
          </w:tcPr>
          <w:p w14:paraId="4ABB0C25">
            <w:pPr>
              <w:snapToGrid w:val="0"/>
              <w:jc w:val="center"/>
              <w:rPr>
                <w:color w:val="auto"/>
                <w:sz w:val="24"/>
                <w:highlight w:val="none"/>
              </w:rPr>
            </w:pPr>
          </w:p>
        </w:tc>
        <w:tc>
          <w:tcPr>
            <w:tcW w:w="1548" w:type="dxa"/>
            <w:tcBorders>
              <w:top w:val="single" w:color="auto" w:sz="6" w:space="0"/>
              <w:left w:val="single" w:color="auto" w:sz="6" w:space="0"/>
              <w:bottom w:val="single" w:color="auto" w:sz="6" w:space="0"/>
              <w:right w:val="single" w:color="auto" w:sz="6" w:space="0"/>
            </w:tcBorders>
            <w:vAlign w:val="center"/>
          </w:tcPr>
          <w:p w14:paraId="40705312">
            <w:pPr>
              <w:snapToGrid w:val="0"/>
              <w:ind w:left="-134" w:leftChars="-64"/>
              <w:jc w:val="center"/>
              <w:rPr>
                <w:color w:val="auto"/>
                <w:sz w:val="24"/>
                <w:highlight w:val="none"/>
              </w:rPr>
            </w:pPr>
            <w:r>
              <w:rPr>
                <w:rFonts w:hint="eastAsia"/>
                <w:color w:val="auto"/>
                <w:sz w:val="24"/>
                <w:highlight w:val="none"/>
              </w:rPr>
              <w:t>图    号</w:t>
            </w:r>
          </w:p>
        </w:tc>
        <w:tc>
          <w:tcPr>
            <w:tcW w:w="2756" w:type="dxa"/>
            <w:tcBorders>
              <w:top w:val="single" w:color="auto" w:sz="6" w:space="0"/>
              <w:left w:val="single" w:color="auto" w:sz="6" w:space="0"/>
              <w:bottom w:val="single" w:color="auto" w:sz="6" w:space="0"/>
              <w:right w:val="single" w:color="auto" w:sz="12" w:space="0"/>
            </w:tcBorders>
            <w:vAlign w:val="center"/>
          </w:tcPr>
          <w:p w14:paraId="35A516A4">
            <w:pPr>
              <w:snapToGrid w:val="0"/>
              <w:jc w:val="center"/>
              <w:rPr>
                <w:color w:val="auto"/>
                <w:sz w:val="24"/>
                <w:highlight w:val="none"/>
              </w:rPr>
            </w:pPr>
          </w:p>
        </w:tc>
      </w:tr>
      <w:tr w14:paraId="0DFC7A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11" w:hRule="atLeast"/>
          <w:jc w:val="center"/>
        </w:trPr>
        <w:tc>
          <w:tcPr>
            <w:tcW w:w="9096" w:type="dxa"/>
            <w:gridSpan w:val="6"/>
            <w:tcBorders>
              <w:top w:val="single" w:color="auto" w:sz="6" w:space="0"/>
              <w:left w:val="single" w:color="auto" w:sz="12" w:space="0"/>
              <w:bottom w:val="single" w:color="auto" w:sz="4" w:space="0"/>
              <w:right w:val="single" w:color="auto" w:sz="12" w:space="0"/>
            </w:tcBorders>
            <w:vAlign w:val="center"/>
          </w:tcPr>
          <w:p w14:paraId="16C46595">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2BB41B4B">
            <w:pPr>
              <w:snapToGrid w:val="0"/>
              <w:rPr>
                <w:color w:val="auto"/>
                <w:sz w:val="24"/>
                <w:highlight w:val="none"/>
              </w:rPr>
            </w:pPr>
          </w:p>
          <w:p w14:paraId="5E35E32D">
            <w:pPr>
              <w:snapToGrid w:val="0"/>
              <w:rPr>
                <w:color w:val="auto"/>
                <w:sz w:val="24"/>
                <w:highlight w:val="none"/>
              </w:rPr>
            </w:pPr>
          </w:p>
          <w:p w14:paraId="059A222F">
            <w:pPr>
              <w:snapToGrid w:val="0"/>
              <w:rPr>
                <w:color w:val="auto"/>
                <w:sz w:val="24"/>
                <w:highlight w:val="none"/>
              </w:rPr>
            </w:pPr>
          </w:p>
          <w:p w14:paraId="24C1054F">
            <w:pPr>
              <w:snapToGrid w:val="0"/>
              <w:rPr>
                <w:color w:val="auto"/>
                <w:sz w:val="24"/>
                <w:highlight w:val="none"/>
              </w:rPr>
            </w:pPr>
          </w:p>
          <w:p w14:paraId="5961A70F">
            <w:pPr>
              <w:snapToGrid w:val="0"/>
              <w:rPr>
                <w:color w:val="auto"/>
                <w:sz w:val="24"/>
                <w:highlight w:val="none"/>
              </w:rPr>
            </w:pPr>
          </w:p>
          <w:p w14:paraId="00D75D40">
            <w:pPr>
              <w:snapToGrid w:val="0"/>
              <w:rPr>
                <w:color w:val="auto"/>
                <w:sz w:val="24"/>
                <w:highlight w:val="none"/>
              </w:rPr>
            </w:pPr>
          </w:p>
          <w:p w14:paraId="1C3F46DA">
            <w:pPr>
              <w:snapToGrid w:val="0"/>
              <w:rPr>
                <w:color w:val="auto"/>
                <w:sz w:val="24"/>
                <w:highlight w:val="none"/>
              </w:rPr>
            </w:pPr>
          </w:p>
          <w:p w14:paraId="792D8AFF">
            <w:pPr>
              <w:snapToGrid w:val="0"/>
              <w:rPr>
                <w:color w:val="auto"/>
                <w:sz w:val="24"/>
                <w:highlight w:val="none"/>
              </w:rPr>
            </w:pPr>
          </w:p>
          <w:p w14:paraId="0E4E1653">
            <w:pPr>
              <w:snapToGrid w:val="0"/>
              <w:rPr>
                <w:color w:val="auto"/>
                <w:sz w:val="24"/>
                <w:highlight w:val="none"/>
              </w:rPr>
            </w:pPr>
          </w:p>
          <w:p w14:paraId="3D3D5E1B">
            <w:pPr>
              <w:snapToGrid w:val="0"/>
              <w:rPr>
                <w:color w:val="auto"/>
                <w:sz w:val="24"/>
                <w:highlight w:val="none"/>
              </w:rPr>
            </w:pPr>
          </w:p>
          <w:p w14:paraId="3353C9AD">
            <w:pPr>
              <w:snapToGrid w:val="0"/>
              <w:rPr>
                <w:color w:val="auto"/>
                <w:sz w:val="24"/>
                <w:highlight w:val="none"/>
              </w:rPr>
            </w:pPr>
          </w:p>
        </w:tc>
      </w:tr>
      <w:tr w14:paraId="5AA25E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2" w:hRule="atLeast"/>
          <w:jc w:val="center"/>
        </w:trPr>
        <w:tc>
          <w:tcPr>
            <w:tcW w:w="9096" w:type="dxa"/>
            <w:gridSpan w:val="6"/>
            <w:tcBorders>
              <w:top w:val="single" w:color="auto" w:sz="4" w:space="0"/>
              <w:left w:val="single" w:color="auto" w:sz="12" w:space="0"/>
              <w:bottom w:val="single" w:color="auto" w:sz="6" w:space="0"/>
              <w:right w:val="single" w:color="auto" w:sz="12" w:space="0"/>
            </w:tcBorders>
            <w:vAlign w:val="center"/>
          </w:tcPr>
          <w:p w14:paraId="421FDCDC">
            <w:pPr>
              <w:snapToGrid w:val="0"/>
              <w:rPr>
                <w:color w:val="auto"/>
                <w:sz w:val="24"/>
                <w:highlight w:val="none"/>
              </w:rPr>
            </w:pPr>
            <w:r>
              <w:rPr>
                <w:rFonts w:hint="eastAsia"/>
                <w:color w:val="auto"/>
                <w:sz w:val="24"/>
                <w:highlight w:val="none"/>
              </w:rPr>
              <w:t>设计单位专业设计人员：</w:t>
            </w:r>
          </w:p>
          <w:p w14:paraId="24CE7A7A">
            <w:pPr>
              <w:snapToGrid w:val="0"/>
              <w:rPr>
                <w:color w:val="auto"/>
                <w:sz w:val="24"/>
                <w:highlight w:val="none"/>
              </w:rPr>
            </w:pPr>
          </w:p>
          <w:p w14:paraId="11A397B4">
            <w:pPr>
              <w:rPr>
                <w:color w:val="auto"/>
                <w:highlight w:val="none"/>
              </w:rPr>
            </w:pPr>
          </w:p>
          <w:p w14:paraId="35010169">
            <w:pPr>
              <w:snapToGrid w:val="0"/>
              <w:rPr>
                <w:color w:val="auto"/>
                <w:sz w:val="24"/>
                <w:highlight w:val="none"/>
              </w:rPr>
            </w:pPr>
          </w:p>
        </w:tc>
      </w:tr>
      <w:tr w14:paraId="22F309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14" w:hRule="atLeast"/>
          <w:jc w:val="center"/>
        </w:trPr>
        <w:tc>
          <w:tcPr>
            <w:tcW w:w="3947" w:type="dxa"/>
            <w:gridSpan w:val="3"/>
            <w:tcBorders>
              <w:top w:val="single" w:color="auto" w:sz="6" w:space="0"/>
              <w:left w:val="single" w:color="auto" w:sz="12" w:space="0"/>
              <w:bottom w:val="single" w:color="auto" w:sz="6" w:space="0"/>
              <w:right w:val="single" w:color="auto" w:sz="6" w:space="0"/>
            </w:tcBorders>
            <w:vAlign w:val="center"/>
          </w:tcPr>
          <w:p w14:paraId="5D2E8928">
            <w:pPr>
              <w:rPr>
                <w:color w:val="auto"/>
                <w:highlight w:val="none"/>
              </w:rPr>
            </w:pPr>
          </w:p>
          <w:p w14:paraId="56CF0B86">
            <w:pPr>
              <w:snapToGrid w:val="0"/>
              <w:rPr>
                <w:color w:val="auto"/>
                <w:sz w:val="24"/>
                <w:highlight w:val="none"/>
              </w:rPr>
            </w:pPr>
          </w:p>
          <w:p w14:paraId="7DAE3DE7">
            <w:pPr>
              <w:snapToGrid w:val="0"/>
              <w:rPr>
                <w:color w:val="auto"/>
                <w:sz w:val="24"/>
                <w:highlight w:val="none"/>
              </w:rPr>
            </w:pPr>
          </w:p>
          <w:p w14:paraId="371A4986">
            <w:pPr>
              <w:snapToGrid w:val="0"/>
              <w:rPr>
                <w:color w:val="auto"/>
                <w:sz w:val="24"/>
                <w:highlight w:val="none"/>
              </w:rPr>
            </w:pPr>
            <w:r>
              <w:rPr>
                <w:rFonts w:hint="eastAsia"/>
                <w:color w:val="auto"/>
                <w:sz w:val="24"/>
                <w:highlight w:val="none"/>
              </w:rPr>
              <w:t>建设单位项目技术负责人：</w:t>
            </w:r>
          </w:p>
          <w:p w14:paraId="332D49FF">
            <w:pPr>
              <w:snapToGrid w:val="0"/>
              <w:rPr>
                <w:color w:val="auto"/>
                <w:sz w:val="24"/>
                <w:highlight w:val="none"/>
              </w:rPr>
            </w:pPr>
          </w:p>
          <w:p w14:paraId="47E40F29">
            <w:pPr>
              <w:snapToGrid w:val="0"/>
              <w:rPr>
                <w:color w:val="auto"/>
                <w:sz w:val="24"/>
                <w:highlight w:val="none"/>
              </w:rPr>
            </w:pPr>
          </w:p>
        </w:tc>
        <w:tc>
          <w:tcPr>
            <w:tcW w:w="5149" w:type="dxa"/>
            <w:gridSpan w:val="3"/>
            <w:tcBorders>
              <w:top w:val="single" w:color="auto" w:sz="6" w:space="0"/>
              <w:left w:val="single" w:color="auto" w:sz="6" w:space="0"/>
              <w:bottom w:val="single" w:color="auto" w:sz="6" w:space="0"/>
              <w:right w:val="single" w:color="auto" w:sz="12" w:space="0"/>
            </w:tcBorders>
            <w:vAlign w:val="center"/>
          </w:tcPr>
          <w:p w14:paraId="644AC509">
            <w:pPr>
              <w:snapToGrid w:val="0"/>
              <w:rPr>
                <w:color w:val="auto"/>
                <w:sz w:val="24"/>
                <w:highlight w:val="none"/>
              </w:rPr>
            </w:pPr>
            <w:r>
              <w:rPr>
                <w:rFonts w:hint="eastAsia"/>
                <w:color w:val="auto"/>
                <w:sz w:val="24"/>
                <w:highlight w:val="none"/>
              </w:rPr>
              <w:t>预决算审核意见：</w:t>
            </w:r>
          </w:p>
          <w:p w14:paraId="012C4704">
            <w:pPr>
              <w:snapToGrid w:val="0"/>
              <w:rPr>
                <w:color w:val="auto"/>
                <w:sz w:val="24"/>
                <w:highlight w:val="none"/>
              </w:rPr>
            </w:pPr>
          </w:p>
          <w:p w14:paraId="0E33F3B3">
            <w:pPr>
              <w:snapToGrid w:val="0"/>
              <w:rPr>
                <w:color w:val="auto"/>
                <w:sz w:val="24"/>
                <w:highlight w:val="none"/>
              </w:rPr>
            </w:pPr>
          </w:p>
          <w:p w14:paraId="033AC361">
            <w:pPr>
              <w:snapToGrid w:val="0"/>
              <w:rPr>
                <w:color w:val="auto"/>
                <w:sz w:val="24"/>
                <w:highlight w:val="none"/>
              </w:rPr>
            </w:pPr>
          </w:p>
          <w:p w14:paraId="08E8015D">
            <w:pPr>
              <w:snapToGrid w:val="0"/>
              <w:rPr>
                <w:color w:val="auto"/>
                <w:sz w:val="24"/>
                <w:highlight w:val="none"/>
              </w:rPr>
            </w:pPr>
          </w:p>
        </w:tc>
      </w:tr>
      <w:tr w14:paraId="6D7BE6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3" w:hRule="atLeast"/>
          <w:jc w:val="center"/>
        </w:trPr>
        <w:tc>
          <w:tcPr>
            <w:tcW w:w="3940" w:type="dxa"/>
            <w:gridSpan w:val="2"/>
            <w:tcBorders>
              <w:top w:val="single" w:color="auto" w:sz="6" w:space="0"/>
              <w:left w:val="single" w:color="auto" w:sz="12" w:space="0"/>
              <w:right w:val="single" w:color="auto" w:sz="4" w:space="0"/>
            </w:tcBorders>
            <w:vAlign w:val="center"/>
          </w:tcPr>
          <w:p w14:paraId="49000928">
            <w:pPr>
              <w:snapToGrid w:val="0"/>
              <w:rPr>
                <w:color w:val="auto"/>
                <w:sz w:val="24"/>
                <w:highlight w:val="none"/>
              </w:rPr>
            </w:pPr>
            <w:r>
              <w:rPr>
                <w:rFonts w:hint="eastAsia"/>
                <w:color w:val="auto"/>
                <w:sz w:val="24"/>
                <w:highlight w:val="none"/>
              </w:rPr>
              <w:t>建设单位项目（执行）经理：</w:t>
            </w:r>
          </w:p>
          <w:p w14:paraId="1BD5B573">
            <w:pPr>
              <w:snapToGrid w:val="0"/>
              <w:rPr>
                <w:color w:val="auto"/>
                <w:sz w:val="24"/>
                <w:highlight w:val="none"/>
              </w:rPr>
            </w:pPr>
            <w:r>
              <w:rPr>
                <w:color w:val="auto"/>
                <w:sz w:val="24"/>
                <w:highlight w:val="none"/>
              </w:rPr>
              <w:t>数智化工装技术中心领导：</w:t>
            </w:r>
          </w:p>
        </w:tc>
        <w:tc>
          <w:tcPr>
            <w:tcW w:w="5156" w:type="dxa"/>
            <w:gridSpan w:val="4"/>
            <w:tcBorders>
              <w:top w:val="single" w:color="auto" w:sz="6" w:space="0"/>
              <w:left w:val="single" w:color="auto" w:sz="4" w:space="0"/>
              <w:bottom w:val="single" w:color="auto" w:sz="4" w:space="0"/>
              <w:right w:val="single" w:color="auto" w:sz="12" w:space="0"/>
            </w:tcBorders>
            <w:vAlign w:val="center"/>
          </w:tcPr>
          <w:p w14:paraId="30E788BB">
            <w:pPr>
              <w:snapToGrid w:val="0"/>
              <w:rPr>
                <w:color w:val="auto"/>
                <w:sz w:val="24"/>
                <w:highlight w:val="none"/>
              </w:rPr>
            </w:pPr>
            <w:r>
              <w:rPr>
                <w:rFonts w:hint="eastAsia"/>
                <w:color w:val="auto"/>
                <w:sz w:val="24"/>
                <w:highlight w:val="none"/>
              </w:rPr>
              <w:t>建设单位项目执行经理考核建议：</w:t>
            </w:r>
          </w:p>
          <w:p w14:paraId="7AE0806C">
            <w:pPr>
              <w:snapToGrid w:val="0"/>
              <w:rPr>
                <w:color w:val="auto"/>
                <w:sz w:val="24"/>
                <w:highlight w:val="none"/>
              </w:rPr>
            </w:pPr>
          </w:p>
          <w:p w14:paraId="058CE0F6">
            <w:pPr>
              <w:snapToGrid w:val="0"/>
              <w:rPr>
                <w:color w:val="auto"/>
                <w:sz w:val="24"/>
                <w:highlight w:val="none"/>
              </w:rPr>
            </w:pPr>
          </w:p>
        </w:tc>
      </w:tr>
      <w:tr w14:paraId="0E7EA8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3940" w:type="dxa"/>
            <w:gridSpan w:val="2"/>
            <w:tcBorders>
              <w:top w:val="single" w:color="auto" w:sz="4" w:space="0"/>
              <w:left w:val="single" w:color="auto" w:sz="12" w:space="0"/>
              <w:bottom w:val="single" w:color="auto" w:sz="6" w:space="0"/>
              <w:right w:val="single" w:color="auto" w:sz="4" w:space="0"/>
            </w:tcBorders>
            <w:vAlign w:val="center"/>
          </w:tcPr>
          <w:p w14:paraId="4CA03A91">
            <w:pPr>
              <w:snapToGrid w:val="0"/>
              <w:rPr>
                <w:color w:val="auto"/>
                <w:sz w:val="24"/>
                <w:highlight w:val="none"/>
              </w:rPr>
            </w:pPr>
            <w:r>
              <w:rPr>
                <w:rFonts w:hint="eastAsia"/>
                <w:color w:val="auto"/>
                <w:sz w:val="24"/>
                <w:highlight w:val="none"/>
              </w:rPr>
              <w:t>项目办领导审核意见（签字盖章）</w:t>
            </w:r>
          </w:p>
        </w:tc>
        <w:tc>
          <w:tcPr>
            <w:tcW w:w="5156" w:type="dxa"/>
            <w:gridSpan w:val="4"/>
            <w:tcBorders>
              <w:top w:val="single" w:color="auto" w:sz="4" w:space="0"/>
              <w:left w:val="single" w:color="auto" w:sz="4" w:space="0"/>
              <w:bottom w:val="single" w:color="auto" w:sz="6" w:space="0"/>
              <w:right w:val="single" w:color="auto" w:sz="12" w:space="0"/>
            </w:tcBorders>
            <w:vAlign w:val="center"/>
          </w:tcPr>
          <w:p w14:paraId="075FAC99">
            <w:pPr>
              <w:widowControl/>
              <w:jc w:val="left"/>
              <w:rPr>
                <w:color w:val="auto"/>
                <w:sz w:val="24"/>
                <w:highlight w:val="none"/>
              </w:rPr>
            </w:pPr>
          </w:p>
          <w:p w14:paraId="501C7C48">
            <w:pPr>
              <w:snapToGrid w:val="0"/>
              <w:rPr>
                <w:color w:val="auto"/>
                <w:sz w:val="24"/>
                <w:highlight w:val="none"/>
              </w:rPr>
            </w:pPr>
          </w:p>
        </w:tc>
      </w:tr>
      <w:tr w14:paraId="0F2B06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9096" w:type="dxa"/>
            <w:gridSpan w:val="6"/>
            <w:tcBorders>
              <w:top w:val="single" w:color="auto" w:sz="6" w:space="0"/>
              <w:left w:val="single" w:color="auto" w:sz="12" w:space="0"/>
              <w:bottom w:val="single" w:color="auto" w:sz="12" w:space="0"/>
              <w:right w:val="single" w:color="auto" w:sz="12" w:space="0"/>
            </w:tcBorders>
            <w:vAlign w:val="center"/>
          </w:tcPr>
          <w:p w14:paraId="59D595E2">
            <w:pPr>
              <w:snapToGrid w:val="0"/>
              <w:rPr>
                <w:color w:val="auto"/>
                <w:sz w:val="24"/>
                <w:highlight w:val="none"/>
              </w:rPr>
            </w:pPr>
            <w:r>
              <w:rPr>
                <w:rFonts w:hint="eastAsia"/>
                <w:color w:val="auto"/>
                <w:sz w:val="24"/>
                <w:highlight w:val="none"/>
              </w:rPr>
              <w:t>公司领导审核意见：</w:t>
            </w:r>
          </w:p>
          <w:p w14:paraId="14C4B340">
            <w:pPr>
              <w:snapToGrid w:val="0"/>
              <w:rPr>
                <w:color w:val="auto"/>
                <w:sz w:val="24"/>
                <w:highlight w:val="none"/>
              </w:rPr>
            </w:pPr>
          </w:p>
          <w:p w14:paraId="470A0A2E">
            <w:pPr>
              <w:snapToGrid w:val="0"/>
              <w:rPr>
                <w:color w:val="auto"/>
                <w:sz w:val="24"/>
                <w:highlight w:val="none"/>
              </w:rPr>
            </w:pPr>
          </w:p>
          <w:p w14:paraId="13FC851B">
            <w:pPr>
              <w:snapToGrid w:val="0"/>
              <w:rPr>
                <w:color w:val="auto"/>
                <w:sz w:val="24"/>
                <w:highlight w:val="none"/>
              </w:rPr>
            </w:pPr>
          </w:p>
        </w:tc>
      </w:tr>
    </w:tbl>
    <w:p w14:paraId="0CE3EE17">
      <w:pPr>
        <w:pStyle w:val="69"/>
        <w:ind w:firstLine="0" w:firstLineChars="0"/>
        <w:rPr>
          <w:color w:val="auto"/>
          <w:highlight w:val="none"/>
        </w:rPr>
      </w:pPr>
    </w:p>
    <w:p w14:paraId="34341987">
      <w:pPr>
        <w:pStyle w:val="69"/>
        <w:ind w:firstLine="0" w:firstLineChars="0"/>
        <w:rPr>
          <w:color w:val="auto"/>
          <w:highlight w:val="none"/>
        </w:rPr>
      </w:pPr>
    </w:p>
    <w:p w14:paraId="70B64CEA">
      <w:pPr>
        <w:jc w:val="center"/>
        <w:rPr>
          <w:color w:val="auto"/>
          <w:highlight w:val="none"/>
        </w:rPr>
      </w:pPr>
    </w:p>
    <w:p w14:paraId="2E6CE71A">
      <w:pPr>
        <w:jc w:val="center"/>
        <w:rPr>
          <w:color w:val="auto"/>
          <w:highlight w:val="none"/>
        </w:rPr>
      </w:pPr>
      <w:r>
        <w:rPr>
          <w:rFonts w:hint="eastAsia"/>
          <w:color w:val="auto"/>
          <w:highlight w:val="none"/>
        </w:rPr>
        <w:t>附录</w:t>
      </w:r>
      <w:r>
        <w:rPr>
          <w:color w:val="auto"/>
          <w:highlight w:val="none"/>
        </w:rPr>
        <w:t>D</w:t>
      </w:r>
      <w:r>
        <w:rPr>
          <w:color w:val="auto"/>
          <w:highlight w:val="none"/>
        </w:rPr>
        <w:br w:type="textWrapping"/>
      </w:r>
      <w:r>
        <w:rPr>
          <w:rFonts w:hint="eastAsia"/>
          <w:color w:val="auto"/>
          <w:highlight w:val="none"/>
        </w:rPr>
        <w:t>（规范性附录）</w:t>
      </w:r>
    </w:p>
    <w:p w14:paraId="7999FCA2">
      <w:pPr>
        <w:jc w:val="center"/>
        <w:rPr>
          <w:color w:val="auto"/>
          <w:highlight w:val="none"/>
        </w:rPr>
      </w:pPr>
      <w:r>
        <w:rPr>
          <w:rFonts w:hint="eastAsia"/>
          <w:color w:val="auto"/>
          <w:highlight w:val="none"/>
        </w:rPr>
        <w:t>工程设计变更申请审批表（施工单位）</w:t>
      </w:r>
    </w:p>
    <w:p w14:paraId="0519BC95">
      <w:pPr>
        <w:pStyle w:val="69"/>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4</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0"/>
        <w:gridCol w:w="792"/>
        <w:gridCol w:w="1159"/>
        <w:gridCol w:w="901"/>
        <w:gridCol w:w="1541"/>
        <w:gridCol w:w="3045"/>
      </w:tblGrid>
      <w:tr w14:paraId="0CA537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6" w:hRule="atLeast"/>
          <w:jc w:val="center"/>
        </w:trPr>
        <w:tc>
          <w:tcPr>
            <w:tcW w:w="1920" w:type="dxa"/>
            <w:tcBorders>
              <w:top w:val="single" w:color="auto" w:sz="12" w:space="0"/>
              <w:left w:val="single" w:color="auto" w:sz="12" w:space="0"/>
              <w:bottom w:val="single" w:color="auto" w:sz="6" w:space="0"/>
              <w:right w:val="single" w:color="auto" w:sz="6" w:space="0"/>
            </w:tcBorders>
            <w:vAlign w:val="center"/>
          </w:tcPr>
          <w:p w14:paraId="53686F64">
            <w:pPr>
              <w:snapToGrid w:val="0"/>
              <w:jc w:val="center"/>
              <w:rPr>
                <w:color w:val="auto"/>
                <w:sz w:val="24"/>
                <w:highlight w:val="none"/>
              </w:rPr>
            </w:pPr>
            <w:r>
              <w:rPr>
                <w:rFonts w:hint="eastAsia"/>
                <w:color w:val="auto"/>
                <w:sz w:val="24"/>
                <w:highlight w:val="none"/>
              </w:rPr>
              <w:t>工程名称</w:t>
            </w:r>
          </w:p>
        </w:tc>
        <w:tc>
          <w:tcPr>
            <w:tcW w:w="2852" w:type="dxa"/>
            <w:gridSpan w:val="3"/>
            <w:tcBorders>
              <w:top w:val="single" w:color="auto" w:sz="12" w:space="0"/>
              <w:left w:val="single" w:color="auto" w:sz="6" w:space="0"/>
              <w:bottom w:val="single" w:color="auto" w:sz="6" w:space="0"/>
              <w:right w:val="single" w:color="auto" w:sz="6" w:space="0"/>
            </w:tcBorders>
            <w:vAlign w:val="center"/>
          </w:tcPr>
          <w:p w14:paraId="7476F6C5">
            <w:pPr>
              <w:snapToGrid w:val="0"/>
              <w:jc w:val="center"/>
              <w:rPr>
                <w:color w:val="auto"/>
                <w:sz w:val="24"/>
                <w:highlight w:val="none"/>
              </w:rPr>
            </w:pPr>
          </w:p>
        </w:tc>
        <w:tc>
          <w:tcPr>
            <w:tcW w:w="1541" w:type="dxa"/>
            <w:tcBorders>
              <w:top w:val="single" w:color="auto" w:sz="12" w:space="0"/>
              <w:left w:val="single" w:color="auto" w:sz="6" w:space="0"/>
              <w:bottom w:val="single" w:color="auto" w:sz="6" w:space="0"/>
              <w:right w:val="single" w:color="auto" w:sz="6" w:space="0"/>
            </w:tcBorders>
            <w:vAlign w:val="center"/>
          </w:tcPr>
          <w:p w14:paraId="3F28C284">
            <w:pPr>
              <w:snapToGrid w:val="0"/>
              <w:jc w:val="center"/>
              <w:rPr>
                <w:color w:val="auto"/>
                <w:sz w:val="24"/>
                <w:highlight w:val="none"/>
              </w:rPr>
            </w:pPr>
            <w:r>
              <w:rPr>
                <w:rFonts w:hint="eastAsia"/>
                <w:color w:val="auto"/>
                <w:sz w:val="24"/>
                <w:highlight w:val="none"/>
              </w:rPr>
              <w:t>变更部位</w:t>
            </w:r>
          </w:p>
        </w:tc>
        <w:tc>
          <w:tcPr>
            <w:tcW w:w="3045" w:type="dxa"/>
            <w:tcBorders>
              <w:top w:val="single" w:color="auto" w:sz="12" w:space="0"/>
              <w:left w:val="single" w:color="auto" w:sz="6" w:space="0"/>
              <w:bottom w:val="single" w:color="auto" w:sz="6" w:space="0"/>
              <w:right w:val="single" w:color="auto" w:sz="12" w:space="0"/>
            </w:tcBorders>
            <w:vAlign w:val="center"/>
          </w:tcPr>
          <w:p w14:paraId="2387674B">
            <w:pPr>
              <w:snapToGrid w:val="0"/>
              <w:jc w:val="center"/>
              <w:rPr>
                <w:color w:val="auto"/>
                <w:sz w:val="24"/>
                <w:highlight w:val="none"/>
              </w:rPr>
            </w:pPr>
          </w:p>
        </w:tc>
      </w:tr>
      <w:tr w14:paraId="516EB8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1920" w:type="dxa"/>
            <w:tcBorders>
              <w:top w:val="single" w:color="auto" w:sz="6" w:space="0"/>
              <w:left w:val="single" w:color="auto" w:sz="12" w:space="0"/>
              <w:bottom w:val="single" w:color="auto" w:sz="6" w:space="0"/>
              <w:right w:val="single" w:color="auto" w:sz="6" w:space="0"/>
            </w:tcBorders>
            <w:vAlign w:val="center"/>
          </w:tcPr>
          <w:p w14:paraId="3D445957">
            <w:pPr>
              <w:snapToGrid w:val="0"/>
              <w:jc w:val="center"/>
              <w:rPr>
                <w:color w:val="auto"/>
                <w:sz w:val="24"/>
                <w:highlight w:val="none"/>
              </w:rPr>
            </w:pPr>
            <w:r>
              <w:rPr>
                <w:rFonts w:hint="eastAsia"/>
                <w:color w:val="auto"/>
                <w:sz w:val="24"/>
                <w:highlight w:val="none"/>
              </w:rPr>
              <w:t>原设计图名称</w:t>
            </w:r>
          </w:p>
        </w:tc>
        <w:tc>
          <w:tcPr>
            <w:tcW w:w="2852" w:type="dxa"/>
            <w:gridSpan w:val="3"/>
            <w:tcBorders>
              <w:top w:val="single" w:color="auto" w:sz="6" w:space="0"/>
              <w:left w:val="single" w:color="auto" w:sz="6" w:space="0"/>
              <w:bottom w:val="single" w:color="auto" w:sz="6" w:space="0"/>
              <w:right w:val="single" w:color="auto" w:sz="6" w:space="0"/>
            </w:tcBorders>
            <w:vAlign w:val="center"/>
          </w:tcPr>
          <w:p w14:paraId="69B1CFB5">
            <w:pPr>
              <w:snapToGrid w:val="0"/>
              <w:jc w:val="center"/>
              <w:rPr>
                <w:color w:val="auto"/>
                <w:sz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6CC82F9C">
            <w:pPr>
              <w:snapToGrid w:val="0"/>
              <w:ind w:left="-134" w:leftChars="-64"/>
              <w:jc w:val="center"/>
              <w:rPr>
                <w:color w:val="auto"/>
                <w:sz w:val="24"/>
                <w:highlight w:val="none"/>
              </w:rPr>
            </w:pPr>
            <w:r>
              <w:rPr>
                <w:rFonts w:hint="eastAsia"/>
                <w:color w:val="auto"/>
                <w:sz w:val="24"/>
                <w:highlight w:val="none"/>
              </w:rPr>
              <w:t>图    号</w:t>
            </w:r>
          </w:p>
        </w:tc>
        <w:tc>
          <w:tcPr>
            <w:tcW w:w="3045" w:type="dxa"/>
            <w:tcBorders>
              <w:top w:val="single" w:color="auto" w:sz="6" w:space="0"/>
              <w:left w:val="single" w:color="auto" w:sz="6" w:space="0"/>
              <w:bottom w:val="single" w:color="auto" w:sz="6" w:space="0"/>
              <w:right w:val="single" w:color="auto" w:sz="12" w:space="0"/>
            </w:tcBorders>
            <w:vAlign w:val="center"/>
          </w:tcPr>
          <w:p w14:paraId="5C1770FD">
            <w:pPr>
              <w:snapToGrid w:val="0"/>
              <w:jc w:val="center"/>
              <w:rPr>
                <w:color w:val="auto"/>
                <w:sz w:val="24"/>
                <w:highlight w:val="none"/>
              </w:rPr>
            </w:pPr>
          </w:p>
        </w:tc>
      </w:tr>
      <w:tr w14:paraId="55B6D7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44" w:hRule="atLeast"/>
          <w:jc w:val="center"/>
        </w:trPr>
        <w:tc>
          <w:tcPr>
            <w:tcW w:w="9358" w:type="dxa"/>
            <w:gridSpan w:val="6"/>
            <w:tcBorders>
              <w:top w:val="single" w:color="auto" w:sz="6" w:space="0"/>
              <w:left w:val="single" w:color="auto" w:sz="12" w:space="0"/>
              <w:bottom w:val="single" w:color="auto" w:sz="4" w:space="0"/>
              <w:right w:val="single" w:color="auto" w:sz="12" w:space="0"/>
            </w:tcBorders>
            <w:vAlign w:val="center"/>
          </w:tcPr>
          <w:p w14:paraId="5C3C4C96">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6274E35F">
            <w:pPr>
              <w:snapToGrid w:val="0"/>
              <w:rPr>
                <w:color w:val="auto"/>
                <w:sz w:val="24"/>
                <w:highlight w:val="none"/>
              </w:rPr>
            </w:pPr>
          </w:p>
          <w:p w14:paraId="357C908E">
            <w:pPr>
              <w:snapToGrid w:val="0"/>
              <w:rPr>
                <w:color w:val="auto"/>
                <w:sz w:val="24"/>
                <w:highlight w:val="none"/>
              </w:rPr>
            </w:pPr>
          </w:p>
          <w:p w14:paraId="6A8A2851">
            <w:pPr>
              <w:snapToGrid w:val="0"/>
              <w:rPr>
                <w:color w:val="auto"/>
                <w:sz w:val="24"/>
                <w:highlight w:val="none"/>
              </w:rPr>
            </w:pPr>
          </w:p>
          <w:p w14:paraId="47C09CE8">
            <w:pPr>
              <w:snapToGrid w:val="0"/>
              <w:rPr>
                <w:color w:val="auto"/>
                <w:sz w:val="24"/>
                <w:highlight w:val="none"/>
              </w:rPr>
            </w:pPr>
          </w:p>
          <w:p w14:paraId="33161235">
            <w:pPr>
              <w:snapToGrid w:val="0"/>
              <w:rPr>
                <w:color w:val="auto"/>
                <w:sz w:val="24"/>
                <w:highlight w:val="none"/>
              </w:rPr>
            </w:pPr>
          </w:p>
          <w:p w14:paraId="15DA77D9">
            <w:pPr>
              <w:snapToGrid w:val="0"/>
              <w:rPr>
                <w:color w:val="auto"/>
                <w:sz w:val="24"/>
                <w:highlight w:val="none"/>
              </w:rPr>
            </w:pPr>
          </w:p>
          <w:p w14:paraId="2D29AF7E">
            <w:pPr>
              <w:snapToGrid w:val="0"/>
              <w:rPr>
                <w:color w:val="auto"/>
                <w:sz w:val="24"/>
                <w:highlight w:val="none"/>
              </w:rPr>
            </w:pPr>
          </w:p>
          <w:p w14:paraId="52200FEE">
            <w:pPr>
              <w:snapToGrid w:val="0"/>
              <w:rPr>
                <w:color w:val="auto"/>
                <w:sz w:val="24"/>
                <w:highlight w:val="none"/>
              </w:rPr>
            </w:pPr>
          </w:p>
          <w:p w14:paraId="4E997B65">
            <w:pPr>
              <w:snapToGrid w:val="0"/>
              <w:rPr>
                <w:color w:val="auto"/>
                <w:sz w:val="24"/>
                <w:highlight w:val="none"/>
              </w:rPr>
            </w:pPr>
          </w:p>
          <w:p w14:paraId="6BE27BE6">
            <w:pPr>
              <w:snapToGrid w:val="0"/>
              <w:rPr>
                <w:color w:val="auto"/>
                <w:sz w:val="24"/>
                <w:highlight w:val="none"/>
              </w:rPr>
            </w:pPr>
          </w:p>
          <w:p w14:paraId="7D8FF62F">
            <w:pPr>
              <w:snapToGrid w:val="0"/>
              <w:rPr>
                <w:color w:val="auto"/>
                <w:sz w:val="24"/>
                <w:highlight w:val="none"/>
              </w:rPr>
            </w:pPr>
          </w:p>
        </w:tc>
      </w:tr>
      <w:tr w14:paraId="0BF84D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3" w:hRule="atLeast"/>
          <w:jc w:val="center"/>
        </w:trPr>
        <w:tc>
          <w:tcPr>
            <w:tcW w:w="9358" w:type="dxa"/>
            <w:gridSpan w:val="6"/>
            <w:tcBorders>
              <w:top w:val="single" w:color="auto" w:sz="4" w:space="0"/>
              <w:left w:val="single" w:color="auto" w:sz="12" w:space="0"/>
              <w:bottom w:val="single" w:color="auto" w:sz="6" w:space="0"/>
              <w:right w:val="single" w:color="auto" w:sz="12" w:space="0"/>
            </w:tcBorders>
            <w:vAlign w:val="center"/>
          </w:tcPr>
          <w:p w14:paraId="5AF0D13B">
            <w:pPr>
              <w:snapToGrid w:val="0"/>
              <w:rPr>
                <w:color w:val="auto"/>
                <w:sz w:val="24"/>
                <w:highlight w:val="none"/>
              </w:rPr>
            </w:pPr>
            <w:r>
              <w:rPr>
                <w:rFonts w:hint="eastAsia"/>
                <w:color w:val="auto"/>
                <w:sz w:val="24"/>
                <w:highlight w:val="none"/>
              </w:rPr>
              <w:t>施工单位专业技术负责人：</w:t>
            </w:r>
          </w:p>
          <w:p w14:paraId="51640F2F">
            <w:pPr>
              <w:snapToGrid w:val="0"/>
              <w:rPr>
                <w:color w:val="auto"/>
                <w:sz w:val="24"/>
                <w:highlight w:val="none"/>
              </w:rPr>
            </w:pPr>
          </w:p>
          <w:p w14:paraId="0A0ACA90">
            <w:pPr>
              <w:snapToGrid w:val="0"/>
              <w:rPr>
                <w:color w:val="auto"/>
                <w:sz w:val="24"/>
                <w:highlight w:val="none"/>
              </w:rPr>
            </w:pPr>
            <w:r>
              <w:rPr>
                <w:rFonts w:hint="eastAsia"/>
                <w:color w:val="auto"/>
                <w:sz w:val="24"/>
                <w:highlight w:val="none"/>
              </w:rPr>
              <w:t>施工单位项目经理（盖章）：</w:t>
            </w:r>
          </w:p>
          <w:p w14:paraId="3E44AE04">
            <w:pPr>
              <w:snapToGrid w:val="0"/>
              <w:rPr>
                <w:color w:val="auto"/>
                <w:sz w:val="24"/>
                <w:highlight w:val="none"/>
              </w:rPr>
            </w:pPr>
          </w:p>
        </w:tc>
      </w:tr>
      <w:tr w14:paraId="4EAFEC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8" w:hRule="atLeast"/>
          <w:jc w:val="center"/>
        </w:trPr>
        <w:tc>
          <w:tcPr>
            <w:tcW w:w="9358" w:type="dxa"/>
            <w:gridSpan w:val="6"/>
            <w:tcBorders>
              <w:top w:val="single" w:color="auto" w:sz="4" w:space="0"/>
              <w:left w:val="single" w:color="auto" w:sz="12" w:space="0"/>
              <w:bottom w:val="single" w:color="auto" w:sz="6" w:space="0"/>
              <w:right w:val="single" w:color="auto" w:sz="12" w:space="0"/>
            </w:tcBorders>
            <w:vAlign w:val="center"/>
          </w:tcPr>
          <w:p w14:paraId="06B4DF1A">
            <w:pPr>
              <w:snapToGrid w:val="0"/>
              <w:rPr>
                <w:color w:val="auto"/>
                <w:sz w:val="24"/>
                <w:highlight w:val="none"/>
              </w:rPr>
            </w:pPr>
            <w:r>
              <w:rPr>
                <w:rFonts w:hint="eastAsia"/>
                <w:color w:val="auto"/>
                <w:sz w:val="24"/>
                <w:highlight w:val="none"/>
              </w:rPr>
              <w:t>建设单位专业设计人员：</w:t>
            </w:r>
          </w:p>
          <w:p w14:paraId="6341198E">
            <w:pPr>
              <w:snapToGrid w:val="0"/>
              <w:rPr>
                <w:color w:val="auto"/>
                <w:sz w:val="24"/>
                <w:highlight w:val="none"/>
              </w:rPr>
            </w:pPr>
          </w:p>
          <w:p w14:paraId="6170FF86">
            <w:pPr>
              <w:snapToGrid w:val="0"/>
              <w:rPr>
                <w:color w:val="auto"/>
                <w:sz w:val="24"/>
                <w:highlight w:val="none"/>
              </w:rPr>
            </w:pPr>
            <w:r>
              <w:rPr>
                <w:rFonts w:hint="eastAsia"/>
                <w:color w:val="auto"/>
                <w:sz w:val="24"/>
                <w:highlight w:val="none"/>
              </w:rPr>
              <w:t>建设单位项目技术负责人：</w:t>
            </w:r>
          </w:p>
          <w:p w14:paraId="482707E5">
            <w:pPr>
              <w:snapToGrid w:val="0"/>
              <w:rPr>
                <w:color w:val="auto"/>
                <w:sz w:val="24"/>
                <w:highlight w:val="none"/>
              </w:rPr>
            </w:pPr>
          </w:p>
        </w:tc>
      </w:tr>
      <w:tr w14:paraId="50387E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9" w:hRule="atLeast"/>
          <w:jc w:val="center"/>
        </w:trPr>
        <w:tc>
          <w:tcPr>
            <w:tcW w:w="3871" w:type="dxa"/>
            <w:gridSpan w:val="3"/>
            <w:tcBorders>
              <w:top w:val="single" w:color="auto" w:sz="6" w:space="0"/>
              <w:left w:val="single" w:color="auto" w:sz="12" w:space="0"/>
              <w:bottom w:val="single" w:color="auto" w:sz="6" w:space="0"/>
              <w:right w:val="single" w:color="auto" w:sz="6" w:space="0"/>
            </w:tcBorders>
            <w:vAlign w:val="center"/>
          </w:tcPr>
          <w:p w14:paraId="4506BD66">
            <w:pPr>
              <w:snapToGrid w:val="0"/>
              <w:rPr>
                <w:color w:val="auto"/>
                <w:sz w:val="24"/>
                <w:highlight w:val="none"/>
              </w:rPr>
            </w:pPr>
            <w:r>
              <w:rPr>
                <w:rFonts w:hint="eastAsia"/>
                <w:color w:val="auto"/>
                <w:sz w:val="24"/>
                <w:highlight w:val="none"/>
              </w:rPr>
              <w:t>设计单位审核意见：（盖章）</w:t>
            </w:r>
          </w:p>
          <w:p w14:paraId="0490AD18">
            <w:pPr>
              <w:snapToGrid w:val="0"/>
              <w:rPr>
                <w:color w:val="auto"/>
                <w:sz w:val="24"/>
                <w:highlight w:val="none"/>
              </w:rPr>
            </w:pPr>
          </w:p>
          <w:p w14:paraId="6777D917">
            <w:pPr>
              <w:snapToGrid w:val="0"/>
              <w:rPr>
                <w:color w:val="auto"/>
                <w:sz w:val="24"/>
                <w:highlight w:val="none"/>
              </w:rPr>
            </w:pPr>
          </w:p>
        </w:tc>
        <w:tc>
          <w:tcPr>
            <w:tcW w:w="5487" w:type="dxa"/>
            <w:gridSpan w:val="3"/>
            <w:tcBorders>
              <w:top w:val="single" w:color="auto" w:sz="6" w:space="0"/>
              <w:left w:val="single" w:color="auto" w:sz="6" w:space="0"/>
              <w:bottom w:val="single" w:color="auto" w:sz="6" w:space="0"/>
              <w:right w:val="single" w:color="auto" w:sz="12" w:space="0"/>
            </w:tcBorders>
            <w:vAlign w:val="center"/>
          </w:tcPr>
          <w:p w14:paraId="66E8BA70">
            <w:pPr>
              <w:snapToGrid w:val="0"/>
              <w:rPr>
                <w:color w:val="auto"/>
                <w:sz w:val="24"/>
                <w:highlight w:val="none"/>
              </w:rPr>
            </w:pPr>
            <w:r>
              <w:rPr>
                <w:rFonts w:hint="eastAsia"/>
                <w:color w:val="auto"/>
                <w:sz w:val="24"/>
                <w:highlight w:val="none"/>
              </w:rPr>
              <w:t>预决算审核意见：</w:t>
            </w:r>
          </w:p>
          <w:p w14:paraId="689E4502">
            <w:pPr>
              <w:snapToGrid w:val="0"/>
              <w:rPr>
                <w:color w:val="auto"/>
                <w:sz w:val="24"/>
                <w:highlight w:val="none"/>
              </w:rPr>
            </w:pPr>
          </w:p>
          <w:p w14:paraId="3AEC634A">
            <w:pPr>
              <w:rPr>
                <w:color w:val="auto"/>
                <w:highlight w:val="none"/>
              </w:rPr>
            </w:pPr>
          </w:p>
          <w:p w14:paraId="4EEB46C0">
            <w:pPr>
              <w:snapToGrid w:val="0"/>
              <w:rPr>
                <w:color w:val="auto"/>
                <w:sz w:val="24"/>
                <w:highlight w:val="none"/>
              </w:rPr>
            </w:pPr>
          </w:p>
        </w:tc>
      </w:tr>
      <w:tr w14:paraId="5398A9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17" w:hRule="atLeast"/>
          <w:jc w:val="center"/>
        </w:trPr>
        <w:tc>
          <w:tcPr>
            <w:tcW w:w="2712" w:type="dxa"/>
            <w:gridSpan w:val="2"/>
            <w:tcBorders>
              <w:top w:val="single" w:color="auto" w:sz="6" w:space="0"/>
              <w:left w:val="single" w:color="auto" w:sz="12" w:space="0"/>
              <w:right w:val="single" w:color="auto" w:sz="4" w:space="0"/>
            </w:tcBorders>
            <w:vAlign w:val="center"/>
          </w:tcPr>
          <w:p w14:paraId="6C486E37">
            <w:pPr>
              <w:snapToGrid w:val="0"/>
              <w:rPr>
                <w:color w:val="auto"/>
                <w:sz w:val="24"/>
                <w:highlight w:val="none"/>
              </w:rPr>
            </w:pPr>
            <w:r>
              <w:rPr>
                <w:rFonts w:hint="eastAsia"/>
                <w:color w:val="auto"/>
                <w:sz w:val="24"/>
                <w:highlight w:val="none"/>
              </w:rPr>
              <w:t>建设单位项目（执行）经理：</w:t>
            </w:r>
          </w:p>
          <w:p w14:paraId="02BB3A43">
            <w:pPr>
              <w:snapToGrid w:val="0"/>
              <w:rPr>
                <w:color w:val="auto"/>
                <w:sz w:val="24"/>
                <w:highlight w:val="none"/>
              </w:rPr>
            </w:pPr>
            <w:r>
              <w:rPr>
                <w:color w:val="auto"/>
                <w:sz w:val="24"/>
                <w:highlight w:val="none"/>
              </w:rPr>
              <w:t>数智化工装技术中心领导：</w:t>
            </w:r>
          </w:p>
        </w:tc>
        <w:tc>
          <w:tcPr>
            <w:tcW w:w="6646" w:type="dxa"/>
            <w:gridSpan w:val="4"/>
            <w:tcBorders>
              <w:top w:val="single" w:color="auto" w:sz="6" w:space="0"/>
              <w:left w:val="single" w:color="auto" w:sz="4" w:space="0"/>
              <w:bottom w:val="single" w:color="auto" w:sz="4" w:space="0"/>
              <w:right w:val="single" w:color="auto" w:sz="12" w:space="0"/>
            </w:tcBorders>
            <w:vAlign w:val="center"/>
          </w:tcPr>
          <w:p w14:paraId="6B383309">
            <w:pPr>
              <w:snapToGrid w:val="0"/>
              <w:rPr>
                <w:color w:val="auto"/>
                <w:sz w:val="24"/>
                <w:highlight w:val="none"/>
              </w:rPr>
            </w:pPr>
            <w:r>
              <w:rPr>
                <w:rFonts w:hint="eastAsia"/>
                <w:color w:val="auto"/>
                <w:sz w:val="24"/>
                <w:highlight w:val="none"/>
              </w:rPr>
              <w:t>建设单位项目执行经理考核建议：</w:t>
            </w:r>
          </w:p>
          <w:p w14:paraId="550ED308">
            <w:pPr>
              <w:snapToGrid w:val="0"/>
              <w:rPr>
                <w:color w:val="auto"/>
                <w:sz w:val="24"/>
                <w:highlight w:val="none"/>
              </w:rPr>
            </w:pPr>
          </w:p>
          <w:p w14:paraId="4FBC2619">
            <w:pPr>
              <w:snapToGrid w:val="0"/>
              <w:rPr>
                <w:color w:val="auto"/>
                <w:sz w:val="24"/>
                <w:highlight w:val="none"/>
              </w:rPr>
            </w:pPr>
          </w:p>
          <w:p w14:paraId="0FD7D07A">
            <w:pPr>
              <w:snapToGrid w:val="0"/>
              <w:rPr>
                <w:color w:val="auto"/>
                <w:sz w:val="24"/>
                <w:highlight w:val="none"/>
              </w:rPr>
            </w:pPr>
          </w:p>
        </w:tc>
      </w:tr>
      <w:tr w14:paraId="7B8212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9" w:hRule="atLeast"/>
          <w:jc w:val="center"/>
        </w:trPr>
        <w:tc>
          <w:tcPr>
            <w:tcW w:w="2712" w:type="dxa"/>
            <w:gridSpan w:val="2"/>
            <w:tcBorders>
              <w:top w:val="single" w:color="auto" w:sz="4" w:space="0"/>
              <w:left w:val="single" w:color="auto" w:sz="12" w:space="0"/>
              <w:bottom w:val="single" w:color="auto" w:sz="6" w:space="0"/>
              <w:right w:val="single" w:color="auto" w:sz="4" w:space="0"/>
            </w:tcBorders>
            <w:vAlign w:val="center"/>
          </w:tcPr>
          <w:p w14:paraId="584A12AD">
            <w:pPr>
              <w:snapToGrid w:val="0"/>
              <w:rPr>
                <w:color w:val="auto"/>
                <w:sz w:val="24"/>
                <w:highlight w:val="none"/>
              </w:rPr>
            </w:pPr>
            <w:r>
              <w:rPr>
                <w:rFonts w:hint="eastAsia"/>
                <w:color w:val="auto"/>
                <w:sz w:val="24"/>
                <w:highlight w:val="none"/>
              </w:rPr>
              <w:t>项目办领导审核意见（签字盖章）</w:t>
            </w:r>
          </w:p>
        </w:tc>
        <w:tc>
          <w:tcPr>
            <w:tcW w:w="6646" w:type="dxa"/>
            <w:gridSpan w:val="4"/>
            <w:tcBorders>
              <w:top w:val="single" w:color="auto" w:sz="4" w:space="0"/>
              <w:left w:val="single" w:color="auto" w:sz="4" w:space="0"/>
              <w:bottom w:val="single" w:color="auto" w:sz="6" w:space="0"/>
              <w:right w:val="single" w:color="auto" w:sz="12" w:space="0"/>
            </w:tcBorders>
            <w:vAlign w:val="center"/>
          </w:tcPr>
          <w:p w14:paraId="4CA5C2FF">
            <w:pPr>
              <w:widowControl/>
              <w:jc w:val="left"/>
              <w:rPr>
                <w:color w:val="auto"/>
                <w:sz w:val="24"/>
                <w:highlight w:val="none"/>
              </w:rPr>
            </w:pPr>
          </w:p>
          <w:p w14:paraId="4066A3A6">
            <w:pPr>
              <w:snapToGrid w:val="0"/>
              <w:rPr>
                <w:color w:val="auto"/>
                <w:sz w:val="24"/>
                <w:highlight w:val="none"/>
              </w:rPr>
            </w:pPr>
          </w:p>
        </w:tc>
      </w:tr>
      <w:tr w14:paraId="33A81F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6" w:hRule="atLeast"/>
          <w:jc w:val="center"/>
        </w:trPr>
        <w:tc>
          <w:tcPr>
            <w:tcW w:w="9358" w:type="dxa"/>
            <w:gridSpan w:val="6"/>
            <w:tcBorders>
              <w:top w:val="single" w:color="auto" w:sz="6" w:space="0"/>
              <w:left w:val="single" w:color="auto" w:sz="12" w:space="0"/>
              <w:bottom w:val="single" w:color="auto" w:sz="12" w:space="0"/>
              <w:right w:val="single" w:color="auto" w:sz="12" w:space="0"/>
            </w:tcBorders>
            <w:vAlign w:val="center"/>
          </w:tcPr>
          <w:p w14:paraId="2DF22A66">
            <w:pPr>
              <w:snapToGrid w:val="0"/>
              <w:rPr>
                <w:color w:val="auto"/>
                <w:sz w:val="24"/>
                <w:highlight w:val="none"/>
              </w:rPr>
            </w:pPr>
            <w:r>
              <w:rPr>
                <w:rFonts w:hint="eastAsia"/>
                <w:color w:val="auto"/>
                <w:sz w:val="24"/>
                <w:highlight w:val="none"/>
              </w:rPr>
              <w:t>公司领导审核意见：</w:t>
            </w:r>
          </w:p>
          <w:p w14:paraId="7B52C165">
            <w:pPr>
              <w:snapToGrid w:val="0"/>
              <w:rPr>
                <w:color w:val="auto"/>
                <w:sz w:val="24"/>
                <w:highlight w:val="none"/>
              </w:rPr>
            </w:pPr>
          </w:p>
          <w:p w14:paraId="4E199A59">
            <w:pPr>
              <w:snapToGrid w:val="0"/>
              <w:rPr>
                <w:color w:val="auto"/>
                <w:sz w:val="24"/>
                <w:highlight w:val="none"/>
              </w:rPr>
            </w:pPr>
          </w:p>
          <w:p w14:paraId="43CC366E">
            <w:pPr>
              <w:snapToGrid w:val="0"/>
              <w:rPr>
                <w:color w:val="auto"/>
                <w:sz w:val="24"/>
                <w:highlight w:val="none"/>
              </w:rPr>
            </w:pPr>
          </w:p>
        </w:tc>
      </w:tr>
    </w:tbl>
    <w:p w14:paraId="7B40BD65">
      <w:pPr>
        <w:jc w:val="center"/>
        <w:rPr>
          <w:color w:val="auto"/>
          <w:highlight w:val="none"/>
        </w:rPr>
      </w:pPr>
    </w:p>
    <w:p w14:paraId="7205C079">
      <w:pPr>
        <w:pStyle w:val="69"/>
        <w:rPr>
          <w:color w:val="auto"/>
          <w:highlight w:val="none"/>
        </w:rPr>
      </w:pPr>
      <w:r>
        <w:rPr>
          <w:color w:val="auto"/>
          <w:highlight w:val="none"/>
        </w:rPr>
        <w:br w:type="page"/>
      </w:r>
    </w:p>
    <w:p w14:paraId="011BBD0A">
      <w:pPr>
        <w:jc w:val="center"/>
        <w:rPr>
          <w:color w:val="auto"/>
          <w:highlight w:val="none"/>
        </w:rPr>
      </w:pPr>
      <w:r>
        <w:rPr>
          <w:rFonts w:hint="eastAsia"/>
          <w:color w:val="auto"/>
          <w:highlight w:val="none"/>
        </w:rPr>
        <w:t>附录E</w:t>
      </w:r>
      <w:r>
        <w:rPr>
          <w:color w:val="auto"/>
          <w:highlight w:val="none"/>
        </w:rPr>
        <w:br w:type="textWrapping"/>
      </w:r>
      <w:r>
        <w:rPr>
          <w:rFonts w:hint="eastAsia"/>
          <w:color w:val="auto"/>
          <w:highlight w:val="none"/>
        </w:rPr>
        <w:t>（规范性附录）</w:t>
      </w:r>
    </w:p>
    <w:p w14:paraId="5BC71647">
      <w:pPr>
        <w:jc w:val="center"/>
        <w:rPr>
          <w:color w:val="auto"/>
          <w:highlight w:val="none"/>
        </w:rPr>
      </w:pPr>
      <w:r>
        <w:rPr>
          <w:rFonts w:hint="eastAsia"/>
          <w:color w:val="auto"/>
          <w:highlight w:val="none"/>
        </w:rPr>
        <w:t>建设单位提出的设计变更流程</w:t>
      </w:r>
    </w:p>
    <w:p w14:paraId="0DE6AAF8">
      <w:pPr>
        <w:jc w:val="center"/>
        <w:rPr>
          <w:color w:val="auto"/>
          <w:highlight w:val="none"/>
        </w:rPr>
      </w:pPr>
      <w:r>
        <w:rPr>
          <w:color w:val="auto"/>
          <w:highlight w:val="none"/>
        </w:rPr>
        <w:object>
          <v:shape id="_x0000_i1025" o:spt="75" type="#_x0000_t75" style="height:561pt;width:456.6pt;" o:ole="t" filled="f" o:preferrelative="t" stroked="f" coordsize="21600,21600">
            <v:path/>
            <v:fill on="f" focussize="0,0"/>
            <v:stroke on="f" joinstyle="miter"/>
            <v:imagedata r:id="rId16" o:title=""/>
            <o:lock v:ext="edit" aspectratio="t"/>
            <w10:wrap type="none"/>
            <w10:anchorlock/>
          </v:shape>
          <o:OLEObject Type="Embed" ProgID="Visio.Drawing.15" ShapeID="_x0000_i1025" DrawAspect="Content" ObjectID="_1468075725" r:id="rId15">
            <o:LockedField>false</o:LockedField>
          </o:OLEObject>
        </w:object>
      </w:r>
    </w:p>
    <w:p w14:paraId="352DDC88">
      <w:pPr>
        <w:jc w:val="center"/>
        <w:rPr>
          <w:color w:val="auto"/>
          <w:highlight w:val="none"/>
        </w:rPr>
      </w:pPr>
    </w:p>
    <w:p w14:paraId="09F1A949">
      <w:pPr>
        <w:rPr>
          <w:color w:val="auto"/>
          <w:highlight w:val="none"/>
        </w:rPr>
      </w:pPr>
    </w:p>
    <w:p w14:paraId="536D2DAC">
      <w:pPr>
        <w:jc w:val="center"/>
        <w:rPr>
          <w:color w:val="auto"/>
          <w:highlight w:val="none"/>
        </w:rPr>
      </w:pPr>
    </w:p>
    <w:p w14:paraId="6C08C22B">
      <w:pPr>
        <w:jc w:val="center"/>
        <w:rPr>
          <w:color w:val="auto"/>
          <w:highlight w:val="none"/>
        </w:rPr>
      </w:pPr>
      <w:r>
        <w:rPr>
          <w:rFonts w:hint="eastAsia"/>
          <w:color w:val="auto"/>
          <w:highlight w:val="none"/>
        </w:rPr>
        <w:t>附录F</w:t>
      </w:r>
      <w:r>
        <w:rPr>
          <w:color w:val="auto"/>
          <w:highlight w:val="none"/>
        </w:rPr>
        <w:br w:type="textWrapping"/>
      </w:r>
      <w:r>
        <w:rPr>
          <w:rFonts w:hint="eastAsia"/>
          <w:color w:val="auto"/>
          <w:highlight w:val="none"/>
        </w:rPr>
        <w:t>（规范性附录）</w:t>
      </w:r>
    </w:p>
    <w:p w14:paraId="142387A0">
      <w:pPr>
        <w:pStyle w:val="69"/>
        <w:ind w:firstLine="0" w:firstLineChars="0"/>
        <w:jc w:val="center"/>
        <w:rPr>
          <w:color w:val="auto"/>
          <w:highlight w:val="none"/>
        </w:rPr>
      </w:pPr>
      <w:r>
        <w:rPr>
          <w:rFonts w:hint="eastAsia"/>
          <w:color w:val="auto"/>
          <w:highlight w:val="none"/>
        </w:rPr>
        <w:t>设计院提出的设计变更流程</w:t>
      </w:r>
    </w:p>
    <w:p w14:paraId="523227F7">
      <w:pPr>
        <w:pStyle w:val="69"/>
        <w:ind w:firstLine="0" w:firstLineChars="0"/>
        <w:jc w:val="center"/>
        <w:rPr>
          <w:color w:val="auto"/>
          <w:highlight w:val="none"/>
        </w:rPr>
      </w:pPr>
      <w:r>
        <w:rPr>
          <w:color w:val="auto"/>
          <w:highlight w:val="none"/>
        </w:rPr>
        <w:object>
          <v:shape id="_x0000_i1026" o:spt="75" type="#_x0000_t75" style="height:491.4pt;width:456.6pt;" o:ole="t" filled="f" o:preferrelative="t" stroked="f" coordsize="21600,21600">
            <v:path/>
            <v:fill on="f" focussize="0,0"/>
            <v:stroke on="f" joinstyle="miter"/>
            <v:imagedata r:id="rId18" o:title=""/>
            <o:lock v:ext="edit" aspectratio="t"/>
            <w10:wrap type="none"/>
            <w10:anchorlock/>
          </v:shape>
          <o:OLEObject Type="Embed" ProgID="Visio.Drawing.15" ShapeID="_x0000_i1026" DrawAspect="Content" ObjectID="_1468075726" r:id="rId17">
            <o:LockedField>false</o:LockedField>
          </o:OLEObject>
        </w:object>
      </w:r>
    </w:p>
    <w:p w14:paraId="7DAC7115">
      <w:pPr>
        <w:pStyle w:val="69"/>
        <w:ind w:firstLine="0" w:firstLineChars="0"/>
        <w:rPr>
          <w:color w:val="auto"/>
          <w:highlight w:val="none"/>
        </w:rPr>
      </w:pPr>
    </w:p>
    <w:p w14:paraId="575E4FE5">
      <w:pPr>
        <w:pStyle w:val="69"/>
        <w:ind w:firstLine="0" w:firstLineChars="0"/>
        <w:rPr>
          <w:color w:val="auto"/>
          <w:highlight w:val="none"/>
        </w:rPr>
      </w:pPr>
    </w:p>
    <w:p w14:paraId="64FD1D49">
      <w:pPr>
        <w:pStyle w:val="69"/>
        <w:ind w:firstLine="0" w:firstLineChars="0"/>
        <w:rPr>
          <w:color w:val="auto"/>
          <w:highlight w:val="none"/>
        </w:rPr>
      </w:pPr>
    </w:p>
    <w:p w14:paraId="09E2B6E3">
      <w:pPr>
        <w:pStyle w:val="69"/>
        <w:ind w:firstLine="0" w:firstLineChars="0"/>
        <w:rPr>
          <w:color w:val="auto"/>
          <w:highlight w:val="none"/>
        </w:rPr>
      </w:pPr>
    </w:p>
    <w:p w14:paraId="58A13835">
      <w:pPr>
        <w:pStyle w:val="69"/>
        <w:ind w:firstLine="0" w:firstLineChars="0"/>
        <w:jc w:val="center"/>
        <w:rPr>
          <w:color w:val="auto"/>
          <w:highlight w:val="none"/>
        </w:rPr>
      </w:pPr>
    </w:p>
    <w:p w14:paraId="0E0F9994">
      <w:pPr>
        <w:pStyle w:val="69"/>
        <w:ind w:firstLine="0" w:firstLineChars="0"/>
        <w:rPr>
          <w:color w:val="auto"/>
          <w:highlight w:val="none"/>
        </w:rPr>
      </w:pPr>
    </w:p>
    <w:p w14:paraId="03201A7D">
      <w:pPr>
        <w:pStyle w:val="69"/>
        <w:ind w:firstLine="0" w:firstLineChars="0"/>
        <w:jc w:val="center"/>
        <w:rPr>
          <w:color w:val="auto"/>
          <w:highlight w:val="none"/>
        </w:rPr>
      </w:pPr>
      <w:r>
        <w:rPr>
          <w:color w:val="auto"/>
          <w:highlight w:val="none"/>
        </w:rPr>
        <w:br w:type="page"/>
      </w:r>
    </w:p>
    <w:p w14:paraId="62AEE69A">
      <w:pPr>
        <w:jc w:val="center"/>
        <w:rPr>
          <w:color w:val="auto"/>
          <w:highlight w:val="none"/>
        </w:rPr>
      </w:pPr>
      <w:r>
        <w:rPr>
          <w:rFonts w:hint="eastAsia"/>
          <w:color w:val="auto"/>
          <w:highlight w:val="none"/>
        </w:rPr>
        <w:t>附录G</w:t>
      </w:r>
    </w:p>
    <w:p w14:paraId="4CD47BB4">
      <w:pPr>
        <w:jc w:val="center"/>
        <w:rPr>
          <w:color w:val="auto"/>
          <w:highlight w:val="none"/>
        </w:rPr>
      </w:pPr>
      <w:r>
        <w:rPr>
          <w:rFonts w:hint="eastAsia"/>
          <w:color w:val="auto"/>
          <w:highlight w:val="none"/>
        </w:rPr>
        <w:t>（规范性附录）</w:t>
      </w:r>
    </w:p>
    <w:p w14:paraId="36B484DD">
      <w:pPr>
        <w:pStyle w:val="69"/>
        <w:ind w:firstLine="0" w:firstLineChars="0"/>
        <w:jc w:val="center"/>
        <w:rPr>
          <w:color w:val="auto"/>
          <w:highlight w:val="none"/>
        </w:rPr>
      </w:pPr>
      <w:r>
        <w:rPr>
          <w:rFonts w:hint="eastAsia"/>
          <w:color w:val="auto"/>
          <w:highlight w:val="none"/>
        </w:rPr>
        <w:t>施工单位提出的设计变更流程</w:t>
      </w:r>
    </w:p>
    <w:p w14:paraId="2265F422">
      <w:pPr>
        <w:tabs>
          <w:tab w:val="left" w:pos="931"/>
        </w:tabs>
        <w:jc w:val="left"/>
        <w:rPr>
          <w:color w:val="auto"/>
          <w:highlight w:val="none"/>
        </w:rPr>
      </w:pPr>
      <w:r>
        <w:rPr>
          <w:color w:val="auto"/>
          <w:highlight w:val="none"/>
        </w:rPr>
        <w:object>
          <v:shape id="_x0000_i1027" o:spt="75" type="#_x0000_t75" style="height:561pt;width:456.6pt;" o:ole="t" filled="f" o:preferrelative="t" stroked="f" coordsize="21600,21600">
            <v:path/>
            <v:fill on="f" focussize="0,0"/>
            <v:stroke on="f" joinstyle="miter"/>
            <v:imagedata r:id="rId20" o:title=""/>
            <o:lock v:ext="edit" aspectratio="t"/>
            <w10:wrap type="none"/>
            <w10:anchorlock/>
          </v:shape>
          <o:OLEObject Type="Embed" ProgID="Visio.Drawing.15" ShapeID="_x0000_i1027" DrawAspect="Content" ObjectID="_1468075727" r:id="rId19">
            <o:LockedField>false</o:LockedField>
          </o:OLEObject>
        </w:object>
      </w:r>
    </w:p>
    <w:p w14:paraId="40F386EF">
      <w:pPr>
        <w:pStyle w:val="8"/>
        <w:ind w:left="63" w:right="63"/>
        <w:jc w:val="left"/>
        <w:rPr>
          <w:rFonts w:ascii="仿宋_GB2312" w:eastAsia="仿宋_GB2312"/>
          <w:color w:val="auto"/>
          <w:sz w:val="30"/>
          <w:szCs w:val="30"/>
          <w:highlight w:val="none"/>
        </w:rPr>
      </w:pPr>
      <w:r>
        <w:rPr>
          <w:color w:val="auto"/>
          <w:highlight w:val="none"/>
        </w:rPr>
        <w:br w:type="page"/>
      </w:r>
      <w:r>
        <w:rPr>
          <w:rFonts w:hint="eastAsia" w:ascii="仿宋_GB2312" w:eastAsia="仿宋_GB2312"/>
          <w:color w:val="auto"/>
          <w:sz w:val="30"/>
          <w:szCs w:val="30"/>
          <w:highlight w:val="none"/>
        </w:rPr>
        <w:t>附件7：</w:t>
      </w:r>
    </w:p>
    <w:p w14:paraId="6597F5C1">
      <w:pPr>
        <w:pStyle w:val="8"/>
        <w:ind w:left="63" w:right="63"/>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履约保函示范文本</w:t>
      </w:r>
    </w:p>
    <w:p w14:paraId="5EA6560B">
      <w:pPr>
        <w:pStyle w:val="8"/>
        <w:ind w:left="63" w:right="63"/>
        <w:rPr>
          <w:rFonts w:ascii="仿宋" w:hAnsi="仿宋" w:eastAsia="仿宋" w:cs="仿宋"/>
          <w:color w:val="auto"/>
          <w:spacing w:val="4"/>
          <w:sz w:val="30"/>
          <w:szCs w:val="30"/>
          <w:highlight w:val="none"/>
        </w:rPr>
      </w:pPr>
    </w:p>
    <w:p w14:paraId="31280BB2">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申请人：</w:t>
      </w:r>
    </w:p>
    <w:p w14:paraId="622F8205">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p>
    <w:p w14:paraId="04AC9639">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受益人：</w:t>
      </w:r>
    </w:p>
    <w:p w14:paraId="1923C3B6">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p>
    <w:p w14:paraId="706F81AF">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开立人：</w:t>
      </w:r>
    </w:p>
    <w:p w14:paraId="65AC486D">
      <w:pPr>
        <w:pStyle w:val="8"/>
        <w:ind w:left="63" w:right="63" w:firstLine="616" w:firstLineChars="200"/>
        <w:jc w:val="left"/>
        <w:rPr>
          <w:rFonts w:ascii="仿宋" w:hAnsi="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p>
    <w:p w14:paraId="7FCC94DF">
      <w:pPr>
        <w:pStyle w:val="8"/>
        <w:ind w:left="71" w:leftChars="34" w:right="63"/>
        <w:jc w:val="left"/>
        <w:rPr>
          <w:rFonts w:ascii="仿宋" w:hAnsi="仿宋" w:cs="仿宋"/>
          <w:color w:val="auto"/>
          <w:spacing w:val="4"/>
          <w:sz w:val="30"/>
          <w:szCs w:val="30"/>
          <w:highlight w:val="none"/>
        </w:rPr>
      </w:pP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受益人名称</w:t>
      </w:r>
      <w:r>
        <w:rPr>
          <w:rFonts w:hint="eastAsia" w:ascii="仿宋" w:hAnsi="仿宋" w:eastAsia="仿宋" w:cs="仿宋"/>
          <w:color w:val="auto"/>
          <w:spacing w:val="4"/>
          <w:sz w:val="30"/>
          <w:szCs w:val="30"/>
          <w:highlight w:val="none"/>
        </w:rPr>
        <w:t>):</w:t>
      </w:r>
    </w:p>
    <w:p w14:paraId="27960306">
      <w:pPr>
        <w:pStyle w:val="8"/>
        <w:ind w:left="71" w:leftChars="34" w:right="63" w:firstLine="616" w:firstLineChars="200"/>
        <w:jc w:val="left"/>
        <w:rPr>
          <w:rFonts w:ascii="仿宋" w:hAnsi="仿宋" w:cs="仿宋"/>
          <w:color w:val="auto"/>
          <w:spacing w:val="4"/>
          <w:sz w:val="30"/>
          <w:szCs w:val="30"/>
          <w:highlight w:val="none"/>
        </w:rPr>
      </w:pPr>
      <w:r>
        <w:rPr>
          <w:rFonts w:hint="eastAsia" w:ascii="宋体" w:hAnsi="宋体" w:cs="宋体"/>
          <w:color w:val="auto"/>
          <w:spacing w:val="4"/>
          <w:sz w:val="30"/>
          <w:szCs w:val="30"/>
          <w:highlight w:val="none"/>
        </w:rPr>
        <w:t>鉴于</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受益人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与</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以</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申请人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就工程</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本工程</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施工和有关事项协商一致，根据本工程中标通知书、招标文件和投标文件，了解到申请人为本工程项下之承包人、受益人为本工程</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项下之发包人，基于申请人的请求，我方</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即</w:t>
      </w:r>
      <w:r>
        <w:rPr>
          <w:rFonts w:eastAsia="仿宋"/>
          <w:color w:val="auto"/>
          <w:spacing w:val="4"/>
          <w:sz w:val="30"/>
          <w:szCs w:val="30"/>
          <w:highlight w:val="none"/>
        </w:rPr>
        <w:t>“</w:t>
      </w:r>
      <w:r>
        <w:rPr>
          <w:rFonts w:hint="eastAsia" w:ascii="宋体" w:hAnsi="宋体" w:cs="宋体"/>
          <w:color w:val="auto"/>
          <w:spacing w:val="4"/>
          <w:sz w:val="30"/>
          <w:szCs w:val="30"/>
          <w:highlight w:val="none"/>
        </w:rPr>
        <w:t>开立人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同意就</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申请人履行本工程依据中标通知书、招标文件和投标文件签订的《</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基础合同</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约定的义务，向贵方提供不可撤销、不可转让的见索即付保函</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本保函</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w:t>
      </w:r>
    </w:p>
    <w:p w14:paraId="60087606">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一、本保函担保范围：承包人未按照基础合同的约定履行义务，应当向贵方承担的违约责任和赔偿因此造成的损失、利息、律师费、诉讼费用等实现债权的费用。</w:t>
      </w:r>
    </w:p>
    <w:p w14:paraId="49E42E11">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二、本保函担保金额最高不超过人民币</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大写</w:t>
      </w:r>
      <w:r>
        <w:rPr>
          <w:rFonts w:hint="eastAsia" w:ascii="仿宋" w:hAnsi="仿宋" w:eastAsia="仿宋" w:cs="仿宋"/>
          <w:color w:val="auto"/>
          <w:spacing w:val="4"/>
          <w:sz w:val="30"/>
          <w:szCs w:val="30"/>
          <w:highlight w:val="none"/>
        </w:rPr>
        <w:t>)</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元</w:t>
      </w:r>
    </w:p>
    <w:p w14:paraId="4F74C81A">
      <w:pPr>
        <w:pStyle w:val="8"/>
        <w:ind w:left="63" w:right="63"/>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w:t>
      </w:r>
    </w:p>
    <w:p w14:paraId="05251F83">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三、本保函有效期自受益人与申请人签订的合同生效之日起至合同约定的工期截止日后</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天，最迟不超过</w:t>
      </w:r>
      <w:r>
        <w:rPr>
          <w:rFonts w:hint="eastAsia" w:ascii="仿宋" w:hAnsi="仿宋" w:eastAsia="仿宋" w:cs="仿宋"/>
          <w:color w:val="auto"/>
          <w:spacing w:val="4"/>
          <w:sz w:val="30"/>
          <w:szCs w:val="30"/>
          <w:highlight w:val="none"/>
          <w:u w:val="single"/>
        </w:rPr>
        <w:t xml:space="preserve"> </w:t>
      </w:r>
      <w:r>
        <w:rPr>
          <w:rFonts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年</w:t>
      </w:r>
      <w:r>
        <w:rPr>
          <w:rFonts w:hint="eastAsia" w:ascii="仿宋" w:hAnsi="仿宋" w:eastAsia="仿宋" w:cs="仿宋"/>
          <w:color w:val="auto"/>
          <w:spacing w:val="4"/>
          <w:sz w:val="30"/>
          <w:szCs w:val="30"/>
          <w:highlight w:val="none"/>
          <w:u w:val="single"/>
        </w:rPr>
        <w:t xml:space="preserve">  </w:t>
      </w:r>
      <w:r>
        <w:rPr>
          <w:rFonts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月</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日。</w:t>
      </w:r>
    </w:p>
    <w:p w14:paraId="7723EA2C">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四、我方承诺，在收到受益人发来的书面索赔通知和本保函原件后的</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个工作日内无条件支付至受益人指定账户，前述书面索赔通知即为付款要求之单据，且应满足以下要求：</w:t>
      </w:r>
    </w:p>
    <w:p w14:paraId="1F9A68BD">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(1)</w:t>
      </w:r>
      <w:r>
        <w:rPr>
          <w:rFonts w:hint="eastAsia" w:ascii="宋体" w:hAnsi="宋体" w:cs="宋体"/>
          <w:color w:val="auto"/>
          <w:spacing w:val="4"/>
          <w:sz w:val="30"/>
          <w:szCs w:val="30"/>
          <w:highlight w:val="none"/>
        </w:rPr>
        <w:t>索赔通知到达的日期在本保函的有效期内；</w:t>
      </w:r>
    </w:p>
    <w:p w14:paraId="75361FCD">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(2)</w:t>
      </w:r>
      <w:r>
        <w:rPr>
          <w:rFonts w:hint="eastAsia" w:ascii="宋体" w:hAnsi="宋体" w:cs="宋体"/>
          <w:color w:val="auto"/>
          <w:spacing w:val="4"/>
          <w:sz w:val="30"/>
          <w:szCs w:val="30"/>
          <w:highlight w:val="none"/>
        </w:rPr>
        <w:t>载明要求支付的金额；</w:t>
      </w:r>
    </w:p>
    <w:p w14:paraId="500B1F2B">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(3)</w:t>
      </w:r>
      <w:r>
        <w:rPr>
          <w:rFonts w:hint="eastAsia" w:ascii="宋体" w:hAnsi="宋体" w:cs="宋体"/>
          <w:color w:val="auto"/>
          <w:spacing w:val="4"/>
          <w:sz w:val="30"/>
          <w:szCs w:val="30"/>
          <w:highlight w:val="none"/>
        </w:rPr>
        <w:t>载明申请人违反合同义务的条款和内容；</w:t>
      </w:r>
    </w:p>
    <w:p w14:paraId="01D87643">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(4)</w:t>
      </w:r>
      <w:r>
        <w:rPr>
          <w:rFonts w:hint="eastAsia" w:ascii="宋体" w:hAnsi="宋体" w:cs="宋体"/>
          <w:color w:val="auto"/>
          <w:spacing w:val="4"/>
          <w:sz w:val="30"/>
          <w:szCs w:val="30"/>
          <w:highlight w:val="none"/>
        </w:rPr>
        <w:t>声明不存在合同文件约定或我国法律规定免除申请人或开立人支付责任的情形；</w:t>
      </w:r>
    </w:p>
    <w:p w14:paraId="34C053DA">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(5)</w:t>
      </w:r>
      <w:r>
        <w:rPr>
          <w:rFonts w:hint="eastAsia" w:ascii="宋体" w:hAnsi="宋体" w:cs="宋体"/>
          <w:color w:val="auto"/>
          <w:spacing w:val="4"/>
          <w:sz w:val="30"/>
          <w:szCs w:val="30"/>
          <w:highlight w:val="none"/>
        </w:rPr>
        <w:t>索赔通知应在本保函有效期内到达的地址是：</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w:t>
      </w:r>
    </w:p>
    <w:p w14:paraId="4D4303F7">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受益人发出的书面索赔通知应由其为鉴明受益人法定代表人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负责人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或授权代理人签字或盖个人名章并加盖公章。</w:t>
      </w:r>
    </w:p>
    <w:p w14:paraId="2DB73D06">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五、本保函项下的权利不得转让，不得设定担保。贵方未经我方书面同意转让本保函或其项下任何权利，对我方不发生法律效力。</w:t>
      </w:r>
    </w:p>
    <w:p w14:paraId="6DA1F818">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六、与本保函有关的基础合同不成立、不生效、无效、被撤销、被解除，不影响本保函的独立有效。</w:t>
      </w:r>
    </w:p>
    <w:p w14:paraId="13D7CE39">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七、贵方应在本保函到期后的七个工作日内将本保函正本退回我方注销，但是不论贵方是否按此要求将本保函正本退回我方，我方在本保函项下的义务和责任均在保函有效期到期后自动消灭。</w:t>
      </w:r>
    </w:p>
    <w:p w14:paraId="7370F116">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八、本保函适用的法律为中华人民共和国法律，争议裁判管辖地为中华人民共和国</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p>
    <w:p w14:paraId="4CC6CE58">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九、本保函自我方法定代表人或授权代表签字或盖个人名章并加盖公章或合同专用章之日起生效。</w:t>
      </w:r>
    </w:p>
    <w:p w14:paraId="4C3D86B5">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十、本保函在重庆市辖区范围内的核验地点：</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核验方式：</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p>
    <w:p w14:paraId="232D45B9">
      <w:pPr>
        <w:pStyle w:val="8"/>
        <w:ind w:left="63" w:right="63"/>
        <w:rPr>
          <w:rFonts w:ascii="仿宋" w:hAnsi="仿宋" w:eastAsia="仿宋" w:cs="仿宋"/>
          <w:color w:val="auto"/>
          <w:spacing w:val="4"/>
          <w:sz w:val="30"/>
          <w:szCs w:val="30"/>
          <w:highlight w:val="none"/>
        </w:rPr>
      </w:pPr>
    </w:p>
    <w:p w14:paraId="0A483E98">
      <w:pPr>
        <w:pStyle w:val="8"/>
        <w:ind w:left="63" w:right="63"/>
        <w:rPr>
          <w:rFonts w:ascii="仿宋" w:hAnsi="仿宋" w:eastAsia="仿宋" w:cs="仿宋"/>
          <w:color w:val="auto"/>
          <w:spacing w:val="4"/>
          <w:sz w:val="30"/>
          <w:szCs w:val="30"/>
          <w:highlight w:val="none"/>
        </w:rPr>
      </w:pPr>
    </w:p>
    <w:p w14:paraId="635765CD">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开立人</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 </w:t>
      </w:r>
      <w:r>
        <w:rPr>
          <w:rFonts w:hint="eastAsia" w:ascii="宋体" w:hAnsi="宋体" w:cs="宋体"/>
          <w:color w:val="auto"/>
          <w:spacing w:val="4"/>
          <w:sz w:val="30"/>
          <w:szCs w:val="30"/>
          <w:highlight w:val="none"/>
        </w:rPr>
        <w:t>公</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章</w:t>
      </w:r>
      <w:r>
        <w:rPr>
          <w:rFonts w:hint="eastAsia" w:ascii="仿宋" w:hAnsi="仿宋" w:eastAsia="仿宋" w:cs="仿宋"/>
          <w:color w:val="auto"/>
          <w:spacing w:val="4"/>
          <w:sz w:val="30"/>
          <w:szCs w:val="30"/>
          <w:highlight w:val="none"/>
        </w:rPr>
        <w:t xml:space="preserve"> )</w:t>
      </w:r>
    </w:p>
    <w:p w14:paraId="5AF9E9C8">
      <w:pPr>
        <w:rPr>
          <w:color w:val="auto"/>
          <w:highlight w:val="none"/>
        </w:rPr>
      </w:pPr>
    </w:p>
    <w:p w14:paraId="23A2A923">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法定代表人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或授权代表</w:t>
      </w:r>
      <w:r>
        <w:rPr>
          <w:rFonts w:hint="eastAsia" w:ascii="仿宋" w:hAnsi="仿宋" w:eastAsia="仿宋" w:cs="仿宋"/>
          <w:color w:val="auto"/>
          <w:spacing w:val="4"/>
          <w:sz w:val="30"/>
          <w:szCs w:val="30"/>
          <w:highlight w:val="none"/>
        </w:rPr>
        <w:t xml:space="preserve">):     </w:t>
      </w:r>
      <w:r>
        <w:rPr>
          <w:rFonts w:ascii="仿宋" w:hAnsi="仿宋" w:eastAsia="仿宋" w:cs="仿宋"/>
          <w:color w:val="auto"/>
          <w:spacing w:val="4"/>
          <w:sz w:val="30"/>
          <w:szCs w:val="30"/>
          <w:highlight w:val="non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签字或盖个人名章</w:t>
      </w:r>
      <w:r>
        <w:rPr>
          <w:rFonts w:hint="eastAsia" w:ascii="仿宋" w:hAnsi="仿宋" w:eastAsia="仿宋" w:cs="仿宋"/>
          <w:color w:val="auto"/>
          <w:spacing w:val="4"/>
          <w:sz w:val="30"/>
          <w:szCs w:val="30"/>
          <w:highlight w:val="none"/>
        </w:rPr>
        <w:t>)</w:t>
      </w:r>
    </w:p>
    <w:p w14:paraId="003F826A">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w:t>
      </w:r>
    </w:p>
    <w:p w14:paraId="6322ECDA">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邮政编码：</w:t>
      </w:r>
      <w:r>
        <w:rPr>
          <w:rFonts w:hint="eastAsia" w:ascii="仿宋" w:hAnsi="仿宋" w:eastAsia="仿宋" w:cs="仿宋"/>
          <w:color w:val="auto"/>
          <w:spacing w:val="4"/>
          <w:sz w:val="30"/>
          <w:szCs w:val="30"/>
          <w:highlight w:val="none"/>
        </w:rPr>
        <w:t xml:space="preserve">                                              </w:t>
      </w:r>
    </w:p>
    <w:p w14:paraId="312F3978">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电</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话：</w:t>
      </w:r>
      <w:r>
        <w:rPr>
          <w:rFonts w:hint="eastAsia" w:ascii="仿宋" w:hAnsi="仿宋" w:eastAsia="仿宋" w:cs="仿宋"/>
          <w:color w:val="auto"/>
          <w:spacing w:val="4"/>
          <w:sz w:val="30"/>
          <w:szCs w:val="30"/>
          <w:highlight w:val="none"/>
        </w:rPr>
        <w:t xml:space="preserve">                                              </w:t>
      </w:r>
    </w:p>
    <w:p w14:paraId="4BFF2A62">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传</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真</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w:t>
      </w:r>
    </w:p>
    <w:p w14:paraId="12F2FD07">
      <w:pPr>
        <w:pStyle w:val="8"/>
        <w:ind w:left="63" w:right="63" w:firstLine="616" w:firstLineChars="200"/>
        <w:jc w:val="both"/>
        <w:rPr>
          <w:color w:val="auto"/>
          <w:highlight w:val="none"/>
        </w:rPr>
      </w:pPr>
      <w:r>
        <w:rPr>
          <w:rFonts w:hint="eastAsia" w:ascii="宋体" w:hAnsi="宋体" w:cs="宋体"/>
          <w:color w:val="auto"/>
          <w:spacing w:val="4"/>
          <w:sz w:val="30"/>
          <w:szCs w:val="30"/>
          <w:highlight w:val="none"/>
        </w:rPr>
        <w:t>开立时间：</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年</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月</w:t>
      </w:r>
      <w:r>
        <w:rPr>
          <w:rFonts w:hint="eastAsia" w:ascii="仿宋" w:hAnsi="仿宋" w:eastAsia="仿宋" w:cs="仿宋"/>
          <w:color w:val="auto"/>
          <w:spacing w:val="4"/>
          <w:sz w:val="30"/>
          <w:szCs w:val="30"/>
          <w:highlight w:val="none"/>
        </w:rPr>
        <w:t xml:space="preserve">    </w:t>
      </w:r>
    </w:p>
    <w:p w14:paraId="63E14980">
      <w:pPr>
        <w:rPr>
          <w:color w:val="auto"/>
          <w:highlight w:val="none"/>
        </w:rPr>
      </w:pPr>
    </w:p>
    <w:p w14:paraId="6984E763">
      <w:pPr>
        <w:widowControl/>
        <w:jc w:val="center"/>
        <w:rPr>
          <w:rFonts w:hint="default" w:ascii="宋体" w:hAnsi="宋体"/>
          <w:bCs/>
          <w:color w:val="auto"/>
          <w:kern w:val="0"/>
          <w:sz w:val="28"/>
          <w:szCs w:val="28"/>
          <w:highlight w:val="none"/>
          <w:lang w:val="en-US" w:eastAsia="zh-CN"/>
        </w:rPr>
      </w:pPr>
    </w:p>
    <w:p w14:paraId="6A9431A9">
      <w:pPr>
        <w:widowControl/>
        <w:jc w:val="center"/>
        <w:rPr>
          <w:rFonts w:hint="default" w:ascii="宋体" w:hAnsi="宋体"/>
          <w:bCs/>
          <w:color w:val="auto"/>
          <w:kern w:val="0"/>
          <w:sz w:val="28"/>
          <w:szCs w:val="28"/>
          <w:highlight w:val="none"/>
          <w:lang w:val="en-US" w:eastAsia="zh-CN"/>
        </w:rPr>
      </w:pPr>
    </w:p>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1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MingLiU">
    <w:altName w:val="Microsoft JhengHei UI"/>
    <w:panose1 w:val="02010609000101010101"/>
    <w:charset w:val="88"/>
    <w:family w:val="moder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86"/>
    <w:family w:val="script"/>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715F4">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71C795">
                          <w:pPr>
                            <w:pStyle w:val="13"/>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071C795">
                    <w:pPr>
                      <w:pStyle w:val="13"/>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0266D">
    <w:pPr>
      <w:pStyle w:val="13"/>
      <w:jc w:val="center"/>
      <w:rPr>
        <w:rFonts w:eastAsia="仿宋_GB2312"/>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602402">
                          <w:pPr>
                            <w:pStyle w:val="13"/>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75602402">
                    <w:pPr>
                      <w:pStyle w:val="13"/>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8196C">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7E78D7">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3E7E78D7">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F57A9">
    <w:pPr>
      <w:spacing w:line="176" w:lineRule="auto"/>
      <w:ind w:left="4368"/>
      <w:rPr>
        <w:rFonts w:eastAsia="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02885D">
                          <w:pPr>
                            <w:pStyle w:val="13"/>
                          </w:pPr>
                          <w:r>
                            <w:t xml:space="preserve">第 </w:t>
                          </w:r>
                          <w:r>
                            <w:fldChar w:fldCharType="begin"/>
                          </w:r>
                          <w:r>
                            <w:instrText xml:space="preserve"> PAGE  \* MERGEFORMAT </w:instrText>
                          </w:r>
                          <w:r>
                            <w:fldChar w:fldCharType="separate"/>
                          </w:r>
                          <w:r>
                            <w:t>46</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6102885D">
                    <w:pPr>
                      <w:pStyle w:val="13"/>
                    </w:pPr>
                    <w:r>
                      <w:t xml:space="preserve">第 </w:t>
                    </w:r>
                    <w:r>
                      <w:fldChar w:fldCharType="begin"/>
                    </w:r>
                    <w:r>
                      <w:instrText xml:space="preserve"> PAGE  \* MERGEFORMAT </w:instrText>
                    </w:r>
                    <w:r>
                      <w:fldChar w:fldCharType="separate"/>
                    </w:r>
                    <w:r>
                      <w:t>46</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97E40">
    <w:pPr>
      <w:pStyle w:val="13"/>
      <w:jc w:val="center"/>
      <w:rPr>
        <w:cap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05400F">
                          <w:pPr>
                            <w:pStyle w:val="13"/>
                            <w:jc w:val="center"/>
                          </w:pPr>
                          <w:r>
                            <w:rPr>
                              <w:caps/>
                            </w:rPr>
                            <w:fldChar w:fldCharType="begin"/>
                          </w:r>
                          <w:r>
                            <w:rPr>
                              <w:caps/>
                            </w:rPr>
                            <w:instrText xml:space="preserve">PAGE   \* MERGEFORMAT</w:instrText>
                          </w:r>
                          <w:r>
                            <w:rPr>
                              <w:caps/>
                            </w:rPr>
                            <w:fldChar w:fldCharType="separate"/>
                          </w:r>
                          <w:r>
                            <w:rPr>
                              <w:caps/>
                              <w:lang w:val="zh-CN"/>
                            </w:rPr>
                            <w:t>23</w:t>
                          </w:r>
                          <w:r>
                            <w:rPr>
                              <w:cap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F05400F">
                    <w:pPr>
                      <w:pStyle w:val="13"/>
                      <w:jc w:val="center"/>
                    </w:pPr>
                    <w:r>
                      <w:rPr>
                        <w:caps/>
                      </w:rPr>
                      <w:fldChar w:fldCharType="begin"/>
                    </w:r>
                    <w:r>
                      <w:rPr>
                        <w:caps/>
                      </w:rPr>
                      <w:instrText xml:space="preserve">PAGE   \* MERGEFORMAT</w:instrText>
                    </w:r>
                    <w:r>
                      <w:rPr>
                        <w:caps/>
                      </w:rPr>
                      <w:fldChar w:fldCharType="separate"/>
                    </w:r>
                    <w:r>
                      <w:rPr>
                        <w:caps/>
                        <w:lang w:val="zh-CN"/>
                      </w:rPr>
                      <w:t>23</w:t>
                    </w:r>
                    <w:r>
                      <w:rPr>
                        <w:caps/>
                      </w:rPr>
                      <w:fldChar w:fldCharType="end"/>
                    </w:r>
                  </w:p>
                </w:txbxContent>
              </v:textbox>
            </v:shape>
          </w:pict>
        </mc:Fallback>
      </mc:AlternateContent>
    </w:r>
  </w:p>
  <w:p w14:paraId="4F221BA6">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53B8C">
    <w:pPr>
      <w:pStyle w:val="14"/>
      <w:pBdr>
        <w:bottom w:val="thinThickMediumGap" w:color="auto" w:sz="18" w:space="1"/>
      </w:pBdr>
      <w:jc w:val="distribute"/>
      <w:rPr>
        <w:rFonts w:ascii="宋体" w:hAnsi="宋体" w:cs="宋体"/>
        <w:b/>
      </w:rPr>
    </w:pPr>
  </w:p>
  <w:p w14:paraId="15632D5D">
    <w:pPr>
      <w:pStyle w:val="14"/>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64B1E">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D5EA3">
    <w:pPr>
      <w:pStyle w:val="14"/>
      <w:pBdr>
        <w:bottom w:val="none" w:color="auto" w:sz="0" w:space="0"/>
      </w:pBdr>
      <w:jc w:val="both"/>
      <w:rPr>
        <w:u w:val="single"/>
      </w:rPr>
    </w:pPr>
    <w:r>
      <w:rPr>
        <w:u w:val="single"/>
      </w:rPr>
      <w:t>重庆国际复合材料股份有限公司</w:t>
    </w:r>
    <w:r>
      <w:rPr>
        <w:rFonts w:hint="eastAsia"/>
        <w:u w:val="single"/>
      </w:rPr>
      <w:t xml:space="preserve"> </w:t>
    </w:r>
    <w:r>
      <w:rPr>
        <w:u w:val="single"/>
      </w:rPr>
      <w:t xml:space="preserve">                                                 </w:t>
    </w:r>
    <w:r>
      <w:rPr>
        <w:rFonts w:hint="eastAsia"/>
        <w:u w:val="single"/>
        <w:lang w:eastAsia="zh-CN"/>
      </w:rPr>
      <w:t>谈判采购文件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72"/>
      <w:suff w:val="nothing"/>
      <w:lvlText w:val="%1　"/>
      <w:lvlJc w:val="left"/>
      <w:pPr>
        <w:ind w:left="3544" w:firstLine="0"/>
      </w:pPr>
      <w:rPr>
        <w:rFonts w:hint="eastAsia" w:ascii="黑体" w:hAnsi="Times New Roman" w:eastAsia="黑体"/>
        <w:b w:val="0"/>
        <w:i w:val="0"/>
        <w:sz w:val="21"/>
        <w:szCs w:val="21"/>
      </w:rPr>
    </w:lvl>
    <w:lvl w:ilvl="1" w:tentative="0">
      <w:start w:val="1"/>
      <w:numFmt w:val="decimal"/>
      <w:pStyle w:val="74"/>
      <w:suff w:val="nothing"/>
      <w:lvlText w:val="%1.%2　"/>
      <w:lvlJc w:val="left"/>
      <w:pPr>
        <w:ind w:left="568"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78"/>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0B247BD"/>
    <w:multiLevelType w:val="singleLevel"/>
    <w:tmpl w:val="20B247BD"/>
    <w:lvl w:ilvl="0" w:tentative="0">
      <w:start w:val="1"/>
      <w:numFmt w:val="upperLetter"/>
      <w:suff w:val="nothing"/>
      <w:lvlText w:val="%1、"/>
      <w:lvlJc w:val="left"/>
    </w:lvl>
  </w:abstractNum>
  <w:abstractNum w:abstractNumId="2">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57FF1490"/>
    <w:multiLevelType w:val="multilevel"/>
    <w:tmpl w:val="57FF1490"/>
    <w:lvl w:ilvl="0" w:tentative="0">
      <w:start w:val="1"/>
      <w:numFmt w:val="decimal"/>
      <w:suff w:val="nothing"/>
      <w:lvlText w:val="%1　"/>
      <w:lvlJc w:val="left"/>
      <w:pPr>
        <w:ind w:left="3544" w:firstLine="0"/>
      </w:pPr>
      <w:rPr>
        <w:rFonts w:hint="eastAsia" w:ascii="黑体" w:hAnsi="Times New Roman" w:eastAsia="黑体"/>
        <w:b w:val="0"/>
        <w:i w:val="0"/>
        <w:sz w:val="21"/>
        <w:szCs w:val="21"/>
      </w:rPr>
    </w:lvl>
    <w:lvl w:ilvl="1" w:tentative="0">
      <w:start w:val="1"/>
      <w:numFmt w:val="decimal"/>
      <w:suff w:val="nothing"/>
      <w:lvlText w:val="%1.%2　"/>
      <w:lvlJc w:val="left"/>
      <w:pPr>
        <w:ind w:left="568"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EE13876"/>
    <w:multiLevelType w:val="multilevel"/>
    <w:tmpl w:val="5EE13876"/>
    <w:lvl w:ilvl="0" w:tentative="0">
      <w:start w:val="1"/>
      <w:numFmt w:val="decimal"/>
      <w:lvlText w:val="%1"/>
      <w:lvlJc w:val="left"/>
      <w:pPr>
        <w:ind w:left="425" w:hanging="425"/>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
    <w:nsid w:val="76B26BF2"/>
    <w:multiLevelType w:val="multilevel"/>
    <w:tmpl w:val="76B26BF2"/>
    <w:lvl w:ilvl="0" w:tentative="0">
      <w:start w:val="5"/>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4"/>
  </w:num>
  <w:num w:numId="3">
    <w:abstractNumId w:val="6"/>
  </w:num>
  <w:num w:numId="4">
    <w:abstractNumId w:val="2"/>
  </w:num>
  <w:num w:numId="5">
    <w:abstractNumId w:val="1"/>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hkZjQwYWYwZDk3M2QyNTFmM2E0MGZhNjRmY2Q5ZjEifQ=="/>
  </w:docVars>
  <w:rsids>
    <w:rsidRoot w:val="00B81798"/>
    <w:rsid w:val="00004E16"/>
    <w:rsid w:val="00015732"/>
    <w:rsid w:val="0002731E"/>
    <w:rsid w:val="00033273"/>
    <w:rsid w:val="0003535A"/>
    <w:rsid w:val="000371A3"/>
    <w:rsid w:val="0004557B"/>
    <w:rsid w:val="00055099"/>
    <w:rsid w:val="0006349A"/>
    <w:rsid w:val="000639DA"/>
    <w:rsid w:val="00066327"/>
    <w:rsid w:val="00067A52"/>
    <w:rsid w:val="00074A9C"/>
    <w:rsid w:val="000A490D"/>
    <w:rsid w:val="000C313A"/>
    <w:rsid w:val="000C59FF"/>
    <w:rsid w:val="000D61D5"/>
    <w:rsid w:val="000E3867"/>
    <w:rsid w:val="000F21AA"/>
    <w:rsid w:val="000F4C42"/>
    <w:rsid w:val="000F6CBB"/>
    <w:rsid w:val="00101650"/>
    <w:rsid w:val="001246C1"/>
    <w:rsid w:val="00134003"/>
    <w:rsid w:val="0013507B"/>
    <w:rsid w:val="0015136C"/>
    <w:rsid w:val="001546C4"/>
    <w:rsid w:val="001561DB"/>
    <w:rsid w:val="00170DD6"/>
    <w:rsid w:val="0017455F"/>
    <w:rsid w:val="00175CB8"/>
    <w:rsid w:val="00177354"/>
    <w:rsid w:val="00181091"/>
    <w:rsid w:val="00195024"/>
    <w:rsid w:val="001A7ABD"/>
    <w:rsid w:val="001C504A"/>
    <w:rsid w:val="001D263E"/>
    <w:rsid w:val="001E4C22"/>
    <w:rsid w:val="001E533A"/>
    <w:rsid w:val="001E7567"/>
    <w:rsid w:val="001E7E0D"/>
    <w:rsid w:val="001F306D"/>
    <w:rsid w:val="001F6D3B"/>
    <w:rsid w:val="001F75D1"/>
    <w:rsid w:val="0020213A"/>
    <w:rsid w:val="00235E47"/>
    <w:rsid w:val="00271875"/>
    <w:rsid w:val="002769D8"/>
    <w:rsid w:val="00277025"/>
    <w:rsid w:val="00277C8B"/>
    <w:rsid w:val="002A4E7C"/>
    <w:rsid w:val="002A74FC"/>
    <w:rsid w:val="002C7821"/>
    <w:rsid w:val="002F2EF8"/>
    <w:rsid w:val="00304C5C"/>
    <w:rsid w:val="003176E5"/>
    <w:rsid w:val="00320BF2"/>
    <w:rsid w:val="003315DC"/>
    <w:rsid w:val="00331BC5"/>
    <w:rsid w:val="00340F41"/>
    <w:rsid w:val="00347237"/>
    <w:rsid w:val="00352992"/>
    <w:rsid w:val="00353A06"/>
    <w:rsid w:val="003551CB"/>
    <w:rsid w:val="00360D0D"/>
    <w:rsid w:val="00362B9C"/>
    <w:rsid w:val="00366930"/>
    <w:rsid w:val="00367BC3"/>
    <w:rsid w:val="00370CFF"/>
    <w:rsid w:val="0038741C"/>
    <w:rsid w:val="0039133D"/>
    <w:rsid w:val="00391ABF"/>
    <w:rsid w:val="003A0B07"/>
    <w:rsid w:val="003A4427"/>
    <w:rsid w:val="003B0DA4"/>
    <w:rsid w:val="003C19D4"/>
    <w:rsid w:val="003D3228"/>
    <w:rsid w:val="003E2337"/>
    <w:rsid w:val="003E76BD"/>
    <w:rsid w:val="003F1171"/>
    <w:rsid w:val="003F192C"/>
    <w:rsid w:val="003F450C"/>
    <w:rsid w:val="004027DD"/>
    <w:rsid w:val="00411C82"/>
    <w:rsid w:val="0041311F"/>
    <w:rsid w:val="00423578"/>
    <w:rsid w:val="00426EAE"/>
    <w:rsid w:val="00427796"/>
    <w:rsid w:val="00433CDB"/>
    <w:rsid w:val="0044405B"/>
    <w:rsid w:val="00444480"/>
    <w:rsid w:val="00445084"/>
    <w:rsid w:val="00465DC3"/>
    <w:rsid w:val="00491316"/>
    <w:rsid w:val="004972F9"/>
    <w:rsid w:val="004A2D7F"/>
    <w:rsid w:val="004A5B13"/>
    <w:rsid w:val="004B6BE1"/>
    <w:rsid w:val="004C1C65"/>
    <w:rsid w:val="004C4ED6"/>
    <w:rsid w:val="004C7FDE"/>
    <w:rsid w:val="004D0091"/>
    <w:rsid w:val="004D0768"/>
    <w:rsid w:val="004D0830"/>
    <w:rsid w:val="00506E72"/>
    <w:rsid w:val="00510B53"/>
    <w:rsid w:val="0051340F"/>
    <w:rsid w:val="005159F0"/>
    <w:rsid w:val="00522CDF"/>
    <w:rsid w:val="005261F6"/>
    <w:rsid w:val="00530CFA"/>
    <w:rsid w:val="00535B40"/>
    <w:rsid w:val="005514A9"/>
    <w:rsid w:val="0055580E"/>
    <w:rsid w:val="0057232B"/>
    <w:rsid w:val="00583A3F"/>
    <w:rsid w:val="00596A5D"/>
    <w:rsid w:val="005B0268"/>
    <w:rsid w:val="005B2034"/>
    <w:rsid w:val="005B7EC1"/>
    <w:rsid w:val="005C3AD3"/>
    <w:rsid w:val="005C4D96"/>
    <w:rsid w:val="005D0926"/>
    <w:rsid w:val="005E3C8D"/>
    <w:rsid w:val="00603AEC"/>
    <w:rsid w:val="00604D86"/>
    <w:rsid w:val="00606C97"/>
    <w:rsid w:val="00612724"/>
    <w:rsid w:val="00615E15"/>
    <w:rsid w:val="006227EA"/>
    <w:rsid w:val="00626687"/>
    <w:rsid w:val="006326A5"/>
    <w:rsid w:val="00637D7A"/>
    <w:rsid w:val="0064230F"/>
    <w:rsid w:val="00644432"/>
    <w:rsid w:val="00644C42"/>
    <w:rsid w:val="00650FCB"/>
    <w:rsid w:val="00653732"/>
    <w:rsid w:val="0065666B"/>
    <w:rsid w:val="0066245A"/>
    <w:rsid w:val="006773FE"/>
    <w:rsid w:val="006815A2"/>
    <w:rsid w:val="00685DC9"/>
    <w:rsid w:val="0069210D"/>
    <w:rsid w:val="00694020"/>
    <w:rsid w:val="00697B40"/>
    <w:rsid w:val="006A4D4C"/>
    <w:rsid w:val="006A7B92"/>
    <w:rsid w:val="006C2FE2"/>
    <w:rsid w:val="006C788A"/>
    <w:rsid w:val="006D2211"/>
    <w:rsid w:val="006D4807"/>
    <w:rsid w:val="006D7317"/>
    <w:rsid w:val="006E00BB"/>
    <w:rsid w:val="006F3081"/>
    <w:rsid w:val="00701695"/>
    <w:rsid w:val="007137B2"/>
    <w:rsid w:val="00715CBF"/>
    <w:rsid w:val="007162FA"/>
    <w:rsid w:val="00720504"/>
    <w:rsid w:val="00723322"/>
    <w:rsid w:val="00725E6F"/>
    <w:rsid w:val="007342EE"/>
    <w:rsid w:val="00746629"/>
    <w:rsid w:val="007476FE"/>
    <w:rsid w:val="0075602E"/>
    <w:rsid w:val="0076681A"/>
    <w:rsid w:val="0077282B"/>
    <w:rsid w:val="00777B3C"/>
    <w:rsid w:val="00782682"/>
    <w:rsid w:val="007947C9"/>
    <w:rsid w:val="007A5E1D"/>
    <w:rsid w:val="007A6156"/>
    <w:rsid w:val="007A78AF"/>
    <w:rsid w:val="007B43AD"/>
    <w:rsid w:val="007C1BCC"/>
    <w:rsid w:val="007C1BE1"/>
    <w:rsid w:val="007C31F3"/>
    <w:rsid w:val="007C3366"/>
    <w:rsid w:val="007C5D73"/>
    <w:rsid w:val="007D268D"/>
    <w:rsid w:val="007D718E"/>
    <w:rsid w:val="007E3DD6"/>
    <w:rsid w:val="007E42A8"/>
    <w:rsid w:val="007E6A1A"/>
    <w:rsid w:val="007F332C"/>
    <w:rsid w:val="007F65E0"/>
    <w:rsid w:val="008054DB"/>
    <w:rsid w:val="00810749"/>
    <w:rsid w:val="00812A2D"/>
    <w:rsid w:val="0081478C"/>
    <w:rsid w:val="008166DF"/>
    <w:rsid w:val="0082033A"/>
    <w:rsid w:val="008207B8"/>
    <w:rsid w:val="00842E90"/>
    <w:rsid w:val="0084485D"/>
    <w:rsid w:val="00847A05"/>
    <w:rsid w:val="008507A2"/>
    <w:rsid w:val="0085369D"/>
    <w:rsid w:val="00861884"/>
    <w:rsid w:val="00861A8A"/>
    <w:rsid w:val="008629CC"/>
    <w:rsid w:val="00874726"/>
    <w:rsid w:val="00874D2E"/>
    <w:rsid w:val="008867B7"/>
    <w:rsid w:val="00886858"/>
    <w:rsid w:val="00891C43"/>
    <w:rsid w:val="00896A54"/>
    <w:rsid w:val="008B363D"/>
    <w:rsid w:val="008B550C"/>
    <w:rsid w:val="008D271A"/>
    <w:rsid w:val="008D4DED"/>
    <w:rsid w:val="008E41A1"/>
    <w:rsid w:val="008E78AD"/>
    <w:rsid w:val="00905809"/>
    <w:rsid w:val="00916B62"/>
    <w:rsid w:val="009175B4"/>
    <w:rsid w:val="00933197"/>
    <w:rsid w:val="00937BE3"/>
    <w:rsid w:val="00940631"/>
    <w:rsid w:val="00955DB0"/>
    <w:rsid w:val="00956A25"/>
    <w:rsid w:val="0098054D"/>
    <w:rsid w:val="00990130"/>
    <w:rsid w:val="009A1ED4"/>
    <w:rsid w:val="009A2CAE"/>
    <w:rsid w:val="009A7930"/>
    <w:rsid w:val="009D202F"/>
    <w:rsid w:val="009D4E69"/>
    <w:rsid w:val="009E1A97"/>
    <w:rsid w:val="009E2AED"/>
    <w:rsid w:val="009F2F18"/>
    <w:rsid w:val="009F5130"/>
    <w:rsid w:val="00A11B03"/>
    <w:rsid w:val="00A129FC"/>
    <w:rsid w:val="00A323FB"/>
    <w:rsid w:val="00A577A1"/>
    <w:rsid w:val="00A72AF6"/>
    <w:rsid w:val="00A77F92"/>
    <w:rsid w:val="00A84282"/>
    <w:rsid w:val="00A90A78"/>
    <w:rsid w:val="00AA0104"/>
    <w:rsid w:val="00AA1A50"/>
    <w:rsid w:val="00AA2C25"/>
    <w:rsid w:val="00AA5781"/>
    <w:rsid w:val="00AA6699"/>
    <w:rsid w:val="00AA6B15"/>
    <w:rsid w:val="00AA72B3"/>
    <w:rsid w:val="00AC3CA9"/>
    <w:rsid w:val="00AC484F"/>
    <w:rsid w:val="00AC5B2B"/>
    <w:rsid w:val="00AF07CF"/>
    <w:rsid w:val="00AF779C"/>
    <w:rsid w:val="00B00FFE"/>
    <w:rsid w:val="00B24BD3"/>
    <w:rsid w:val="00B27073"/>
    <w:rsid w:val="00B31B9C"/>
    <w:rsid w:val="00B476CE"/>
    <w:rsid w:val="00B52A59"/>
    <w:rsid w:val="00B605EC"/>
    <w:rsid w:val="00B7368B"/>
    <w:rsid w:val="00B80808"/>
    <w:rsid w:val="00B81798"/>
    <w:rsid w:val="00B836A3"/>
    <w:rsid w:val="00B927C3"/>
    <w:rsid w:val="00BA3B67"/>
    <w:rsid w:val="00BB26FC"/>
    <w:rsid w:val="00BB77EA"/>
    <w:rsid w:val="00BC0E0F"/>
    <w:rsid w:val="00BC1DCA"/>
    <w:rsid w:val="00BC4539"/>
    <w:rsid w:val="00BD2A03"/>
    <w:rsid w:val="00BE119F"/>
    <w:rsid w:val="00BF5E95"/>
    <w:rsid w:val="00BF72DF"/>
    <w:rsid w:val="00C07D6F"/>
    <w:rsid w:val="00C16606"/>
    <w:rsid w:val="00C16F96"/>
    <w:rsid w:val="00C30CB8"/>
    <w:rsid w:val="00C41126"/>
    <w:rsid w:val="00C516D1"/>
    <w:rsid w:val="00C55E84"/>
    <w:rsid w:val="00C60781"/>
    <w:rsid w:val="00C63D4D"/>
    <w:rsid w:val="00C70EB8"/>
    <w:rsid w:val="00C77A33"/>
    <w:rsid w:val="00C80953"/>
    <w:rsid w:val="00C8510F"/>
    <w:rsid w:val="00C8552C"/>
    <w:rsid w:val="00C9295E"/>
    <w:rsid w:val="00CA2115"/>
    <w:rsid w:val="00CA6278"/>
    <w:rsid w:val="00CC2A62"/>
    <w:rsid w:val="00CD536C"/>
    <w:rsid w:val="00CF2B7E"/>
    <w:rsid w:val="00CF44FD"/>
    <w:rsid w:val="00D275E6"/>
    <w:rsid w:val="00D3568B"/>
    <w:rsid w:val="00D51A17"/>
    <w:rsid w:val="00D64B0C"/>
    <w:rsid w:val="00D66967"/>
    <w:rsid w:val="00D73D8A"/>
    <w:rsid w:val="00D755A5"/>
    <w:rsid w:val="00D75A6B"/>
    <w:rsid w:val="00D7614C"/>
    <w:rsid w:val="00D76D3D"/>
    <w:rsid w:val="00D92C2E"/>
    <w:rsid w:val="00D937E7"/>
    <w:rsid w:val="00D93DD2"/>
    <w:rsid w:val="00D96DFF"/>
    <w:rsid w:val="00DA43C0"/>
    <w:rsid w:val="00DA5374"/>
    <w:rsid w:val="00DB01DA"/>
    <w:rsid w:val="00DB33AB"/>
    <w:rsid w:val="00DB5932"/>
    <w:rsid w:val="00DC5625"/>
    <w:rsid w:val="00DD0C00"/>
    <w:rsid w:val="00DD4646"/>
    <w:rsid w:val="00DD4B19"/>
    <w:rsid w:val="00DD77DD"/>
    <w:rsid w:val="00DF3A73"/>
    <w:rsid w:val="00DF6CFA"/>
    <w:rsid w:val="00E076D7"/>
    <w:rsid w:val="00E102CF"/>
    <w:rsid w:val="00E16E56"/>
    <w:rsid w:val="00E30B99"/>
    <w:rsid w:val="00E30D5A"/>
    <w:rsid w:val="00E32177"/>
    <w:rsid w:val="00E33296"/>
    <w:rsid w:val="00E34A35"/>
    <w:rsid w:val="00E35B98"/>
    <w:rsid w:val="00E37CF0"/>
    <w:rsid w:val="00E41843"/>
    <w:rsid w:val="00E41F40"/>
    <w:rsid w:val="00E44038"/>
    <w:rsid w:val="00E47A64"/>
    <w:rsid w:val="00E62DA3"/>
    <w:rsid w:val="00E75715"/>
    <w:rsid w:val="00E75A90"/>
    <w:rsid w:val="00E822FC"/>
    <w:rsid w:val="00E962EC"/>
    <w:rsid w:val="00EB0056"/>
    <w:rsid w:val="00EB51BD"/>
    <w:rsid w:val="00EB662B"/>
    <w:rsid w:val="00ED5E43"/>
    <w:rsid w:val="00EE630B"/>
    <w:rsid w:val="00EF10F8"/>
    <w:rsid w:val="00EF4098"/>
    <w:rsid w:val="00F06F7B"/>
    <w:rsid w:val="00F14CB8"/>
    <w:rsid w:val="00F22B6F"/>
    <w:rsid w:val="00F3016B"/>
    <w:rsid w:val="00F33F0A"/>
    <w:rsid w:val="00F36E4B"/>
    <w:rsid w:val="00F42DFD"/>
    <w:rsid w:val="00F42E95"/>
    <w:rsid w:val="00F827C7"/>
    <w:rsid w:val="00F96FD9"/>
    <w:rsid w:val="00FA1BA8"/>
    <w:rsid w:val="00FA49D4"/>
    <w:rsid w:val="00FB41CE"/>
    <w:rsid w:val="00FC5408"/>
    <w:rsid w:val="00FC64A5"/>
    <w:rsid w:val="00FD7184"/>
    <w:rsid w:val="00FE7CEB"/>
    <w:rsid w:val="0252552D"/>
    <w:rsid w:val="039F26C9"/>
    <w:rsid w:val="03AC4D68"/>
    <w:rsid w:val="07CF7529"/>
    <w:rsid w:val="07F33D53"/>
    <w:rsid w:val="08470CC8"/>
    <w:rsid w:val="099B5350"/>
    <w:rsid w:val="0AA3501D"/>
    <w:rsid w:val="0B8E5E80"/>
    <w:rsid w:val="0BAF6137"/>
    <w:rsid w:val="0C9D4FE4"/>
    <w:rsid w:val="0EF04AFA"/>
    <w:rsid w:val="10B85A49"/>
    <w:rsid w:val="11022000"/>
    <w:rsid w:val="11166965"/>
    <w:rsid w:val="11AD6919"/>
    <w:rsid w:val="131161CB"/>
    <w:rsid w:val="139A61FE"/>
    <w:rsid w:val="143030E0"/>
    <w:rsid w:val="14962736"/>
    <w:rsid w:val="15EB2077"/>
    <w:rsid w:val="16355984"/>
    <w:rsid w:val="16506CFC"/>
    <w:rsid w:val="18F30F4D"/>
    <w:rsid w:val="1B1D2ECC"/>
    <w:rsid w:val="1D5340D5"/>
    <w:rsid w:val="1D5B41AA"/>
    <w:rsid w:val="1D5E5A65"/>
    <w:rsid w:val="1E2F712F"/>
    <w:rsid w:val="1E6502D1"/>
    <w:rsid w:val="21592A0A"/>
    <w:rsid w:val="24BE6A7A"/>
    <w:rsid w:val="2605281B"/>
    <w:rsid w:val="29512B72"/>
    <w:rsid w:val="29D92176"/>
    <w:rsid w:val="2AF77747"/>
    <w:rsid w:val="2D730845"/>
    <w:rsid w:val="2ED4259D"/>
    <w:rsid w:val="2EEB09AB"/>
    <w:rsid w:val="30014ABC"/>
    <w:rsid w:val="31066673"/>
    <w:rsid w:val="32CF7549"/>
    <w:rsid w:val="3307663B"/>
    <w:rsid w:val="33E330E5"/>
    <w:rsid w:val="364E146B"/>
    <w:rsid w:val="36C66A25"/>
    <w:rsid w:val="375B3BB2"/>
    <w:rsid w:val="37782570"/>
    <w:rsid w:val="37A22B83"/>
    <w:rsid w:val="38BC27A6"/>
    <w:rsid w:val="3A06527E"/>
    <w:rsid w:val="3B7538D6"/>
    <w:rsid w:val="3B753F05"/>
    <w:rsid w:val="3E111FAD"/>
    <w:rsid w:val="3E7346AA"/>
    <w:rsid w:val="3E7E68EE"/>
    <w:rsid w:val="41CD5D72"/>
    <w:rsid w:val="42D62191"/>
    <w:rsid w:val="433D190F"/>
    <w:rsid w:val="438254A7"/>
    <w:rsid w:val="45002BF8"/>
    <w:rsid w:val="483408A5"/>
    <w:rsid w:val="4AE1509D"/>
    <w:rsid w:val="4E8D6C9B"/>
    <w:rsid w:val="4FAE474F"/>
    <w:rsid w:val="531540B7"/>
    <w:rsid w:val="5344598C"/>
    <w:rsid w:val="56093F5F"/>
    <w:rsid w:val="57314EF4"/>
    <w:rsid w:val="5AE80094"/>
    <w:rsid w:val="5BC81896"/>
    <w:rsid w:val="604F627F"/>
    <w:rsid w:val="62560FBE"/>
    <w:rsid w:val="66EE541F"/>
    <w:rsid w:val="67114A94"/>
    <w:rsid w:val="698971FC"/>
    <w:rsid w:val="69A24562"/>
    <w:rsid w:val="6B5C44B8"/>
    <w:rsid w:val="6BDC6C36"/>
    <w:rsid w:val="6CF06717"/>
    <w:rsid w:val="6EDA6DB9"/>
    <w:rsid w:val="6F4F078F"/>
    <w:rsid w:val="6F6E3680"/>
    <w:rsid w:val="71B653BD"/>
    <w:rsid w:val="71D37C38"/>
    <w:rsid w:val="72030E1E"/>
    <w:rsid w:val="75C41459"/>
    <w:rsid w:val="762A44F2"/>
    <w:rsid w:val="7679500D"/>
    <w:rsid w:val="772B173D"/>
    <w:rsid w:val="785D045E"/>
    <w:rsid w:val="789C1508"/>
    <w:rsid w:val="7A0A68DD"/>
    <w:rsid w:val="7BE158A4"/>
    <w:rsid w:val="7C0814C8"/>
    <w:rsid w:val="7CA64253"/>
    <w:rsid w:val="7CE568C5"/>
    <w:rsid w:val="7D1108C2"/>
    <w:rsid w:val="7D61168C"/>
    <w:rsid w:val="7E360757"/>
    <w:rsid w:val="7E385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0"/>
    <w:qFormat/>
    <w:uiPriority w:val="0"/>
    <w:pPr>
      <w:keepNext/>
      <w:keepLines/>
      <w:spacing w:before="260" w:after="260" w:line="416" w:lineRule="auto"/>
      <w:outlineLvl w:val="2"/>
    </w:pPr>
    <w:rPr>
      <w:b/>
      <w:bCs/>
      <w:sz w:val="32"/>
      <w:szCs w:val="32"/>
    </w:rPr>
  </w:style>
  <w:style w:type="paragraph" w:styleId="5">
    <w:name w:val="heading 4"/>
    <w:next w:val="1"/>
    <w:qFormat/>
    <w:uiPriority w:val="0"/>
    <w:pPr>
      <w:keepNext/>
      <w:keepLines/>
      <w:widowControl w:val="0"/>
      <w:spacing w:before="280" w:after="290" w:line="372" w:lineRule="auto"/>
      <w:jc w:val="both"/>
      <w:outlineLvl w:val="3"/>
    </w:pPr>
    <w:rPr>
      <w:rFonts w:ascii="Cambria" w:hAnsi="Cambria" w:eastAsia="宋体" w:cs="Times New Roman"/>
      <w:b/>
      <w:bCs/>
      <w:kern w:val="2"/>
      <w:sz w:val="28"/>
      <w:szCs w:val="28"/>
      <w:lang w:val="en-US" w:eastAsia="zh-CN" w:bidi="ar-SA"/>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List 3"/>
    <w:basedOn w:val="1"/>
    <w:qFormat/>
    <w:uiPriority w:val="0"/>
    <w:pPr>
      <w:ind w:left="1260" w:hanging="420"/>
    </w:pPr>
    <w:rPr>
      <w:szCs w:val="20"/>
    </w:rPr>
  </w:style>
  <w:style w:type="paragraph" w:styleId="7">
    <w:name w:val="annotation text"/>
    <w:basedOn w:val="1"/>
    <w:link w:val="31"/>
    <w:unhideWhenUsed/>
    <w:qFormat/>
    <w:uiPriority w:val="99"/>
    <w:pPr>
      <w:jc w:val="left"/>
    </w:pPr>
  </w:style>
  <w:style w:type="paragraph" w:styleId="8">
    <w:name w:val="Body Text"/>
    <w:basedOn w:val="1"/>
    <w:link w:val="65"/>
    <w:qFormat/>
    <w:uiPriority w:val="0"/>
    <w:pPr>
      <w:spacing w:after="120"/>
    </w:pPr>
  </w:style>
  <w:style w:type="paragraph" w:styleId="9">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0">
    <w:name w:val="Date"/>
    <w:basedOn w:val="1"/>
    <w:next w:val="1"/>
    <w:link w:val="60"/>
    <w:semiHidden/>
    <w:unhideWhenUsed/>
    <w:qFormat/>
    <w:uiPriority w:val="99"/>
    <w:pPr>
      <w:ind w:left="100" w:leftChars="2500"/>
    </w:pPr>
  </w:style>
  <w:style w:type="paragraph" w:styleId="11">
    <w:name w:val="Body Text Indent 2"/>
    <w:basedOn w:val="1"/>
    <w:link w:val="33"/>
    <w:qFormat/>
    <w:uiPriority w:val="99"/>
    <w:pPr>
      <w:ind w:firstLine="480"/>
    </w:pPr>
    <w:rPr>
      <w:rFonts w:ascii="仿宋_GB2312" w:eastAsia="仿宋_GB2312"/>
      <w:sz w:val="24"/>
      <w:szCs w:val="20"/>
    </w:rPr>
  </w:style>
  <w:style w:type="paragraph" w:styleId="12">
    <w:name w:val="Balloon Text"/>
    <w:basedOn w:val="1"/>
    <w:link w:val="34"/>
    <w:unhideWhenUsed/>
    <w:qFormat/>
    <w:uiPriority w:val="99"/>
    <w:rPr>
      <w:sz w:val="18"/>
      <w:szCs w:val="18"/>
    </w:rPr>
  </w:style>
  <w:style w:type="paragraph" w:styleId="13">
    <w:name w:val="footer"/>
    <w:basedOn w:val="1"/>
    <w:link w:val="35"/>
    <w:unhideWhenUsed/>
    <w:qFormat/>
    <w:uiPriority w:val="99"/>
    <w:pPr>
      <w:tabs>
        <w:tab w:val="center" w:pos="4153"/>
        <w:tab w:val="right" w:pos="8306"/>
      </w:tabs>
      <w:snapToGrid w:val="0"/>
      <w:jc w:val="left"/>
    </w:pPr>
    <w:rPr>
      <w:sz w:val="18"/>
      <w:szCs w:val="18"/>
    </w:rPr>
  </w:style>
  <w:style w:type="paragraph" w:styleId="14">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6">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8">
    <w:name w:val="Normal (Web)"/>
    <w:basedOn w:val="1"/>
    <w:unhideWhenUsed/>
    <w:qFormat/>
    <w:uiPriority w:val="0"/>
    <w:pPr>
      <w:spacing w:beforeAutospacing="1" w:afterAutospacing="1"/>
      <w:jc w:val="left"/>
    </w:pPr>
    <w:rPr>
      <w:kern w:val="0"/>
      <w:sz w:val="24"/>
    </w:rPr>
  </w:style>
  <w:style w:type="paragraph" w:styleId="19">
    <w:name w:val="annotation subject"/>
    <w:basedOn w:val="7"/>
    <w:next w:val="7"/>
    <w:link w:val="32"/>
    <w:unhideWhenUsed/>
    <w:qFormat/>
    <w:uiPriority w:val="99"/>
    <w:rPr>
      <w:b/>
      <w:bCs/>
    </w:rPr>
  </w:style>
  <w:style w:type="table" w:styleId="21">
    <w:name w:val="Table Grid"/>
    <w:basedOn w:val="2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bCs/>
    </w:rPr>
  </w:style>
  <w:style w:type="character" w:styleId="24">
    <w:name w:val="FollowedHyperlink"/>
    <w:basedOn w:val="22"/>
    <w:unhideWhenUsed/>
    <w:qFormat/>
    <w:uiPriority w:val="99"/>
    <w:rPr>
      <w:color w:val="800080"/>
      <w:u w:val="single"/>
    </w:rPr>
  </w:style>
  <w:style w:type="character" w:styleId="25">
    <w:name w:val="Hyperlink"/>
    <w:basedOn w:val="22"/>
    <w:unhideWhenUsed/>
    <w:qFormat/>
    <w:uiPriority w:val="99"/>
    <w:rPr>
      <w:color w:val="0000FF"/>
      <w:u w:val="single"/>
    </w:rPr>
  </w:style>
  <w:style w:type="character" w:styleId="26">
    <w:name w:val="annotation reference"/>
    <w:basedOn w:val="22"/>
    <w:unhideWhenUsed/>
    <w:qFormat/>
    <w:uiPriority w:val="99"/>
    <w:rPr>
      <w:sz w:val="21"/>
      <w:szCs w:val="21"/>
    </w:rPr>
  </w:style>
  <w:style w:type="paragraph" w:customStyle="1" w:styleId="27">
    <w:name w:val="列出段落1"/>
    <w:basedOn w:val="1"/>
    <w:qFormat/>
    <w:uiPriority w:val="34"/>
    <w:pPr>
      <w:ind w:firstLine="420" w:firstLineChars="200"/>
    </w:pPr>
  </w:style>
  <w:style w:type="character" w:customStyle="1" w:styleId="28">
    <w:name w:val="标题 1 Char"/>
    <w:basedOn w:val="22"/>
    <w:link w:val="2"/>
    <w:qFormat/>
    <w:uiPriority w:val="0"/>
    <w:rPr>
      <w:rFonts w:ascii="Times New Roman" w:hAnsi="Times New Roman" w:eastAsia="宋体" w:cs="Times New Roman"/>
      <w:b/>
      <w:bCs/>
      <w:kern w:val="44"/>
      <w:sz w:val="44"/>
      <w:szCs w:val="44"/>
    </w:rPr>
  </w:style>
  <w:style w:type="character" w:customStyle="1" w:styleId="29">
    <w:name w:val="标题 2 Char"/>
    <w:basedOn w:val="22"/>
    <w:link w:val="3"/>
    <w:qFormat/>
    <w:uiPriority w:val="0"/>
    <w:rPr>
      <w:rFonts w:ascii="Arial" w:hAnsi="Arial" w:eastAsia="黑体" w:cs="Times New Roman"/>
      <w:b/>
      <w:bCs/>
      <w:sz w:val="32"/>
      <w:szCs w:val="32"/>
    </w:rPr>
  </w:style>
  <w:style w:type="character" w:customStyle="1" w:styleId="30">
    <w:name w:val="标题 3 Char"/>
    <w:basedOn w:val="22"/>
    <w:link w:val="4"/>
    <w:qFormat/>
    <w:uiPriority w:val="0"/>
    <w:rPr>
      <w:rFonts w:ascii="Times New Roman" w:hAnsi="Times New Roman" w:eastAsia="宋体" w:cs="Times New Roman"/>
      <w:b/>
      <w:bCs/>
      <w:sz w:val="32"/>
      <w:szCs w:val="32"/>
    </w:rPr>
  </w:style>
  <w:style w:type="character" w:customStyle="1" w:styleId="31">
    <w:name w:val="批注文字 Char"/>
    <w:basedOn w:val="22"/>
    <w:link w:val="7"/>
    <w:qFormat/>
    <w:uiPriority w:val="99"/>
    <w:rPr>
      <w:rFonts w:ascii="Times New Roman" w:hAnsi="Times New Roman" w:eastAsia="宋体" w:cs="Times New Roman"/>
      <w:szCs w:val="24"/>
    </w:rPr>
  </w:style>
  <w:style w:type="character" w:customStyle="1" w:styleId="32">
    <w:name w:val="批注主题 Char"/>
    <w:basedOn w:val="31"/>
    <w:link w:val="19"/>
    <w:qFormat/>
    <w:uiPriority w:val="99"/>
    <w:rPr>
      <w:rFonts w:ascii="Times New Roman" w:hAnsi="Times New Roman" w:eastAsia="宋体" w:cs="Times New Roman"/>
      <w:b/>
      <w:bCs/>
      <w:szCs w:val="24"/>
    </w:rPr>
  </w:style>
  <w:style w:type="character" w:customStyle="1" w:styleId="33">
    <w:name w:val="正文文本缩进 2 Char"/>
    <w:basedOn w:val="22"/>
    <w:link w:val="11"/>
    <w:qFormat/>
    <w:uiPriority w:val="99"/>
    <w:rPr>
      <w:rFonts w:ascii="仿宋_GB2312" w:hAnsi="Times New Roman" w:eastAsia="仿宋_GB2312" w:cs="Times New Roman"/>
      <w:sz w:val="24"/>
      <w:szCs w:val="20"/>
    </w:rPr>
  </w:style>
  <w:style w:type="character" w:customStyle="1" w:styleId="34">
    <w:name w:val="批注框文本 Char"/>
    <w:basedOn w:val="22"/>
    <w:link w:val="12"/>
    <w:qFormat/>
    <w:uiPriority w:val="99"/>
    <w:rPr>
      <w:rFonts w:ascii="Times New Roman" w:hAnsi="Times New Roman" w:eastAsia="宋体" w:cs="Times New Roman"/>
      <w:sz w:val="18"/>
      <w:szCs w:val="18"/>
    </w:rPr>
  </w:style>
  <w:style w:type="character" w:customStyle="1" w:styleId="35">
    <w:name w:val="页脚 Char"/>
    <w:basedOn w:val="22"/>
    <w:link w:val="13"/>
    <w:qFormat/>
    <w:uiPriority w:val="99"/>
    <w:rPr>
      <w:rFonts w:ascii="Times New Roman" w:hAnsi="Times New Roman" w:eastAsia="宋体" w:cs="Times New Roman"/>
      <w:sz w:val="18"/>
      <w:szCs w:val="18"/>
    </w:rPr>
  </w:style>
  <w:style w:type="character" w:customStyle="1" w:styleId="36">
    <w:name w:val="页眉 Char"/>
    <w:basedOn w:val="22"/>
    <w:link w:val="14"/>
    <w:qFormat/>
    <w:uiPriority w:val="99"/>
    <w:rPr>
      <w:rFonts w:ascii="Times New Roman" w:hAnsi="Times New Roman" w:eastAsia="宋体" w:cs="Times New Roman"/>
      <w:sz w:val="18"/>
      <w:szCs w:val="18"/>
    </w:rPr>
  </w:style>
  <w:style w:type="paragraph" w:customStyle="1" w:styleId="37">
    <w:name w:val="样式2"/>
    <w:basedOn w:val="1"/>
    <w:qFormat/>
    <w:uiPriority w:val="0"/>
    <w:pPr>
      <w:adjustRightInd w:val="0"/>
      <w:spacing w:line="410" w:lineRule="atLeast"/>
      <w:textAlignment w:val="baseline"/>
    </w:pPr>
    <w:rPr>
      <w:kern w:val="0"/>
      <w:sz w:val="24"/>
      <w:szCs w:val="20"/>
    </w:rPr>
  </w:style>
  <w:style w:type="paragraph" w:customStyle="1" w:styleId="38">
    <w:name w:val="正文（首行缩进） Char"/>
    <w:basedOn w:val="1"/>
    <w:qFormat/>
    <w:uiPriority w:val="0"/>
    <w:pPr>
      <w:spacing w:line="360" w:lineRule="auto"/>
      <w:ind w:firstLine="480" w:firstLineChars="200"/>
    </w:pPr>
    <w:rPr>
      <w:rFonts w:ascii="Arial" w:hAnsi="Arial"/>
      <w:color w:val="000000"/>
      <w:sz w:val="24"/>
    </w:rPr>
  </w:style>
  <w:style w:type="paragraph" w:customStyle="1" w:styleId="39">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40">
    <w:name w:val="无间隔1"/>
    <w:link w:val="58"/>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2">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3">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4">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5">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6">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7">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8">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9">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0">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1">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2">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3">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5">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6">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7">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8">
    <w:name w:val="无间隔 Char"/>
    <w:basedOn w:val="22"/>
    <w:link w:val="40"/>
    <w:qFormat/>
    <w:uiPriority w:val="1"/>
    <w:rPr>
      <w:rFonts w:ascii="Times New Roman" w:hAnsi="Times New Roman" w:eastAsia="宋体" w:cs="Times New Roman"/>
      <w:szCs w:val="24"/>
    </w:rPr>
  </w:style>
  <w:style w:type="paragraph" w:styleId="59">
    <w:name w:val="List Paragraph"/>
    <w:basedOn w:val="1"/>
    <w:qFormat/>
    <w:uiPriority w:val="34"/>
    <w:pPr>
      <w:ind w:firstLine="420" w:firstLineChars="200"/>
    </w:pPr>
  </w:style>
  <w:style w:type="character" w:customStyle="1" w:styleId="60">
    <w:name w:val="日期 Char"/>
    <w:basedOn w:val="22"/>
    <w:link w:val="10"/>
    <w:semiHidden/>
    <w:qFormat/>
    <w:uiPriority w:val="99"/>
    <w:rPr>
      <w:rFonts w:ascii="Times New Roman" w:hAnsi="Times New Roman" w:eastAsia="宋体" w:cs="Times New Roman"/>
      <w:szCs w:val="24"/>
    </w:rPr>
  </w:style>
  <w:style w:type="paragraph" w:customStyle="1" w:styleId="61">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62">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3">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4">
    <w:name w:val="3（条）正文标题"/>
    <w:basedOn w:val="1"/>
    <w:qFormat/>
    <w:uiPriority w:val="0"/>
    <w:pPr>
      <w:spacing w:line="360" w:lineRule="auto"/>
      <w:ind w:firstLine="562" w:firstLineChars="200"/>
    </w:pPr>
  </w:style>
  <w:style w:type="character" w:customStyle="1" w:styleId="65">
    <w:name w:val="正文文本 Char"/>
    <w:basedOn w:val="22"/>
    <w:link w:val="8"/>
    <w:qFormat/>
    <w:uiPriority w:val="0"/>
    <w:rPr>
      <w:rFonts w:ascii="Times New Roman" w:hAnsi="Times New Roman" w:eastAsia="宋体" w:cs="Times New Roman"/>
      <w:kern w:val="2"/>
      <w:sz w:val="21"/>
      <w:szCs w:val="24"/>
    </w:rPr>
  </w:style>
  <w:style w:type="paragraph" w:customStyle="1" w:styleId="66">
    <w:name w:val="ds-markdown-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67">
    <w:name w:val="Heading3"/>
    <w:basedOn w:val="1"/>
    <w:next w:val="1"/>
    <w:qFormat/>
    <w:uiPriority w:val="0"/>
    <w:pPr>
      <w:keepNext/>
      <w:keepLines/>
      <w:spacing w:before="260" w:after="260" w:line="416" w:lineRule="auto"/>
    </w:pPr>
    <w:rPr>
      <w:b/>
      <w:bCs/>
      <w:kern w:val="0"/>
      <w:sz w:val="32"/>
      <w:szCs w:val="32"/>
    </w:rPr>
  </w:style>
  <w:style w:type="character" w:customStyle="1" w:styleId="68">
    <w:name w:val="NormalCharacter"/>
    <w:qFormat/>
    <w:uiPriority w:val="0"/>
  </w:style>
  <w:style w:type="paragraph" w:customStyle="1" w:styleId="6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70">
    <w:name w:val="Table Normal"/>
    <w:basedOn w:val="20"/>
    <w:unhideWhenUsed/>
    <w:qFormat/>
    <w:uiPriority w:val="0"/>
    <w:tblPr>
      <w:tblCellMar>
        <w:left w:w="0" w:type="dxa"/>
        <w:right w:w="0" w:type="dxa"/>
      </w:tblCellMar>
    </w:tblPr>
  </w:style>
  <w:style w:type="paragraph" w:customStyle="1" w:styleId="71">
    <w:name w:val="目次、标准名称标题"/>
    <w:next w:val="69"/>
    <w:qFormat/>
    <w:uiPriority w:val="0"/>
    <w:pPr>
      <w:keepNext/>
      <w:pageBreakBefore/>
      <w:shd w:val="clear" w:color="FFFFFF" w:fill="FFFFFF"/>
      <w:spacing w:before="640" w:after="560" w:line="460" w:lineRule="exact"/>
      <w:jc w:val="center"/>
      <w:outlineLvl w:val="0"/>
    </w:pPr>
    <w:rPr>
      <w:rFonts w:ascii="黑体" w:hAnsi="Times New Roman" w:eastAsia="黑体" w:cs="Times New Roman"/>
      <w:sz w:val="32"/>
      <w:lang w:val="en-US" w:eastAsia="zh-CN" w:bidi="ar-SA"/>
    </w:rPr>
  </w:style>
  <w:style w:type="paragraph" w:customStyle="1" w:styleId="72">
    <w:name w:val="章标题"/>
    <w:next w:val="69"/>
    <w:qFormat/>
    <w:uiPriority w:val="0"/>
    <w:pPr>
      <w:numPr>
        <w:ilvl w:val="0"/>
        <w:numId w:val="1"/>
      </w:numPr>
      <w:spacing w:beforeLines="100" w:afterLines="100"/>
      <w:ind w:left="0"/>
      <w:jc w:val="both"/>
      <w:outlineLvl w:val="1"/>
    </w:pPr>
    <w:rPr>
      <w:rFonts w:ascii="黑体" w:hAnsi="Times New Roman" w:eastAsia="黑体" w:cs="Times New Roman"/>
      <w:sz w:val="21"/>
      <w:lang w:val="en-US" w:eastAsia="zh-CN" w:bidi="ar-SA"/>
    </w:rPr>
  </w:style>
  <w:style w:type="paragraph" w:customStyle="1" w:styleId="73">
    <w:name w:val="一级无"/>
    <w:qFormat/>
    <w:uiPriority w:val="0"/>
    <w:pPr>
      <w:outlineLvl w:val="2"/>
    </w:pPr>
    <w:rPr>
      <w:rFonts w:ascii="宋体" w:hAnsi="Times New Roman" w:eastAsia="宋体" w:cs="Times New Roman"/>
      <w:sz w:val="21"/>
      <w:szCs w:val="21"/>
      <w:lang w:val="en-US" w:eastAsia="zh-CN" w:bidi="ar-SA"/>
    </w:rPr>
  </w:style>
  <w:style w:type="paragraph" w:customStyle="1" w:styleId="74">
    <w:name w:val="一级条标题"/>
    <w:next w:val="69"/>
    <w:qFormat/>
    <w:uiPriority w:val="0"/>
    <w:pPr>
      <w:numPr>
        <w:ilvl w:val="1"/>
        <w:numId w:val="1"/>
      </w:numPr>
      <w:spacing w:beforeLines="50" w:afterLines="50"/>
      <w:ind w:left="0"/>
      <w:outlineLvl w:val="2"/>
    </w:pPr>
    <w:rPr>
      <w:rFonts w:ascii="黑体" w:hAnsi="Times New Roman" w:eastAsia="黑体" w:cs="Times New Roman"/>
      <w:sz w:val="21"/>
      <w:szCs w:val="21"/>
      <w:lang w:val="en-US" w:eastAsia="zh-CN" w:bidi="ar-SA"/>
    </w:rPr>
  </w:style>
  <w:style w:type="paragraph" w:customStyle="1" w:styleId="75">
    <w:name w:val="正文图标题"/>
    <w:next w:val="69"/>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76">
    <w:name w:val="二级无"/>
    <w:qFormat/>
    <w:uiPriority w:val="0"/>
    <w:pPr>
      <w:spacing w:before="50" w:after="50"/>
      <w:outlineLvl w:val="3"/>
    </w:pPr>
    <w:rPr>
      <w:rFonts w:ascii="宋体" w:hAnsi="Times New Roman" w:eastAsia="宋体" w:cs="Times New Roman"/>
      <w:sz w:val="21"/>
      <w:szCs w:val="21"/>
      <w:lang w:val="en-US" w:eastAsia="zh-CN" w:bidi="ar-SA"/>
    </w:rPr>
  </w:style>
  <w:style w:type="paragraph" w:customStyle="1" w:styleId="77">
    <w:name w:val="三级无"/>
    <w:qFormat/>
    <w:uiPriority w:val="0"/>
    <w:pPr>
      <w:ind w:left="284"/>
      <w:outlineLvl w:val="4"/>
    </w:pPr>
    <w:rPr>
      <w:rFonts w:ascii="宋体" w:hAnsi="Times New Roman" w:eastAsia="宋体" w:cs="Times New Roman"/>
      <w:sz w:val="21"/>
      <w:szCs w:val="21"/>
      <w:lang w:val="en-US" w:eastAsia="zh-CN" w:bidi="ar-SA"/>
    </w:rPr>
  </w:style>
  <w:style w:type="paragraph" w:customStyle="1" w:styleId="78">
    <w:name w:val="二级条标题"/>
    <w:next w:val="69"/>
    <w:qFormat/>
    <w:uiPriority w:val="0"/>
    <w:pPr>
      <w:numPr>
        <w:ilvl w:val="2"/>
        <w:numId w:val="1"/>
      </w:numPr>
      <w:spacing w:before="50" w:beforeLines="50" w:after="50" w:afterLines="50"/>
      <w:outlineLvl w:val="3"/>
    </w:pPr>
    <w:rPr>
      <w:rFonts w:ascii="黑体" w:hAnsi="Times New Roman" w:eastAsia="黑体" w:cs="Times New Roman"/>
      <w:sz w:val="21"/>
      <w:szCs w:val="21"/>
      <w:lang w:val="en-US" w:eastAsia="zh-CN" w:bidi="ar-SA"/>
    </w:rPr>
  </w:style>
  <w:style w:type="paragraph" w:customStyle="1" w:styleId="79">
    <w:name w:val="附录图标号"/>
    <w:qFormat/>
    <w:uiPriority w:val="0"/>
    <w:pPr>
      <w:keepNext/>
      <w:pageBreakBefore/>
      <w:spacing w:line="14" w:lineRule="exact"/>
      <w:ind w:firstLine="363"/>
      <w:jc w:val="center"/>
      <w:outlineLvl w:val="0"/>
    </w:pPr>
    <w:rPr>
      <w:rFonts w:ascii="Times New Roman" w:hAnsi="Times New Roman" w:eastAsia="宋体" w:cs="Times New Roman"/>
      <w:color w:val="FFFFFF"/>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5.emf"/><Relationship Id="rId17" Type="http://schemas.openxmlformats.org/officeDocument/2006/relationships/oleObject" Target="embeddings/oleObject2.bin"/><Relationship Id="rId16" Type="http://schemas.openxmlformats.org/officeDocument/2006/relationships/image" Target="media/image4.emf"/><Relationship Id="rId15" Type="http://schemas.openxmlformats.org/officeDocument/2006/relationships/oleObject" Target="embeddings/oleObject1.bin"/><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FC624B-8274-4269-95E8-6EF22879EA1C}">
  <ds:schemaRefs/>
</ds:datastoreItem>
</file>

<file path=docProps/app.xml><?xml version="1.0" encoding="utf-8"?>
<Properties xmlns="http://schemas.openxmlformats.org/officeDocument/2006/extended-properties" xmlns:vt="http://schemas.openxmlformats.org/officeDocument/2006/docPropsVTypes">
  <Template>Normal</Template>
  <Pages>133</Pages>
  <Words>21906</Words>
  <Characters>22977</Characters>
  <Lines>104</Lines>
  <Paragraphs>29</Paragraphs>
  <TotalTime>5</TotalTime>
  <ScaleCrop>false</ScaleCrop>
  <LinksUpToDate>false</LinksUpToDate>
  <CharactersWithSpaces>26563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2026-03-03T01:13:00Z</dcterms:created>
  <dc:creator>杨倩</dc:creator>
  <cp:lastModifiedBy>杨栩</cp:lastModifiedBy>
  <cp:lastPrinted>2026-08-24T04:41:00Z</cp:lastPrinted>
  <dcterms:modified xsi:type="dcterms:W3CDTF">2026-09-16T01:02:50Z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522A0DF566A6426092CE29076201DCEE_13</vt:lpwstr>
  </property>
  <property fmtid="{D5CDD505-2E9C-101B-9397-08002B2CF9AE}" pid="4" name="KSOTemplateDocerSaveRecord">
    <vt:lpwstr>eyJoZGlkIjoiMjg0MmQyMzNkM2RkZDcxYTIzZjg2NjU5Y2M2NzNlZDciLCJ1c2VySWQiOiI0NTQ4MDg0MDgifQ==</vt:lpwstr>
  </property>
</Properties>
</file>